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55880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83185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080" w:right="2980" w:hanging="4072"/>
        <w:spacing w:after="0" w:line="326" w:lineRule="auto"/>
        <w:tabs>
          <w:tab w:leader="none" w:pos="3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November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36" w:lineRule="exact"/>
        <w:rPr>
          <w:rFonts w:ascii="MS PGothic" w:cs="MS PGothic" w:eastAsia="MS PGothic" w:hAnsi="MS PGothic"/>
          <w:sz w:val="16"/>
          <w:szCs w:val="16"/>
          <w:color w:val="auto"/>
          <w:highlight w:val="black"/>
        </w:rPr>
      </w:pPr>
    </w:p>
    <w:p>
      <w:pPr>
        <w:ind w:left="34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FROM</w:t>
      </w:r>
      <w:r>
        <w:rPr>
          <w:rFonts w:ascii="Arial" w:cs="Arial" w:eastAsia="Arial" w:hAnsi="Arial"/>
          <w:sz w:val="15"/>
          <w:szCs w:val="15"/>
          <w:b w:val="1"/>
          <w:bCs w:val="1"/>
          <w:color w:val="auto"/>
        </w:rPr>
        <w:t>TO</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71755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NURIX THERAPEUTICS,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69215</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880" w:type="dxa"/>
            <w:vAlign w:val="bottom"/>
          </w:tcPr>
          <w:p>
            <w:pPr>
              <w:jc w:val="center"/>
              <w:ind w:left="1625"/>
              <w:spacing w:after="0"/>
              <w:rPr>
                <w:sz w:val="20"/>
                <w:szCs w:val="20"/>
                <w:color w:val="auto"/>
              </w:rPr>
            </w:pPr>
            <w:r>
              <w:rPr>
                <w:rFonts w:ascii="Arial" w:cs="Arial" w:eastAsia="Arial" w:hAnsi="Arial"/>
                <w:sz w:val="15"/>
                <w:szCs w:val="15"/>
                <w:b w:val="1"/>
                <w:bCs w:val="1"/>
                <w:color w:val="auto"/>
                <w:w w:val="94"/>
              </w:rPr>
              <w:t>Delaware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right"/>
              <w:ind w:right="2325"/>
              <w:spacing w:after="0"/>
              <w:rPr>
                <w:sz w:val="20"/>
                <w:szCs w:val="20"/>
                <w:color w:val="auto"/>
              </w:rPr>
            </w:pPr>
            <w:r>
              <w:rPr>
                <w:rFonts w:ascii="Arial" w:cs="Arial" w:eastAsia="Arial" w:hAnsi="Arial"/>
                <w:sz w:val="15"/>
                <w:szCs w:val="15"/>
                <w:b w:val="1"/>
                <w:bCs w:val="1"/>
                <w:color w:val="auto"/>
              </w:rPr>
              <w:t>27-0838048</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2"/>
              </w:rPr>
              <w:t>(State or other jurisdiction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center"/>
              <w:ind w:right="2065"/>
              <w:spacing w:after="0" w:line="162" w:lineRule="exact"/>
              <w:rPr>
                <w:sz w:val="20"/>
                <w:szCs w:val="20"/>
                <w:color w:val="auto"/>
              </w:rPr>
            </w:pPr>
            <w:r>
              <w:rPr>
                <w:rFonts w:ascii="Arial" w:cs="Arial" w:eastAsia="Arial" w:hAnsi="Arial"/>
                <w:sz w:val="15"/>
                <w:szCs w:val="15"/>
                <w:b w:val="1"/>
                <w:bCs w:val="1"/>
                <w:color w:val="auto"/>
                <w:w w:val="95"/>
              </w:rPr>
              <w:t>(I.R.S. Employer</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2"/>
              </w:rPr>
              <w:t>incorporation or organization)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center"/>
              <w:ind w:right="2085"/>
              <w:spacing w:after="0" w:line="162" w:lineRule="exact"/>
              <w:rPr>
                <w:sz w:val="20"/>
                <w:szCs w:val="20"/>
                <w:color w:val="auto"/>
              </w:rPr>
            </w:pPr>
            <w:r>
              <w:rPr>
                <w:rFonts w:ascii="Arial" w:cs="Arial" w:eastAsia="Arial" w:hAnsi="Arial"/>
                <w:sz w:val="15"/>
                <w:szCs w:val="15"/>
                <w:b w:val="1"/>
                <w:bCs w:val="1"/>
                <w:color w:val="auto"/>
                <w:w w:val="94"/>
              </w:rPr>
              <w:t>Identification No.)</w:t>
            </w: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1"/>
              </w:rPr>
              <w:t>1700 Owens Street, Suite 205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jc w:val="center"/>
              <w:ind w:left="1625"/>
              <w:spacing w:after="0" w:line="162" w:lineRule="exact"/>
              <w:rPr>
                <w:sz w:val="20"/>
                <w:szCs w:val="20"/>
                <w:color w:val="auto"/>
              </w:rPr>
            </w:pPr>
            <w:r>
              <w:rPr>
                <w:rFonts w:ascii="Arial" w:cs="Arial" w:eastAsia="Arial" w:hAnsi="Arial"/>
                <w:sz w:val="15"/>
                <w:szCs w:val="15"/>
                <w:b w:val="1"/>
                <w:bCs w:val="1"/>
                <w:color w:val="auto"/>
                <w:w w:val="92"/>
              </w:rPr>
              <w:t>San Francisco, CA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0" w:type="dxa"/>
            <w:vAlign w:val="bottom"/>
          </w:tcPr>
          <w:p>
            <w:pPr>
              <w:jc w:val="right"/>
              <w:ind w:right="2505"/>
              <w:spacing w:after="0" w:line="162" w:lineRule="exact"/>
              <w:rPr>
                <w:sz w:val="20"/>
                <w:szCs w:val="20"/>
                <w:color w:val="auto"/>
              </w:rPr>
            </w:pPr>
            <w:r>
              <w:rPr>
                <w:rFonts w:ascii="Arial" w:cs="Arial" w:eastAsia="Arial" w:hAnsi="Arial"/>
                <w:sz w:val="15"/>
                <w:szCs w:val="15"/>
                <w:b w:val="1"/>
                <w:bCs w:val="1"/>
                <w:color w:val="auto"/>
              </w:rPr>
              <w:t>94158</w:t>
            </w:r>
          </w:p>
        </w:tc>
        <w:tc>
          <w:tcPr>
            <w:tcW w:w="0" w:type="dxa"/>
            <w:vAlign w:val="bottom"/>
          </w:tcPr>
          <w:p>
            <w:pPr>
              <w:spacing w:after="0"/>
              <w:rPr>
                <w:sz w:val="1"/>
                <w:szCs w:val="1"/>
                <w:color w:val="auto"/>
              </w:rPr>
            </w:pPr>
          </w:p>
        </w:tc>
      </w:tr>
      <w:tr>
        <w:trPr>
          <w:trHeight w:val="198"/>
        </w:trPr>
        <w:tc>
          <w:tcPr>
            <w:tcW w:w="7840" w:type="dxa"/>
            <w:vAlign w:val="bottom"/>
            <w:gridSpan w:val="8"/>
          </w:tcPr>
          <w:p>
            <w:pPr>
              <w:jc w:val="center"/>
              <w:ind w:right="2260"/>
              <w:spacing w:after="0"/>
              <w:rPr>
                <w:sz w:val="20"/>
                <w:szCs w:val="20"/>
                <w:color w:val="auto"/>
              </w:rPr>
            </w:pPr>
            <w:r>
              <w:rPr>
                <w:rFonts w:ascii="Arial" w:cs="Arial" w:eastAsia="Arial" w:hAnsi="Arial"/>
                <w:sz w:val="15"/>
                <w:szCs w:val="15"/>
                <w:b w:val="1"/>
                <w:bCs w:val="1"/>
                <w:color w:val="auto"/>
                <w:w w:val="90"/>
              </w:rPr>
              <w:t>(Address of principal executive offices)</w:t>
            </w:r>
          </w:p>
        </w:tc>
        <w:tc>
          <w:tcPr>
            <w:tcW w:w="3400" w:type="dxa"/>
            <w:vAlign w:val="bottom"/>
          </w:tcPr>
          <w:p>
            <w:pPr>
              <w:jc w:val="center"/>
              <w:ind w:right="2065"/>
              <w:spacing w:after="0"/>
              <w:rPr>
                <w:sz w:val="20"/>
                <w:szCs w:val="20"/>
                <w:color w:val="auto"/>
              </w:rPr>
            </w:pPr>
            <w:r>
              <w:rPr>
                <w:rFonts w:ascii="Arial" w:cs="Arial" w:eastAsia="Arial" w:hAnsi="Arial"/>
                <w:sz w:val="15"/>
                <w:szCs w:val="15"/>
                <w:b w:val="1"/>
                <w:bCs w:val="1"/>
                <w:color w:val="auto"/>
                <w:w w:val="94"/>
              </w:rPr>
              <w:t>(Zip Code)</w:t>
            </w:r>
          </w:p>
        </w:tc>
        <w:tc>
          <w:tcPr>
            <w:tcW w:w="0" w:type="dxa"/>
            <w:vAlign w:val="bottom"/>
          </w:tcPr>
          <w:p>
            <w:pPr>
              <w:spacing w:after="0"/>
              <w:rPr>
                <w:sz w:val="1"/>
                <w:szCs w:val="1"/>
                <w:color w:val="auto"/>
              </w:rPr>
            </w:pPr>
          </w:p>
        </w:tc>
      </w:tr>
      <w:tr>
        <w:trPr>
          <w:trHeight w:val="230"/>
        </w:trPr>
        <w:tc>
          <w:tcPr>
            <w:tcW w:w="7840" w:type="dxa"/>
            <w:vAlign w:val="bottom"/>
            <w:gridSpan w:val="8"/>
          </w:tcPr>
          <w:p>
            <w:pPr>
              <w:jc w:val="center"/>
              <w:ind w:left="3325"/>
              <w:spacing w:after="0"/>
              <w:rPr>
                <w:sz w:val="20"/>
                <w:szCs w:val="20"/>
                <w:color w:val="auto"/>
              </w:rPr>
            </w:pPr>
            <w:r>
              <w:rPr>
                <w:rFonts w:ascii="Arial" w:cs="Arial" w:eastAsia="Arial" w:hAnsi="Arial"/>
                <w:sz w:val="15"/>
                <w:szCs w:val="15"/>
                <w:b w:val="1"/>
                <w:bCs w:val="1"/>
                <w:color w:val="auto"/>
                <w:w w:val="91"/>
              </w:rPr>
              <w:t>Registrant’s telephone number, including area code: (415) 660-5320</w:t>
            </w: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3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17"/>
                <w:szCs w:val="17"/>
                <w:color w:val="auto"/>
              </w:rPr>
            </w:pPr>
          </w:p>
        </w:tc>
        <w:tc>
          <w:tcPr>
            <w:tcW w:w="3960" w:type="dxa"/>
            <w:vAlign w:val="bottom"/>
            <w:gridSpan w:val="7"/>
          </w:tcPr>
          <w:p>
            <w:pPr>
              <w:jc w:val="center"/>
              <w:ind w:right="48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880" w:type="dxa"/>
            <w:vAlign w:val="bottom"/>
            <w:vMerge w:val="restart"/>
          </w:tcPr>
          <w:p>
            <w:pPr>
              <w:jc w:val="center"/>
              <w:ind w:left="125"/>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60" w:type="dxa"/>
            <w:vAlign w:val="bottom"/>
            <w:gridSpan w:val="4"/>
          </w:tcPr>
          <w:p>
            <w:pPr>
              <w:jc w:val="center"/>
              <w:ind w:right="1800"/>
              <w:spacing w:after="0"/>
              <w:rPr>
                <w:sz w:val="20"/>
                <w:szCs w:val="20"/>
                <w:color w:val="auto"/>
              </w:rPr>
            </w:pPr>
            <w:r>
              <w:rPr>
                <w:rFonts w:ascii="Arial" w:cs="Arial" w:eastAsia="Arial" w:hAnsi="Arial"/>
                <w:sz w:val="14"/>
                <w:szCs w:val="14"/>
                <w:b w:val="1"/>
                <w:bCs w:val="1"/>
                <w:color w:val="auto"/>
                <w:w w:val="97"/>
              </w:rPr>
              <w:t>Trading</w:t>
            </w:r>
          </w:p>
        </w:tc>
        <w:tc>
          <w:tcPr>
            <w:tcW w:w="3400" w:type="dxa"/>
            <w:vAlign w:val="bottom"/>
            <w:vMerge w:val="restart"/>
          </w:tcPr>
          <w:p>
            <w:pPr>
              <w:jc w:val="center"/>
              <w:ind w:right="605"/>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4"/>
          </w:tcPr>
          <w:p>
            <w:pPr>
              <w:jc w:val="center"/>
              <w:ind w:right="1800"/>
              <w:spacing w:after="0"/>
              <w:rPr>
                <w:sz w:val="20"/>
                <w:szCs w:val="20"/>
                <w:color w:val="auto"/>
              </w:rPr>
            </w:pPr>
            <w:r>
              <w:rPr>
                <w:rFonts w:ascii="Arial" w:cs="Arial" w:eastAsia="Arial" w:hAnsi="Arial"/>
                <w:sz w:val="14"/>
                <w:szCs w:val="14"/>
                <w:b w:val="1"/>
                <w:bCs w:val="1"/>
                <w:color w:val="auto"/>
                <w:w w:val="91"/>
              </w:rPr>
              <w:t>Symbol(s)</w:t>
            </w:r>
          </w:p>
        </w:tc>
        <w:tc>
          <w:tcPr>
            <w:tcW w:w="3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80" w:type="dxa"/>
            <w:vAlign w:val="bottom"/>
            <w:tcBorders>
              <w:top w:val="single" w:sz="8" w:color="auto"/>
            </w:tcBorders>
          </w:tcPr>
          <w:p>
            <w:pPr>
              <w:jc w:val="center"/>
              <w:ind w:left="125"/>
              <w:spacing w:after="0"/>
              <w:rPr>
                <w:sz w:val="20"/>
                <w:szCs w:val="20"/>
                <w:color w:val="auto"/>
              </w:rPr>
            </w:pPr>
            <w:r>
              <w:rPr>
                <w:rFonts w:ascii="Arial" w:cs="Arial" w:eastAsia="Arial" w:hAnsi="Arial"/>
                <w:sz w:val="14"/>
                <w:szCs w:val="14"/>
                <w:color w:val="auto"/>
                <w:w w:val="91"/>
              </w:rPr>
              <w:t>Common Stock, par value $0.001 per share</w:t>
            </w:r>
          </w:p>
        </w:tc>
        <w:tc>
          <w:tcPr>
            <w:tcW w:w="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tcPr>
          <w:p>
            <w:pPr>
              <w:jc w:val="center"/>
              <w:ind w:right="1000"/>
              <w:spacing w:after="0"/>
              <w:rPr>
                <w:sz w:val="20"/>
                <w:szCs w:val="20"/>
                <w:color w:val="auto"/>
              </w:rPr>
            </w:pPr>
            <w:r>
              <w:rPr>
                <w:rFonts w:ascii="Arial" w:cs="Arial" w:eastAsia="Arial" w:hAnsi="Arial"/>
                <w:sz w:val="14"/>
                <w:szCs w:val="14"/>
                <w:color w:val="auto"/>
              </w:rPr>
              <w:t>NRIX</w:t>
            </w:r>
          </w:p>
        </w:tc>
        <w:tc>
          <w:tcPr>
            <w:tcW w:w="10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tcPr>
          <w:p>
            <w:pPr>
              <w:jc w:val="center"/>
              <w:ind w:right="605"/>
              <w:spacing w:after="0"/>
              <w:rPr>
                <w:sz w:val="20"/>
                <w:szCs w:val="20"/>
                <w:color w:val="auto"/>
              </w:rPr>
            </w:pPr>
            <w:r>
              <w:rPr>
                <w:rFonts w:ascii="Arial" w:cs="Arial" w:eastAsia="Arial" w:hAnsi="Arial"/>
                <w:sz w:val="14"/>
                <w:szCs w:val="14"/>
                <w:color w:val="auto"/>
                <w:w w:val="94"/>
              </w:rPr>
              <w:t>Nasdaq Global Market</w:t>
            </w:r>
          </w:p>
        </w:tc>
        <w:tc>
          <w:tcPr>
            <w:tcW w:w="0" w:type="dxa"/>
            <w:vAlign w:val="bottom"/>
          </w:tcPr>
          <w:p>
            <w:pPr>
              <w:spacing w:after="0"/>
              <w:rPr>
                <w:sz w:val="1"/>
                <w:szCs w:val="1"/>
                <w:color w:val="auto"/>
              </w:rPr>
            </w:pPr>
          </w:p>
        </w:tc>
      </w:tr>
    </w:tbl>
    <w:p>
      <w:pPr>
        <w:ind w:left="4020"/>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9"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ind w:right="10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36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2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21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7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2000"/>
              <w:spacing w:after="0"/>
              <w:rPr>
                <w:sz w:val="20"/>
                <w:szCs w:val="20"/>
                <w:color w:val="auto"/>
              </w:rPr>
            </w:pPr>
            <w:r>
              <w:rPr>
                <w:rFonts w:ascii="Arial" w:cs="Arial" w:eastAsia="Arial" w:hAnsi="Arial"/>
                <w:sz w:val="13"/>
                <w:szCs w:val="13"/>
                <w:color w:val="auto"/>
              </w:rPr>
              <w:t>Accelerated filer</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2160" w:type="dxa"/>
            <w:vAlign w:val="bottom"/>
          </w:tcPr>
          <w:p>
            <w:pPr>
              <w:spacing w:after="0"/>
              <w:rPr>
                <w:sz w:val="20"/>
                <w:szCs w:val="20"/>
                <w:color w:val="auto"/>
              </w:rPr>
            </w:pPr>
            <w:r>
              <w:rPr>
                <w:rFonts w:ascii="Arial" w:cs="Arial" w:eastAsia="Arial" w:hAnsi="Arial"/>
                <w:sz w:val="13"/>
                <w:szCs w:val="13"/>
                <w:color w:val="auto"/>
              </w:rPr>
              <w:t>Non-accelerated filer</w:t>
            </w:r>
          </w:p>
        </w:tc>
        <w:tc>
          <w:tcPr>
            <w:tcW w:w="27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ind w:left="2000"/>
              <w:spacing w:after="0"/>
              <w:rPr>
                <w:sz w:val="20"/>
                <w:szCs w:val="20"/>
                <w:color w:val="auto"/>
              </w:rPr>
            </w:pPr>
            <w:r>
              <w:rPr>
                <w:rFonts w:ascii="Arial" w:cs="Arial" w:eastAsia="Arial" w:hAnsi="Arial"/>
                <w:sz w:val="13"/>
                <w:szCs w:val="13"/>
                <w:color w:val="auto"/>
              </w:rPr>
              <w:t>Smaller reporting company</w:t>
            </w:r>
          </w:p>
        </w:tc>
        <w:tc>
          <w:tcPr>
            <w:tcW w:w="660" w:type="dxa"/>
            <w:vAlign w:val="bottom"/>
          </w:tcPr>
          <w:p>
            <w:pPr>
              <w:ind w:left="5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1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780" w:type="dxa"/>
            <w:vAlign w:val="bottom"/>
          </w:tcPr>
          <w:p>
            <w:pPr>
              <w:ind w:left="660"/>
              <w:spacing w:after="0" w:line="131" w:lineRule="exact"/>
              <w:rPr>
                <w:sz w:val="20"/>
                <w:szCs w:val="20"/>
                <w:color w:val="auto"/>
              </w:rPr>
            </w:pPr>
            <w:r>
              <w:rPr>
                <w:rFonts w:ascii="MS PGothic" w:cs="MS PGothic" w:eastAsia="MS PGothic" w:hAnsi="MS PGothic"/>
                <w:sz w:val="13"/>
                <w:szCs w:val="13"/>
                <w:color w:val="auto"/>
              </w:rPr>
              <w:t>☐</w:t>
            </w:r>
          </w:p>
        </w:tc>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spacing w:after="0" w:line="215" w:lineRule="exact"/>
        <w:rPr>
          <w:sz w:val="24"/>
          <w:szCs w:val="24"/>
          <w:color w:val="auto"/>
        </w:rPr>
      </w:pPr>
    </w:p>
    <w:p>
      <w:pPr>
        <w:ind w:right="3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7" w:lineRule="exact"/>
        <w:rPr>
          <w:sz w:val="24"/>
          <w:szCs w:val="24"/>
          <w:color w:val="auto"/>
        </w:rPr>
      </w:pPr>
    </w:p>
    <w:p>
      <w:pPr>
        <w:ind w:right="22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230" w:lineRule="auto"/>
        <w:rPr>
          <w:sz w:val="20"/>
          <w:szCs w:val="20"/>
          <w:color w:val="auto"/>
        </w:rPr>
      </w:pPr>
      <w:r>
        <w:rPr>
          <w:rFonts w:ascii="Arial" w:cs="Arial" w:eastAsia="Arial" w:hAnsi="Arial"/>
          <w:sz w:val="13"/>
          <w:szCs w:val="13"/>
          <w:color w:val="auto"/>
        </w:rPr>
        <w:t>The aggregate market value of the common stock held by non-affiliates of the Registrant, based on the closing price of the Registrant’s common stock on May 28, 2021 (the last business day of the Registrant’s most recently completed second fiscal quarter) as reported by the Nasdaq Global Market on such date was approximately $1.1 billion. This calculation does not reflect a determination that certain persons are affiliates of the Registrant for any other purpose.</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As of January 21, 2022, the Registrant had 44,737,768 shares of common stock, $0.001 par value per share, outstanding.</w:t>
      </w:r>
    </w:p>
    <w:p>
      <w:pPr>
        <w:spacing w:after="0" w:line="26" w:lineRule="exact"/>
        <w:rPr>
          <w:sz w:val="24"/>
          <w:szCs w:val="24"/>
          <w:color w:val="auto"/>
        </w:rPr>
      </w:pPr>
    </w:p>
    <w:p>
      <w:pPr>
        <w:ind w:left="4260"/>
        <w:spacing w:after="0"/>
        <w:rPr>
          <w:sz w:val="20"/>
          <w:szCs w:val="20"/>
          <w:color w:val="auto"/>
        </w:rPr>
      </w:pPr>
      <w:r>
        <w:rPr>
          <w:rFonts w:ascii="Arial" w:cs="Arial" w:eastAsia="Arial" w:hAnsi="Arial"/>
          <w:sz w:val="13"/>
          <w:szCs w:val="13"/>
          <w:color w:val="auto"/>
        </w:rPr>
        <w:t>DOCUMENTS INCORPORATED BY REFERENCE</w:t>
      </w:r>
    </w:p>
    <w:p>
      <w:pPr>
        <w:spacing w:after="0" w:line="13" w:lineRule="exact"/>
        <w:rPr>
          <w:sz w:val="24"/>
          <w:szCs w:val="24"/>
          <w:color w:val="auto"/>
        </w:rPr>
      </w:pPr>
    </w:p>
    <w:p>
      <w:pPr>
        <w:ind w:right="80"/>
        <w:spacing w:after="0" w:line="376" w:lineRule="auto"/>
        <w:rPr>
          <w:sz w:val="20"/>
          <w:szCs w:val="20"/>
          <w:color w:val="auto"/>
        </w:rPr>
      </w:pPr>
      <w:r>
        <w:rPr>
          <w:rFonts w:ascii="Arial" w:cs="Arial" w:eastAsia="Arial" w:hAnsi="Arial"/>
          <w:sz w:val="10"/>
          <w:szCs w:val="10"/>
          <w:color w:val="auto"/>
        </w:rPr>
        <w:t>Certain sections of the Registrant’s definitive Proxy Statement to be filed in connection with the Registrant’s 2022 Annual Meeting of Stockholders are incorporated by reference into Part III of this Annual Report on Form 10-K where indicated. Such definitive Proxy Statement will be filed with the Securities and Exchange Commission pursuant to Regulation 14A within 120 days of the Registrant’s fiscal year ended November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660" w:type="dxa"/>
            <w:vAlign w:val="bottom"/>
            <w:gridSpan w:val="2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3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3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Properties</w:t>
              </w:r>
            </w:hyperlink>
          </w:p>
        </w:tc>
        <w:tc>
          <w:tcPr>
            <w:tcW w:w="72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4.</w:t>
            </w:r>
          </w:p>
        </w:tc>
        <w:tc>
          <w:tcPr>
            <w:tcW w:w="93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rFonts w:ascii="Arial" w:cs="Arial" w:eastAsia="Arial" w:hAnsi="Arial"/>
                <w:sz w:val="18"/>
                <w:szCs w:val="18"/>
                <w:color w:val="0000EE"/>
              </w:rPr>
            </w:pPr>
            <w:hyperlink w:anchor="page112">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[Reserved]</w:t>
              </w:r>
            </w:hyperlink>
          </w:p>
        </w:tc>
        <w:tc>
          <w:tcPr>
            <w:tcW w:w="1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27">
              <w:r>
                <w:rPr>
                  <w:rFonts w:ascii="Arial" w:cs="Arial" w:eastAsia="Arial" w:hAnsi="Arial"/>
                  <w:sz w:val="18"/>
                  <w:szCs w:val="18"/>
                  <w:color w:val="0000EE"/>
                  <w:w w:val="92"/>
                </w:rPr>
                <w:t>Quantitative and Qualitative Disclosures About Market Risk</w:t>
              </w:r>
            </w:hyperlink>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8.</w:t>
            </w:r>
          </w:p>
        </w:tc>
        <w:tc>
          <w:tcPr>
            <w:tcW w:w="9300" w:type="dxa"/>
            <w:vAlign w:val="bottom"/>
            <w:gridSpan w:val="21"/>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65">
              <w:r>
                <w:rPr>
                  <w:rFonts w:ascii="Arial" w:cs="Arial" w:eastAsia="Arial" w:hAnsi="Arial"/>
                  <w:sz w:val="18"/>
                  <w:szCs w:val="18"/>
                  <w:color w:val="0000EE"/>
                  <w:w w:val="90"/>
                </w:rPr>
                <w:t>Changes in and Disagreements with Accountants on Accounting and Financial Disclosure</w:t>
              </w:r>
            </w:hyperlink>
          </w:p>
        </w:tc>
        <w:tc>
          <w:tcPr>
            <w:tcW w:w="28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300" w:type="dxa"/>
            <w:vAlign w:val="bottom"/>
            <w:gridSpan w:val="21"/>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tcBorders>
              <w:right w:val="single" w:sz="8" w:color="0000EE"/>
            </w:tcBorders>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9C.</w:t>
            </w:r>
          </w:p>
        </w:tc>
        <w:tc>
          <w:tcPr>
            <w:tcW w:w="9300" w:type="dxa"/>
            <w:vAlign w:val="bottom"/>
            <w:gridSpan w:val="21"/>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Disclosure Regarding Foreign Jurisdictions that Prevent Inspection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rFonts w:ascii="Arial" w:cs="Arial" w:eastAsia="Arial" w:hAnsi="Arial"/>
                <w:sz w:val="18"/>
                <w:szCs w:val="18"/>
                <w:color w:val="0000EE"/>
              </w:rPr>
            </w:pPr>
            <w:hyperlink w:anchor="page167">
              <w:r>
                <w:rPr>
                  <w:rFonts w:ascii="Arial" w:cs="Arial" w:eastAsia="Arial" w:hAnsi="Arial"/>
                  <w:sz w:val="18"/>
                  <w:szCs w:val="18"/>
                  <w:color w:val="0000EE"/>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6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8"/>
                <w:szCs w:val="18"/>
                <w:color w:val="auto"/>
              </w:rPr>
            </w:pPr>
          </w:p>
        </w:tc>
        <w:tc>
          <w:tcPr>
            <w:tcW w:w="52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300" w:type="dxa"/>
            <w:vAlign w:val="bottom"/>
            <w:gridSpan w:val="21"/>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Certain Relationships and Related Transactions, and Director Independence</w:t>
              </w:r>
            </w:hyperlink>
          </w:p>
        </w:tc>
        <w:tc>
          <w:tcPr>
            <w:tcW w:w="20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9"/>
        </w:trPr>
        <w:tc>
          <w:tcPr>
            <w:tcW w:w="116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Principal Accounting Fees and Services</w:t>
              </w:r>
            </w:hyperlink>
          </w:p>
        </w:tc>
        <w:tc>
          <w:tcPr>
            <w:tcW w:w="38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140"/>
              <w:spacing w:after="0" w:line="190"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w:anchor="page168">
              <w:r>
                <w:rPr>
                  <w:rFonts w:ascii="Arial" w:cs="Arial" w:eastAsia="Arial" w:hAnsi="Arial"/>
                  <w:sz w:val="18"/>
                  <w:szCs w:val="18"/>
                  <w:color w:val="0000EE"/>
                  <w:w w:val="89"/>
                </w:rPr>
                <w:t>Exhibits and Financial Statement Schedules</w:t>
              </w:r>
            </w:hyperlink>
          </w:p>
        </w:tc>
        <w:tc>
          <w:tcPr>
            <w:tcW w:w="6140" w:type="dxa"/>
            <w:vAlign w:val="bottom"/>
            <w:gridSpan w:val="1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11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300" w:type="dxa"/>
            <w:vAlign w:val="bottom"/>
            <w:gridSpan w:val="21"/>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540" w:type="dxa"/>
            <w:vAlign w:val="bottom"/>
            <w:tcBorders>
              <w:top w:val="single" w:sz="8" w:color="0000EE"/>
            </w:tcBorders>
            <w:gridSpan w:val="6"/>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Signatures</w:t>
              </w:r>
            </w:hyperlink>
          </w:p>
        </w:tc>
        <w:tc>
          <w:tcPr>
            <w:tcW w:w="776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000"/>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This Annual Report on Form 10-K contains forward-looking statements.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76" w:lineRule="exact"/>
        <w:rPr>
          <w:sz w:val="20"/>
          <w:szCs w:val="20"/>
          <w:color w:val="auto"/>
        </w:rPr>
      </w:pPr>
    </w:p>
    <w:p>
      <w:pPr>
        <w:jc w:val="both"/>
        <w:ind w:firstLine="589"/>
        <w:spacing w:after="0" w:line="286" w:lineRule="auto"/>
        <w:rPr>
          <w:sz w:val="20"/>
          <w:szCs w:val="20"/>
          <w:color w:val="auto"/>
        </w:rPr>
      </w:pPr>
      <w:r>
        <w:rPr>
          <w:rFonts w:ascii="Arial" w:cs="Arial" w:eastAsia="Arial" w:hAnsi="Arial"/>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57" w:lineRule="exact"/>
        <w:rPr>
          <w:sz w:val="20"/>
          <w:szCs w:val="20"/>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investigational new drug application (IND) submissions for our drug candidates;</w:t>
      </w:r>
    </w:p>
    <w:p>
      <w:pPr>
        <w:spacing w:after="0" w:line="117"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conduct of our clinical trial programs for our lead drug candidates NX-2127, NX-1607, NX-5948, DeTIL-0255 and other drug candidates, including statements regarding the timing of initiation of the clinical trials;</w:t>
      </w:r>
    </w:p>
    <w:p>
      <w:pPr>
        <w:spacing w:after="0" w:line="62" w:lineRule="exact"/>
        <w:rPr>
          <w:rFonts w:ascii="Arial" w:cs="Arial" w:eastAsia="Arial" w:hAnsi="Arial"/>
          <w:sz w:val="18"/>
          <w:szCs w:val="18"/>
          <w:color w:val="auto"/>
        </w:rPr>
      </w:pPr>
    </w:p>
    <w:p>
      <w:pPr>
        <w:ind w:left="1160" w:right="120" w:hanging="572"/>
        <w:spacing w:after="0" w:line="223" w:lineRule="exact"/>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approvals for our lead drug candidates NX-2127, NX</w:t>
      </w:r>
      <w:r>
        <w:rPr>
          <w:rFonts w:ascii="MS PGothic" w:cs="MS PGothic" w:eastAsia="MS PGothic" w:hAnsi="MS PGothic"/>
          <w:sz w:val="18"/>
          <w:szCs w:val="18"/>
          <w:color w:val="auto"/>
        </w:rPr>
        <w:t>‑</w:t>
      </w:r>
      <w:r>
        <w:rPr>
          <w:rFonts w:ascii="Arial" w:cs="Arial" w:eastAsia="Arial" w:hAnsi="Arial"/>
          <w:sz w:val="18"/>
          <w:szCs w:val="18"/>
          <w:color w:val="auto"/>
        </w:rPr>
        <w:t>1607, NX-5948, DeTIL-0255 and other drug candidates;</w:t>
      </w:r>
    </w:p>
    <w:p>
      <w:pPr>
        <w:spacing w:after="0" w:line="94"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DELigase platform and our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our scientific approach and DELigase platform may potentially address a broad range of diseases;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arrangements with Sanofi S.A. and Gilead Sciences, Inc.;</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revenue from future sales of our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the manufacturing of our drug candidates;</w:t>
      </w:r>
    </w:p>
    <w:p>
      <w:pPr>
        <w:spacing w:after="0" w:line="117"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coronavirus (COVID-19) pandemic, including the resurgence of cases relating to the spread of the Delta and Omicron variants, on our business, financial condition, liquidity and results of operations;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achievement of milestones and receipt of royalty payments under our collaborations;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sz w:val="20"/>
          <w:szCs w:val="20"/>
          <w:color w:val="auto"/>
        </w:rPr>
      </w:pPr>
    </w:p>
    <w:p>
      <w:pPr>
        <w:ind w:right="80" w:firstLine="589"/>
        <w:spacing w:after="0" w:line="218" w:lineRule="exact"/>
        <w:rPr>
          <w:sz w:val="20"/>
          <w:szCs w:val="20"/>
          <w:color w:val="auto"/>
        </w:rPr>
      </w:pPr>
      <w:r>
        <w:rPr>
          <w:rFonts w:ascii="Arial" w:cs="Arial" w:eastAsia="Arial" w:hAnsi="Arial"/>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80" w:firstLine="535"/>
        <w:spacing w:after="0" w:line="277" w:lineRule="auto"/>
        <w:rPr>
          <w:sz w:val="20"/>
          <w:szCs w:val="20"/>
          <w:color w:val="auto"/>
        </w:rPr>
      </w:pPr>
      <w:r>
        <w:rPr>
          <w:rFonts w:ascii="Arial" w:cs="Arial" w:eastAsia="Arial" w:hAnsi="Arial"/>
          <w:sz w:val="18"/>
          <w:szCs w:val="18"/>
          <w:color w:val="auto"/>
        </w:rPr>
        <w:t>When used in this report, unless otherwise indicated, “Nurix,” “Company,” “we,” “us” and “our” refers to Nurix Therapeutics, Inc. and its wholly owned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17" w:lineRule="exact"/>
        <w:rPr>
          <w:sz w:val="20"/>
          <w:szCs w:val="20"/>
          <w:color w:val="auto"/>
        </w:rPr>
      </w:pPr>
      <w:r>
        <w:rPr>
          <w:rFonts w:ascii="Arial" w:cs="Arial" w:eastAsia="Arial" w:hAnsi="Arial"/>
          <w:sz w:val="16"/>
          <w:szCs w:val="16"/>
          <w:color w:val="auto"/>
        </w:rPr>
        <w:t xml:space="preserve">We are a clinical stage biopharmaceutical company focused on the discovery, development and commercialization of small molecule therapies designed to modulate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pipeline comprises four clinical stage drug candidates including targeted protein degraders of Bruton’s tyrosine kinase (BTK), a B-cell signaling protein, and inhibitors of Casitas B-lineage lymphoma proto-oncogene B (CBL-B), an E3 ligase that regulates T-cell activation. Our lead drug candidate from our protein degradation portfolio, NX-2127, is an orally bioavailable BTK degrader for the treatment of relapsed or refractory B-cell malignancies. We are currently enrolling patients in the Phase 1a portion of a Phase 1a/1b dose-escalation and cohort expansion study in patients with relapsed or refractory B-cell malignancies. Our second drug candidate from our protein degradation portfolio, NX-5948, is also an orally bioavailable BTK degrader for the treatment of relapsed or refractory B-cell malignancies and potentially autoimmune diseases. We anticipate enrolling our first patient in the first half of 2022 in the Phase 1a portion of a Phase 1a/1b dose-escalation and cohort expansion study in patients with relapsed or refractory B-cell malignancies. Our lead drug candidate from our E3 ligase inhibitor portfolio, NX-1607, is an orally bioavailable CBL-B inhibitor for immuno-oncology indications. We are currently enrolling patients in the Phase 1a portion of a Phase 1a/1b dose-escalation and cohort expansion study in patients with solid tumors and lymphomas. We are also advancing the development of a CBL-B inhibitor, NX-0255, for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use to enhance adoptive T-cell therapy. We are currently recruiting patients in a Phase 1 clinical trial for our first cell therapy candidate, DeTIL</w:t>
      </w:r>
      <w:r>
        <w:rPr>
          <w:rFonts w:ascii="MS PGothic" w:cs="MS PGothic" w:eastAsia="MS PGothic" w:hAnsi="MS PGothic"/>
          <w:sz w:val="16"/>
          <w:szCs w:val="16"/>
          <w:color w:val="auto"/>
        </w:rPr>
        <w:t>‑</w:t>
      </w:r>
      <w:r>
        <w:rPr>
          <w:rFonts w:ascii="Arial" w:cs="Arial" w:eastAsia="Arial" w:hAnsi="Arial"/>
          <w:sz w:val="16"/>
          <w:szCs w:val="16"/>
          <w:color w:val="auto"/>
        </w:rPr>
        <w:t>0255, in patients with gynecologic cancers including ovarian, endometrial, and cervical cancer. Beyond these clinical candidates, we are advancing additional wholly owned, preclinical programs that may expand our therapeutic areas beyond oncology and autoimmune disease to viral diseases, including COVID-19. Our therapeutic areas may be further expanded through our established strategic collaborations with Sanofi S.A. (Sanofi) and Gilead Sciences, Inc. (Gilead).</w:t>
      </w:r>
    </w:p>
    <w:p>
      <w:pPr>
        <w:spacing w:after="0" w:line="105"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In disease settings where currently available treatments are limited by suboptimal efficacy or safety, or where relevant protein targets are not druggable by conventional means, we believe targeted protein modulation represents a novel treatment paradigm with the potential to improve upon or become the standard of care. Recent advances in the field have highlighted the significant therapeutic potential of E3 ligases in promoting targeted protein degradation. In addition, we believe the largely unexplored area of inhibiting E3 ligases directly to increase protein levels represents an equally promising approach. Using our powerful DELigase platform, we have the ability to discover small molecule drug candidates to decrease or increase protein levels by either harnessing or inhibiting the activity of the appropriate E3 ligase, depending on the desired therapeutic effect. We have carefully selected and are progressing over 30 E3 ligases to expand the universe of E3 ligases that can be modulated beyond cereblon and von Hippel-Lindau (VHL), the two predominantly used in the field today. Our DNA-encoded library (DEL) collection consists of billions of small molecule compounds used to identify potential binders to ligases and protein targets as critical starting points in our drug discovery process. The differentiation of our protein modulation platform is in its breadth and versatility, enabling us to alter protein levels either upward or downward for both clinically validated targets, such as BTK, and for targets previously thought to be “undruggable”; that is, proteins that could not be addressed by conventional pharmacological means such as CBL-B.</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ind w:right="80" w:firstLine="432"/>
        <w:spacing w:after="0" w:line="269" w:lineRule="auto"/>
        <w:rPr>
          <w:sz w:val="20"/>
          <w:szCs w:val="20"/>
          <w:color w:val="auto"/>
        </w:rPr>
      </w:pPr>
      <w:r>
        <w:rPr>
          <w:rFonts w:ascii="Arial" w:cs="Arial" w:eastAsia="Arial" w:hAnsi="Arial"/>
          <w:sz w:val="17"/>
          <w:szCs w:val="17"/>
          <w:color w:val="auto"/>
        </w:rPr>
        <w:t>Our protein degradation portfolio includes two clinical-stage chimeric targeting molecules (CTMs) that catalyze potent and specific degradation of BTK, a well validated target for B-cell malignancies. Our two BTK degrader drug candidates, NX-2127 and NX-5948, are orally available CTMs for the treatment of relapsed or refractory B-cell malignancies including non-Hodgkin lymphoma (NHL) and chronic lymphocytic leukemia (CLL). In addition, we plan to develop NX-5948 in certain autoimmune indications. In preclinical studies, we have demonstrated the ability of both NX-2127 and NX-5948 to degrade BTK in tumor cell lines harboring either wild type BTK and the C481S mutation in BTK that confers resistance to currently marketed BTK inhibitors. In these models, BTK degradation correlates with anti-tumor activity. In addition to degrading BTK, NX-2127 was also designed to have IMiD activity. Based on our preclinical data, we believe NX-2127 and NX-5948 has the potential to demonstrate improved clinical benefit over current standard-of-care in multiple oncology indications. We are currently enrolling Phase 1 trials for NX-2127 and we anticipate enrolling our first patient in the first half of 2022 for NX-5948 in patients with relapsed and refractory B-cell malignancies. Initial findings from the first six patients treated at the two lowest doses in the Phase 1 trial of NX-2127 confirmed oral bioavailability and BTK degradation in circulating B cells, including a clinical response observed in patient number one, providing the first proof-of-mechanism data for a CTM in hematologic malignancies.</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E3 ligase inhibitor portfolio includes two clinical-stage small molecule inhibitors of CBL-B, which functions as an intracellular checkpoint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regulating activation of T cells, B cells and NK cells. In preclinical studies, primary human T cells exposed to our lead oral CBL-B ligase inhibitor drug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candidate NX-1607 demonstrated increased T-cell activation in the absence of co-stimulation with CD3 and CD28, a potential advantage in a suppressive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tumor microenvironment. In addition, NX-1607 has been shown in preclinical models to increase T</w:t>
      </w:r>
      <w:r>
        <w:rPr>
          <w:rFonts w:ascii="MS PGothic" w:cs="MS PGothic" w:eastAsia="MS PGothic" w:hAnsi="MS PGothic"/>
          <w:sz w:val="17"/>
          <w:szCs w:val="17"/>
          <w:color w:val="auto"/>
        </w:rPr>
        <w:t>‑</w:t>
      </w:r>
      <w:r>
        <w:rPr>
          <w:rFonts w:ascii="Arial" w:cs="Arial" w:eastAsia="Arial" w:hAnsi="Arial"/>
          <w:sz w:val="17"/>
          <w:szCs w:val="17"/>
          <w:color w:val="auto"/>
        </w:rPr>
        <w:t>cell proliferation and result in increased secretion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interleukin-2 (IL-2) a key cytokine involved in immune activation. We believe that oral delivery of CBL-B inhibitors has the potential to drive immune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cell activation and stimulation of localized IL-2 secretion, leading to enhanced anti-tumor response. As an intracellular immune checkpoint inhibitor,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NX-1607 has potential utility across a wide range of oncology indications. We are currently enrolling patients in the Phase 1a portion of a Phase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1a/1b dose-escalation and cohort expansion study in patients with a variety of solid tumors and lymphoma. We are also developing a second CBL-B ligase</w:t>
      </w:r>
    </w:p>
    <w:p>
      <w:pPr>
        <w:spacing w:after="0" w:line="3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inhibitor, NX</w:t>
      </w:r>
      <w:r>
        <w:rPr>
          <w:rFonts w:ascii="MS PGothic" w:cs="MS PGothic" w:eastAsia="MS PGothic" w:hAnsi="MS PGothic"/>
          <w:sz w:val="17"/>
          <w:szCs w:val="17"/>
          <w:color w:val="auto"/>
        </w:rPr>
        <w:t>‑</w:t>
      </w:r>
      <w:r>
        <w:rPr>
          <w:rFonts w:ascii="Arial" w:cs="Arial" w:eastAsia="Arial" w:hAnsi="Arial"/>
          <w:sz w:val="17"/>
          <w:szCs w:val="17"/>
          <w:color w:val="auto"/>
        </w:rPr>
        <w:t xml:space="preserve">0255, for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use. We believe incorporating NX-0255 into adoptive cell therapy (ACT) has the potential to enhance T</w:t>
      </w:r>
      <w:r>
        <w:rPr>
          <w:rFonts w:ascii="MS PGothic" w:cs="MS PGothic" w:eastAsia="MS PGothic" w:hAnsi="MS PGothic"/>
          <w:sz w:val="17"/>
          <w:szCs w:val="17"/>
          <w:color w:val="auto"/>
        </w:rPr>
        <w:t>‑</w:t>
      </w:r>
      <w:r>
        <w:rPr>
          <w:rFonts w:ascii="Arial" w:cs="Arial" w:eastAsia="Arial" w:hAnsi="Arial"/>
          <w:sz w:val="17"/>
          <w:szCs w:val="17"/>
          <w:color w:val="auto"/>
        </w:rPr>
        <w:t>cell proliferation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phenotype to improve anti-tumor activity. Our lead cellular therapy drug candidate incorporates NX-0255 into the manufacturing process for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production of therapeutic drug-enhanced tumor infiltrating lymphocytes (TIL), which we call drug-enhanced tumor infiltrating lymphocyte (DeTIL).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are currently recruiting patients in a Phase 1 trial of DeTIL-0255 in patients with gynecologic malignancies including ovarian, endometrial, and cervical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cancer.</w:t>
      </w:r>
    </w:p>
    <w:p>
      <w:pPr>
        <w:spacing w:after="0" w:line="103" w:lineRule="exact"/>
        <w:rPr>
          <w:sz w:val="20"/>
          <w:szCs w:val="20"/>
          <w:color w:val="auto"/>
        </w:rPr>
      </w:pPr>
    </w:p>
    <w:p>
      <w:pPr>
        <w:ind w:firstLine="589"/>
        <w:spacing w:after="0" w:line="283" w:lineRule="auto"/>
        <w:rPr>
          <w:sz w:val="20"/>
          <w:szCs w:val="20"/>
          <w:color w:val="auto"/>
        </w:rPr>
      </w:pPr>
      <w:r>
        <w:rPr>
          <w:rFonts w:ascii="Arial" w:cs="Arial" w:eastAsia="Arial" w:hAnsi="Arial"/>
          <w:sz w:val="16"/>
          <w:szCs w:val="16"/>
          <w:color w:val="auto"/>
        </w:rPr>
        <w:t>Beyond our current programs, we are extending our degrader and inhibitor portfolios both on our own and with partners by developing new CTM degraders and ligase inhibitors for a number of targets for which we believe the protein modulation modality can be clinically advantageous over existing therapies. These programs and future programs may have the potential to address diseases with significant unmet need, including autoimmune disease, viral diseases, cancer and neurodegeneration. We have entered into several revenue generating collaborations with large biopharmaceutical companies to leverage our DELigase platform for drug discovery. In December 2019, we entered into a global strategic collaboration with Sanofi, which was subsequently expanded and amended in January 2021, to discover, develop and commercialize a pipeline of innovative targeted protein degradation drugs for patients with challenging diseases in multiple therapeutic areas. In June 2019, we entered into a global strategic collaboration with Gilead to discover, develop and commercialize innovative targeted protein degradation drugs for a wide range of diseases including cancer. Both collaborations allow us to further advance our future pipeline with ten currently identified targets included in these collaborations. In aggregate, we have received $300.5 million</w:t>
      </w:r>
    </w:p>
    <w:p>
      <w:pPr>
        <w:spacing w:after="0" w:line="6"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non-dilutive financing from our collaborators to date, and as of November 30, 2021, we are eligible to receive up to $4.8 billion in potential future fees and milestone payments, as well as royalties on future product sales. We retain options for co-development and co-commercialization rights in the United States for up to four drug candidates discovered under these collaborations.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Corporate Strategy</w:t>
      </w:r>
    </w:p>
    <w:p>
      <w:pPr>
        <w:spacing w:after="0" w:line="121"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Our strategy is to leverage our DELigase platform to discover breakthrough therapies to improve upon existing drugs and address targets that are thought to be undruggable with current modalities. The key elements of our strategy are to:</w:t>
      </w:r>
    </w:p>
    <w:p>
      <w:pPr>
        <w:spacing w:after="0" w:line="58" w:lineRule="exact"/>
        <w:rPr>
          <w:sz w:val="20"/>
          <w:szCs w:val="20"/>
          <w:color w:val="auto"/>
        </w:rPr>
      </w:pPr>
    </w:p>
    <w:p>
      <w:pPr>
        <w:ind w:left="1160" w:right="40" w:hanging="572"/>
        <w:spacing w:after="0" w:line="255"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Advance our lead programs through clinical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four targeted cancer therapy and immune modulating drug candidates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Phase 1 clinical development that we are advancing in 2022. We expect to identify our Phase 1b expansion dose for NX-2127 and commence enrollment in disease-specific expansion cohorts in mid-2022. We also anticipate providing a clinical update on the patients enrolled in the Phase 1a dose escalation study in the second half of 2022. During 2022, we will be enrolling patients across our other three proprietary programs and anticipate reporting initial findings in mid-2022 for NX-1607 and in the second half of 2022 for NX-5948 and DeTIL-0255, including pharmacokinetic and biomarker data for NX-1607 and NX-5948 and initial clinical response assessments for DeTIL-0255.</w:t>
      </w:r>
    </w:p>
    <w:p>
      <w:pPr>
        <w:spacing w:after="0" w:line="84" w:lineRule="exact"/>
        <w:rPr>
          <w:rFonts w:ascii="Arial" w:cs="Arial" w:eastAsia="Arial" w:hAnsi="Arial"/>
          <w:sz w:val="18"/>
          <w:szCs w:val="18"/>
          <w:color w:val="auto"/>
        </w:rPr>
      </w:pPr>
    </w:p>
    <w:p>
      <w:pPr>
        <w:ind w:left="1160" w:hanging="572"/>
        <w:spacing w:after="0" w:line="255"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Enhance and expand our DELigase platform. </w:t>
      </w:r>
      <w:r>
        <w:rPr>
          <w:rFonts w:ascii="Arial" w:cs="Arial" w:eastAsia="Arial" w:hAnsi="Arial"/>
          <w:sz w:val="18"/>
          <w:szCs w:val="18"/>
          <w:color w:val="auto"/>
        </w:rPr>
        <w:t>Targeted protein modulation is a rapidly emerging therapeutic modality that can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advantages over existing modalities. Our proprietary DELigase platform enables us to advance an industry-leading approach to either selectively decrease or increase protein levels. We intend to continue to invest resources in our research and development activities to expand the breadth of our DELigase platform both in terms of the number of ligases available for drug discovery and the scale of our DEL collection. We plan to leverage our platform capabilities to further enhance our position as a leader in the promising field of protein modulation.</w:t>
      </w:r>
    </w:p>
    <w:p>
      <w:pPr>
        <w:spacing w:after="0" w:line="80" w:lineRule="exact"/>
        <w:rPr>
          <w:rFonts w:ascii="Arial" w:cs="Arial" w:eastAsia="Arial" w:hAnsi="Arial"/>
          <w:sz w:val="18"/>
          <w:szCs w:val="18"/>
          <w:color w:val="auto"/>
        </w:rPr>
      </w:pPr>
    </w:p>
    <w:p>
      <w:pPr>
        <w:ind w:left="1160" w:right="100" w:hanging="572"/>
        <w:spacing w:after="0" w:line="25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Discover and develop new targeted protein modulation drug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select new targets for which we have evidence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modulation of protein levels may provide a distinct therapeutic advantage over traditional small molecule inhibitors, or which have been considered undruggable by existing modalities. We have multiple additional wholly owned and partnered targets in DEL screening, lead optimization and preclinical research. We plan to use our DELigase platform to continue to explore new targets with potential applications in autoimmune, cancer, neurodegeneration and viral diseases.</w:t>
      </w:r>
    </w:p>
    <w:p>
      <w:pPr>
        <w:spacing w:after="0" w:line="79" w:lineRule="exact"/>
        <w:rPr>
          <w:rFonts w:ascii="Arial" w:cs="Arial" w:eastAsia="Arial" w:hAnsi="Arial"/>
          <w:sz w:val="18"/>
          <w:szCs w:val="18"/>
          <w:color w:val="auto"/>
        </w:rPr>
      </w:pPr>
    </w:p>
    <w:p>
      <w:pPr>
        <w:ind w:left="1160" w:right="60" w:hanging="572"/>
        <w:spacing w:after="0" w:line="289"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Explore additional strategic collaborations to maximize the commercial potential of our DELigase platform and our drug candidates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received $300.5 million in non-dilutive funding to date from our partnerships to support our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activities and to create new targeted protein modulation drugs with our partners. Under our Sanofi and Gilead partnerships as of November 30, 2021, we have the opportunity to receive up to $4.8 billion in potential future fees and milestone payments, as well as royalties on future sales while retaining certain commercialization options. We currently retain worldwide development and commercialization rights to our BTK and CBL-B portfolios. While we intend to become a fully integrated biopharmaceutical company and build a targeted sales force in the United States to support the commercialization of our drug candidates, if approved, we intend to selectively evaluate technology collaborations and commercialization partnerships for our drug candidates with partners whose capabilities complement our own while retaining meaningful commercial rights in key geographic territories.</w:t>
      </w:r>
    </w:p>
    <w:p>
      <w:pPr>
        <w:spacing w:after="0" w:line="58" w:lineRule="exact"/>
        <w:rPr>
          <w:rFonts w:ascii="Arial" w:cs="Arial" w:eastAsia="Arial" w:hAnsi="Arial"/>
          <w:sz w:val="16"/>
          <w:szCs w:val="16"/>
          <w:color w:val="auto"/>
        </w:rPr>
      </w:pPr>
    </w:p>
    <w:p>
      <w:pPr>
        <w:ind w:left="1160" w:right="24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development organization to support advancing multiple programs. </w:t>
      </w:r>
      <w:r>
        <w:rPr>
          <w:rFonts w:ascii="Arial" w:cs="Arial" w:eastAsia="Arial" w:hAnsi="Arial"/>
          <w:sz w:val="18"/>
          <w:szCs w:val="18"/>
          <w:color w:val="auto"/>
        </w:rPr>
        <w:t>We have expanded and continue to expand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to support four wholly owned clinical programs. These investments in human capital include clinical operations, chemistry, manufacturing and controls, regulatory affairs, and medical affairs.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proteins in disease and ubiquitin-proteasome system biology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Proteins as targets in treating disease</w:t>
      </w:r>
    </w:p>
    <w:p>
      <w:pPr>
        <w:spacing w:after="0" w:line="117"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Each cell type within the body is comprised of proteins that define its biochemistry and biological function. When proteins are expressed and regulated correctly, the health of each individual cell as well as the body as a whole is maintained. However, disease can occur when normal cellular processes are dysregulated as a result of changes in protein structure, function, expression levels, or pathway regulation. Factors such as genetic mutations, infection, exposure to toxins, diet and behavior can lead to dysregulation of cellular processes and, if unchecked, a disease process.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right="120" w:firstLine="589"/>
        <w:spacing w:after="0" w:line="272" w:lineRule="auto"/>
        <w:rPr>
          <w:sz w:val="20"/>
          <w:szCs w:val="20"/>
          <w:color w:val="auto"/>
        </w:rPr>
      </w:pPr>
      <w:r>
        <w:rPr>
          <w:rFonts w:ascii="Arial" w:cs="Arial" w:eastAsia="Arial" w:hAnsi="Arial"/>
          <w:sz w:val="17"/>
          <w:szCs w:val="17"/>
          <w:color w:val="auto"/>
        </w:rPr>
        <w:t>The traditional approach to discovering treatments for disease has involved the development of small molecule drugs that bind to a protein’s surface and modulate its activity. These “druggable” proteins contain distinct structural features that mediate protein function called active sites which can be exploited when identifying and optimizing compounds that disrupt protein activity. However, the vast majority of the body’s proteins do not have distinct active sites that can be targeted using traditional discovery methods. Because dysregulation and disease are not restricted to these “druggable” proteins, a significant number of therapeutically relevant proteins have not been addressed by traditional small molecule drugs. Other modalities including antibody and protein-based therapies, genetic medicines and cell therapies have emerged to address these issues but are still limited by their modes of delivery, scalability and their therapeutic applications.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Leveraging E3 ligases and the ubiquitin proteasome system as a new treatment modality</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Normal cellular physiology requires highly orchestrated and regulated processes that operate at the level of individual proteins. The ability of proteins to respond to stimuli quickly and in a coordinated fashion requires protein function to be readily controllable. One of the most exquisitely ordered cellular systems governing cellular proteins is the ubiquitin proteasome system (UPS).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125730</wp:posOffset>
            </wp:positionV>
            <wp:extent cx="5177790" cy="1748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7779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As depicted above, the UPS is responsible for regulating and maintaining normal protein levels in the cell. An important class of enzymes called E3 ligases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Modulating protein levels through small molecule therapeutics targeting E3 ligases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Advances in our understanding of the UPS suggest broad potential for development of new therapies that modulate E3 ligases in context of diseases such as cancer and autoimmune disorders. An example are the IMiDs, which include the approved cancer drugs Revlimid (lenalidomide) and Pomalyst (pomalidomide). IMiDs exert their therapeutic effects by targeting the E3 ligase cereblon and redirecting its activity toward proteins it would not normally degrade such as Aiolos, a transcription factor regulating immune cell function. Elucidation of this mechanism led to the recognition that pharmacological control of E3 ligase activity could more generally represent a promising new paradigm for small molecule drug action. This idea has since translated into the development of targeted protein degraders, which we believe have significant therapeutic potential. In addition, the largely unexplored area of inhibiting E3 ligases directly to increase cellular protein levels may represent an equally promising approach.</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ind w:left="1160" w:right="60" w:hanging="572"/>
        <w:spacing w:after="0" w:line="25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Harnessing E3 ligases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protein degradation harnesses the natural activity of ligases to remove specific proteins from the cell.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protein degradation is accomplished by using bifunctional small molecules, which are composed of an E3 ligase binding element, or harness, linked to a target protein binding element. Unlike traditional small molecule inhibition, targeted protein degradation is catalytic whereby one molecule can induce the degradation of multiple copies of the protein target, enabling the efficient elimination of cellular proteins. In addition, since the effect is mediated through the binding of a small molecule drug rather than through functional inhibition, proteins lacking active sites are potentially targetable, greatly expanding the spectrum of both proteins and diseases amenable to small molecule therapeutic intervention.</w:t>
      </w:r>
    </w:p>
    <w:p>
      <w:pPr>
        <w:spacing w:after="0" w:line="80" w:lineRule="exact"/>
        <w:rPr>
          <w:rFonts w:ascii="Arial" w:cs="Arial" w:eastAsia="Arial" w:hAnsi="Arial"/>
          <w:sz w:val="18"/>
          <w:szCs w:val="18"/>
          <w:color w:val="auto"/>
        </w:rPr>
      </w:pPr>
    </w:p>
    <w:p>
      <w:pPr>
        <w:ind w:left="1160" w:right="20" w:hanging="572"/>
        <w:spacing w:after="0" w:line="258"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Inhibiting E3 ligases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inhibiting the function of E3 ligases, it is possible to rapidly increase specific proteins levels to control biological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pathways. Increasing the levels of distinct sets of proteins could be a powerful approach to blocking pathological processes and restoring normal physiology. While there is enthusiasm in the scientific community around the therapeutic potential of E3 ligase inhibition, the discovery of such inhibitors has been impeded by the limited understanding of this biochemically and structurally complex class of enzymes.</w:t>
      </w:r>
    </w:p>
    <w:p>
      <w:pPr>
        <w:spacing w:after="0" w:line="79"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We believe that targeting E3 ligases to modulate protein levels represents a new therapeutic frontier that retains the favorable attributes of small molecule treatment modalities while addressing some major limitations. In addition to the points above, we believe other key differentiating attributes of our treatment modality include:</w:t>
      </w:r>
    </w:p>
    <w:p>
      <w:pPr>
        <w:spacing w:after="0" w:line="72" w:lineRule="exact"/>
        <w:rPr>
          <w:sz w:val="20"/>
          <w:szCs w:val="20"/>
          <w:color w:val="auto"/>
        </w:rPr>
      </w:pPr>
    </w:p>
    <w:p>
      <w:pPr>
        <w:ind w:left="1160" w:right="480" w:hanging="572"/>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Expansive therapeutic potential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UPS and its associated E3 ligases function across the majority of cell types and organ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making it possible to modulate virtually any protein of interest for a wide range of diseases.</w:t>
      </w:r>
    </w:p>
    <w:p>
      <w:pPr>
        <w:spacing w:after="0" w:line="53" w:lineRule="exact"/>
        <w:rPr>
          <w:rFonts w:ascii="Arial" w:cs="Arial" w:eastAsia="Arial" w:hAnsi="Arial"/>
          <w:sz w:val="18"/>
          <w:szCs w:val="18"/>
          <w:color w:val="auto"/>
        </w:rPr>
      </w:pPr>
    </w:p>
    <w:p>
      <w:pPr>
        <w:ind w:left="1160" w:right="460" w:hanging="572"/>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Deliverable and Tunable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Oral delivery of small molecule compounds lends itself to broad medical applicability in a range of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populations with delivery that may be readily calibrated through dosing schedule and quantity.</w:t>
      </w:r>
    </w:p>
    <w:p>
      <w:pPr>
        <w:spacing w:after="0" w:line="5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Ease of manufacturing</w:t>
      </w:r>
      <w:r>
        <w:rPr>
          <w:rFonts w:ascii="Arial" w:cs="Arial" w:eastAsia="Arial" w:hAnsi="Arial"/>
          <w:sz w:val="18"/>
          <w:szCs w:val="18"/>
          <w:color w:val="auto"/>
        </w:rPr>
        <w:t>. Development and manufacturing of small molecules utilizes established, cost-efficient processes that are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scalable.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approach leverages the specificity of E3 ligases and the natural function of the UPS to regulate the cellular proteome for therapeutic effect. Development of therapies that modulate E3 ligases has been historically limited by the inherent difficulties in building biochemical and cellular assays relevant for measuring E3 ligase function, as well as by the relative lack of mechanistic understanding of this critical class of proteins. Through our focused efforts and investment over the past several years, we have developed proprietary tools, in-depth knowledge and expertise relating to E3 ligases as targets for drug discovery. In addition, we have assembled a team that has extensive experience applying DEL discovery technologies to a wide variety of proteins including targets previously considered undruggable. Together, these capabilities and insights have allowed us to develop a powerful platform technology called DELigase to identify and advance novel drug candidates that either selectively increase or decrease protein levels within the cell.</w:t>
      </w:r>
    </w:p>
    <w:p>
      <w:pPr>
        <w:spacing w:after="0" w:line="58"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DELigase platform combines our proprietary DELs and E3 ligase expertise to empower efficient drug discovery. DEL technology is well suited to finding new binders for targets thought to be undruggable, which include the vast majority of proteins encoded in the human genome including E3 ligases.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Our DELigase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83185</wp:posOffset>
            </wp:positionV>
            <wp:extent cx="5194935" cy="2194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9493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 technology taps enormous chemical space to overcome “druggability” limits</w:t>
      </w:r>
    </w:p>
    <w:p>
      <w:pPr>
        <w:spacing w:after="0" w:line="117"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Our DEL collection comprises several billion compounds whereas typical screening collections contain less than a few million. This increased scale provides the necessary chemical diversity to identify chemical starting points for more challenging protein targets that have been considered undruggable by other approaches. DEL technology evaluates each library compound simultaneously in a single experiment, enabling a more accurate assessment of compound function. In addition, because DEL drug discovery is performed by measuring compound binding rather than biochemical activity it allows inclusion of proteins for which biochemical assays are lacking or not feasible. Further, the relative ease with which binding screens can be performed and interpreted provides sufficient flexibility to allow evaluation of structurally complicated proteins like E3 ligases, which display distinct conformations and activity states and are often part of large multi-protein complexes. Lastly, a chemical linker attaches each DEL compound to a strand of DNA, which functions as a structure barcode allowing screening hits to be easily identified. DEL’s built in chemical linker is also an advantage in the context of identifying bifunctional degraders, as it allows the discovery of compounds that can effectively bind proteins when linked to a partner molecule.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DELigase platform was designed for E3 ligase discovery</w:t>
      </w:r>
    </w:p>
    <w:p>
      <w:pPr>
        <w:spacing w:after="0" w:line="117"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Our integrated DELigase platform relies on proprietary DELs we have specifically engineered to identify and select binders against a diverse group of target protein classes, including some considered to be undruggable, as well as binders to E3 ligases. Key features of our DELigase platform include:</w:t>
      </w:r>
    </w:p>
    <w:p>
      <w:pPr>
        <w:spacing w:after="0" w:line="16" w:lineRule="exact"/>
        <w:rPr>
          <w:sz w:val="20"/>
          <w:szCs w:val="20"/>
          <w:color w:val="auto"/>
        </w:rPr>
      </w:pPr>
    </w:p>
    <w:p>
      <w:pPr>
        <w:ind w:left="1160" w:hanging="572"/>
        <w:spacing w:after="0" w:line="311"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Custom-synthesized scaffold-based DELs. </w:t>
      </w:r>
      <w:r>
        <w:rPr>
          <w:rFonts w:ascii="Arial" w:cs="Arial" w:eastAsia="Arial" w:hAnsi="Arial"/>
          <w:sz w:val="16"/>
          <w:szCs w:val="16"/>
          <w:color w:val="auto"/>
        </w:rPr>
        <w:t>Our custom-synthesized chemical scaffolds impart desirable, drug-like chemical properties, like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solubility, into each library compound in a manner that cannot be achieved when building DEL collections solely from commercial inputs. In addition, these scaffolds are ideally suited for binding to the shallow binding pockets on the surfaces of proteins like E3 ligases.</w:t>
      </w:r>
    </w:p>
    <w:p>
      <w:pPr>
        <w:spacing w:after="0" w:line="36" w:lineRule="exact"/>
        <w:rPr>
          <w:rFonts w:ascii="Arial" w:cs="Arial" w:eastAsia="Arial" w:hAnsi="Arial"/>
          <w:sz w:val="16"/>
          <w:szCs w:val="16"/>
          <w:color w:val="auto"/>
        </w:rPr>
      </w:pPr>
    </w:p>
    <w:p>
      <w:pPr>
        <w:ind w:left="1160" w:right="40" w:hanging="572"/>
        <w:spacing w:after="0" w:line="256"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Covalent small molecule discovery using DELs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expertise in aqueous synthetic chemistry and affinity screening technology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allowed us to integrate covalent drug discovery into our DELigase platform through the introduction of covalent DELs. The formation of a covalent bond enables more efficient identification of binders to transient or cryptic binding pockets on a protein’s surface, making covalent DELs an ideal discovery tool for challenging protein targets like E3 ligases. In addition, covalent and reversible covalent compounds have begun to show promise in augmenting performance of targeted protein degraders, suggesting that our covalent DELs may have additional utility.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 w:name="page10"/>
    <w:bookmarkEnd w:id="9"/>
    <w:p>
      <w:pPr>
        <w:ind w:left="1160" w:hanging="572"/>
        <w:spacing w:after="0" w:line="281" w:lineRule="auto"/>
        <w:tabs>
          <w:tab w:leader="none" w:pos="11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Proprietary data analysis and hit confirmation technologies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built a suite of custom analytical tools including machine learning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interpretation and prioritization of our DEL binder outputs, which routinely contain thousands of productive hits. We have also developed high throughput methods for nanoscale hit resynthesis and affinity selection mass spectroscopy that allow a more comprehensive and industrialized process for identifying the best chemical starting points for future pipeline programs.</w:t>
      </w:r>
    </w:p>
    <w:p>
      <w:pPr>
        <w:spacing w:after="0" w:line="56" w:lineRule="exact"/>
        <w:rPr>
          <w:rFonts w:ascii="Arial" w:cs="Arial" w:eastAsia="Arial" w:hAnsi="Arial"/>
          <w:sz w:val="17"/>
          <w:szCs w:val="17"/>
          <w:color w:val="auto"/>
        </w:rPr>
      </w:pPr>
    </w:p>
    <w:p>
      <w:pPr>
        <w:jc w:val="both"/>
        <w:ind w:left="1160" w:right="20" w:hanging="572"/>
        <w:spacing w:after="0" w:line="266"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Many screens, one protein target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E3 ligases can exist in multiple potential conformation states. Our approach uses comprehensive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screening campaigns to interrogate numerous states and surfaces of the target protein. An illustration of how we probe the surface of an E3 ligase by DEL screening is depicted in the graphic below.</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An E3 Ligase protein complex bound to a DEL molecule representing just one of several possible protein conformations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220345</wp:posOffset>
            </wp:positionV>
            <wp:extent cx="5186680" cy="2314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668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DELigase discovery platform enables us to address multiple therapeutic applications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have expanded the universe of E3 ligases available for therapeutic manipulation from the two predominantly used in the field, cereblon and VHL, by screening over 30 additional E3 ligases to date. We have carefully selected these E3 ligases for use in drug discovery across our four core areas of therapeutic expertise: oncology, immuno-oncology, adoptive cell therapy and immune disorders. We consider the unique biological function of each ligase and the therapeutic requirements of the disease state for inhibitor programs. For ligases that direct targeted protein degradation, we take into account the biochemical specificity of the E3 ligase as well as tissue specificity of action and cellular localization of the target protein. E3 ligases that are required for cancer cell survival are also of high interest for cancer indications to reduce the risk of intrinsic resistance to degrader action. We are growing our set of E3 ligases for use in our DELigase platform tailored to our core therapeutic areas.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DELigase for E3 ligase harnesses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We apply our platform to utilize the ubiquitination function of E3 ligases for targeted protein degradation. Our DELigase platform enables us to identify binders to E3 ligases, which we refer to as harnesses, as well as binders to degradation targets. We use these molecular starting points to design compounds using a modular approach that connects an E3 ligase harness to a target protein binder with a linker. We refer to these bifunctional molecules as CTMs, which function by bringing the E3 ligase into proximity of the target protein to catalyzing its ubiquitination and degradation. The process of designing CTMs and their activity is shown in the graphic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i w:val="1"/>
          <w:iCs w:val="1"/>
          <w:color w:val="auto"/>
        </w:rPr>
        <w:t>DELigase allows the discovery of small molecule binders in the context of a chemical linker, enabling CTM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220345</wp:posOffset>
            </wp:positionV>
            <wp:extent cx="5288915" cy="2082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8891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DELigase for E3 ligase inhibitors</w:t>
      </w:r>
    </w:p>
    <w:p>
      <w:pPr>
        <w:spacing w:after="0" w:line="11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By inhibiting the function of E3 ligases, it is possible to rapidly increase specific protein levels to control biological pathways. Increasing the levels of distinct sets of proteins could be a powerful approach to blocking pathological processes and restoring normal physiology. Our DELigase platform enables the identification of inhibitors through parallel screening of distinct E3 ligase activity states using chemical matter tailored specifically for binding to E3 ligases. Our substantial expertise in E3 ligase biochemistry and biology has allowed us to identify and develop potent inhibitors of E3 ligases that play pivotal roles in T-cell signaling and immune cell function.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DELs allow access to a spectrum of binders across the protein surface, some of which inhibit protein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151765</wp:posOffset>
            </wp:positionV>
            <wp:extent cx="4886325" cy="2606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8632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Drug candidate identification and selection process</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employ a series of processes and studies from target validation to preclinical development for selection of the appropriate candidate for further development. We have invested in an integrated drug development infrastructure that enables us to perform every step of the drug discovery and early preclinical development process within our research facility. Each of our primary areas of core expertise and technology are highlighted in the below illustration.</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Our integrated drug discovery and development system and core technical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3"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Our Drug Candidates</w:t>
      </w:r>
    </w:p>
    <w:p>
      <w:pPr>
        <w:spacing w:after="0" w:line="121"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Our pipeline consists of a protein degradation portfolio of CTM drug candidates that degrade target proteins and our ligase inhibitor portfolio of drug candidates that raise substrate protein levels. These two portfolios demonstrate our ability to both increase and decrease protein levels in cells through the modulation of E3 ligases.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57150</wp:posOffset>
            </wp:positionV>
            <wp:extent cx="5349240" cy="2005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addition to our CBL-B and BTK portfolios, our wholly owned drug discovery pipeline includes several CTM programs that are at DEL discovery, cell-based screening and lead optimization stages. Our CTM drug discovery programs include targets for autoimmunity, hematology, oncology and antivirals. We believe targeted protein degradation may offer an advantage over existing anti-viral agents, which largely focus on a limited set of viral targets that can be inhibited by small molecules. The fundamentally different pharmaco-kinetic and pharmaco-dynamic action of CTMs, due to the catalytic nature of ligase-mediated degradation, may allow for the rapid removal of viral proteins and successful interruption of the viral life cycle. In addition, we have over 30 ligase programs at various stages of DEL discovery, cell-based screening and lead optimization.</w:t>
      </w:r>
    </w:p>
    <w:p>
      <w:pPr>
        <w:spacing w:after="0" w:line="70"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Although we believe our drug candidates have the potential to improve upon existing drugs and address targets that are thought to be undruggable with current modalities, we will need to complete additional preclinical studies and clinical trials to determine the safety and efficacy of our drug candidates. The results of these future studies and trials may be different than the results of our earlier studies and trials. We have not received regulatory approval for any of our drug candidates, and in order to obtain regulatory approval and commercialize our drug candidates, the FDA or foreign regulatory agencies will need to determine that our drug candidates are safe and effective.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Protein degradation portfolio: Bruton’s Tyrosine Kinase degraders</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have developed two CTMs that are potent degraders of the BTK protein, a genetically validated signaling factor that drives B-cell activation and proliferation. Our BTK degraders use the E3 ligase cereblon and may be engineered to include IMiD activity, a well validated mechanism to treat hematologic malignancies. Our lead BTK CTM development candidate, NX-2127, is a dual degrader of both BTK and Aiolos, a protein target of IMiD drugs. In certain B-cell malignancy indications, we believe dual activity may provide therapeutic advantages that could result in improved outcomes. Our second BTK CTM development candidate, NX-5948, degrades BTK without degrading Aiolos. NX-5948 is further differentiated from NX-2127 because it has demonstrated the ability to cross the blood brain barrier in animal models and degrade BTK in both brain-resident tumor cells and normal microglia in the brain. We are currently enrolling Phase 1 trials for NX-2127 and we are anticipate enrolling our first patient in the first half of 2022 for NX-5948 in patients with relapsed or refractory B-cell malignancies.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BTK’s role in B-cell malignancy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BTK is a key component of the B-cell receptor signaling pathway and has been clinically validated as a target in the treatment of B-</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cell malignancies. It is estimated that over 81 thousand people in the United States will be diagnosed with NHLs in 2021. Approximately 85% of NHLs are a result of B-cell malignancies. The natural progression of NHL varies widely and takes multiple forms, ranging from aggressive subtypes such as diffuse large B-cell lymphoma (DLBCL), to more indolent forms such as follicular lymphoma (FL), which account for approximately 30% and 22% of all NHL cases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BTK inhibitors and IMiDs for B-cell malignancies</w:t>
      </w:r>
    </w:p>
    <w:p>
      <w:pPr>
        <w:spacing w:after="0" w:line="117"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BTK inhibitor Imbruvica (ibrutinib) is approved for the treatment of CLL and various forms of NHLs, including mantle cell lymphoma (MCL), Waldenstrom’s macroglobulinemia (WM), and marginal zone lymphoma (MZL). Calquence, or acalabrutinib, is approved for use in CLL and MCL, and Brukinsa, or zanubrutinib, is approved for use in MCL, WM, and MZL. In 2020, global sales of BTK inhibitors were approximately $7.2 billion. These BTK inhibitors bind covalently to cysteine C481 of the BTK protein and irreversibly inhibit BTK; however, all have some off-target binding to other kinases, which leads to unwanted side effects. In addition, acquired resistance, most commonly through mutations in C481, may limit long term efficacy of these first generation BTK inhibitors. A number of noncovalent BTK inhibitors are currently being investigated in clinical trials as potential therapies for patients with relapsed and refractory disease. We believe targeted protein degradation of BTK may be a superior approach to existing covalent or noncovalent BTK inhibitors that only inhibit enzyme activity, particularly in the relapsed and refractory setting, and in the setting of resistance mutations including at C481.</w:t>
      </w:r>
    </w:p>
    <w:p>
      <w:pPr>
        <w:spacing w:after="0" w:line="88"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IMiDs are analogs of Thalomid, or thalidomide, including Revlimid, or lenalidomide, and Pomalyst, or pomalidomide, which possess several anti-tumor properties, including anti-angiogenic and anti-proliferative effects. IMiDs also have multiple effects on the immune system, including enhancement of T-cell mediated and NK-cell mediated immunity. Revlimid, the market leading IMiD by global sales, was first approved in 2006 for the treatment of multiple myeloma. In May of 2019, Revlimid in combination with Rituxan received a supplemental indication approval for previously treated FL, MZL and MCL, and in August of 2020, Revlimid in combination with Monjuvi received a supplemental indication in DLBCL, thus validating the importance of the IMiD activity in these indications. In 2020, global sales of Revlimid were approximately $12 billion. Subsequent to their approval and successful commercialization, studies demonstrated that IMiDs exert their therapeutic effect by triggering the degradation of specific proteins including Aiolos through the E3 ligase activity of cereblon and hence were identified retrospectively as the first approved drugs to target an E3 ligase.</w:t>
      </w:r>
    </w:p>
    <w:p>
      <w:pPr>
        <w:spacing w:after="0" w:line="5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Published studies have recently reported early clinical data showing that combining a BTK inhibitor with an IMiD may have the potential to augment clinical activity of certain standard of care agents in some hematologic malignancies such as non-GCB DLBCL. Further, scientific publications have previously described synthetic lethality in a DLBCL cell line treated with both ibrutinib and lenalidomide. By targeting both BTK and IMiD pathways simultaneously, it is believed that the survival mechanisms driven by accumulated mutations within certain cancers can be overcome, thereby preventing escape and disease relapse. This may be especially effective if each pathway has not only different functions but also if they share certain critical components. One possible intersection pathway is the suppression of interferon regulatory factor 4, a member of a family of transcription factors leading to a cell lethal increase in interferon production. The early clinical study cited above was particularly noteworthy since few combinations have previously produced promising results in DLBCL. This may suggest that simultaneous degradation of BTK combined with IMiD activity by a single agent could produce an additive or synergistic effect in certain B-cell malignancies.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BTK in autoimmune disease and related disorders</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B-cell responses to foreign antigens are mediated through BTK interaction with B-cell receptors, initiating a signaling cascade central in the production of antibodies, proinflammatory cytokines and chemokines. BTK is also expressed at high levels in certain myeloid cells, such as macrophages and granulocytes, in which receptor activation by immune complexes promotes BTK mediated expression of proinflammatory cytokines and cell adhesion molecules. Collectively, these actions contribute to the selective elimination of foreign antigens by the immune system. However, the immune system can mistakenly identify self-proteins as foreign antigens leading to autoimmunity, and the role of BTK in promoting the inflammatory process has been implicated in a number of autoimmune disorders.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Preclinical development of BTK degraders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We have conducted extensive preclinical studies of our two clinical-stage BTK CTMs. We have demonstrated that both NX-2127 and NX-5948 can induce BTK degradation and inhibit tumor growth with oral administration in xenograft mouse models implanted with both wild type and ibrutinib-resistant lymphoma cell lines. We have specifically designed NX-2127 as a dual degrader of BTK and Aiolos, a target protein of IMiDs, and we have designed NX-5948 to degrade BTK with limited or no IMiD activity for potential applications in indications where sparing IMiD activity may be beneficial. We have also demonstrated the ability of both NX-2127 and NX-5948 to degrade BTK in circulating B-cells of non-human primates following once daily oral dosing.</w:t>
      </w:r>
    </w:p>
    <w:p>
      <w:pPr>
        <w:spacing w:after="0" w:line="84"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We have optimized NX-2127 and NX-5948 to be able to degrade both wild type BTK and the C481S variant of BTK that has been identified as the most common mutation in patients who have become resistant to ibrutinib therapy over time. In the figure below, we show the concentration dependent degradation of both wild-type BTK (top left) and C481S mutant BTK (top right) in a lymphoma cell line (TMD8) for our clinical candidate NX-5948. We have also demonstrated that NX-5948 induces rapid BTK degradation over time in a lymphoma cell line (Ramos) as compared to a control protein, with nearly complete loss of BTK within one hour of administration as shown in the figure below at the bottom.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120650</wp:posOffset>
            </wp:positionV>
            <wp:extent cx="5143500" cy="3000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right="160" w:firstLine="589"/>
        <w:spacing w:after="0" w:line="286" w:lineRule="auto"/>
        <w:rPr>
          <w:sz w:val="20"/>
          <w:szCs w:val="20"/>
          <w:color w:val="auto"/>
        </w:rPr>
      </w:pPr>
      <w:r>
        <w:rPr>
          <w:rFonts w:ascii="Arial" w:cs="Arial" w:eastAsia="Arial" w:hAnsi="Arial"/>
          <w:sz w:val="17"/>
          <w:szCs w:val="17"/>
          <w:color w:val="auto"/>
        </w:rPr>
        <w:t>Using a human lymphoma cell line (TMD8), we have demonstrated that both NX-2127 and NX-5948 have an ability to degrade BTK and inhibit growth of tumor cell lines that are resistant to ibrutinib. As shown in the charts below, our BTK CTM NX-5948 can inhibit both wild type and ibrutinib-resistant tumor cell line growth, where approved BTK inhibitors ibrutinib and acalabrutinib lose activity against the C481S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114300</wp:posOffset>
            </wp:positionV>
            <wp:extent cx="5297805" cy="2357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9780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Potent tumor growth inhibition was achieved at varying doses of orally administered NX-2127 in mouse xenograft tumor models with a wild type BTK protein, as shown in the figure below on the top right. In this same model, NX-2127 demonstrated potent degradation of BTK in both circulating B cells (below on the top left) and in lymphoma tumors (below top middle). In this model system 80% BTK degradation in circulating B cells correlated with 74% tumor growth inhibition, and 90% BTK degradation in circulating B cells correlated with 100% tumor growth inhibition. These target levels of inhibition suggest a potential therapeutic range correlating BTK degradation to tumor growth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120650</wp:posOffset>
            </wp:positionV>
            <wp:extent cx="5340350" cy="25031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035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6" w:name="page17"/>
    <w:bookmarkEnd w:id="16"/>
    <w:p>
      <w:pPr>
        <w:ind w:right="20" w:firstLine="589"/>
        <w:spacing w:after="0" w:line="257" w:lineRule="auto"/>
        <w:rPr>
          <w:sz w:val="20"/>
          <w:szCs w:val="20"/>
          <w:color w:val="auto"/>
        </w:rPr>
      </w:pPr>
      <w:r>
        <w:rPr>
          <w:rFonts w:ascii="Arial" w:cs="Arial" w:eastAsia="Arial" w:hAnsi="Arial"/>
          <w:sz w:val="18"/>
          <w:szCs w:val="18"/>
          <w:color w:val="auto"/>
        </w:rPr>
        <w:t>In addition to BTK degradation, we have also demonstrated the ability of NX-2127 to degrade Aiolos, a protein target of IMiD drugs in preclinical studies, as shown in the figure below on the left. Studies in human T cells comparing NX-2127 to the IMiD drugs lenalidomide and pomalidomide have shown comparable Aiolos degradation and resultant T-cell activation, as shown in the figure below on the right. Based on the clinical data of both ibrutinib and the IMiDs in B-cell malignancies, we believe that this strategy of targeting both BTK and Aiolos in a single oral treatment may improve anti-tumor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128270</wp:posOffset>
            </wp:positionV>
            <wp:extent cx="5246370" cy="2099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4637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anticipate that the ability of NX-2127 to degrade both BTK and Aiolos will confer unique anti-tumor activity. One example is in the preclinical mantle cell lymphoma model (REC-1). BTK inhibitors and IMiD drugs have both demonstrated single agent clinical activity in mantle cell lymphoma. In the REC-1 model shown in the figure below, covalent BTK inhibitors such as ibrutinib demonstrate potent but incomplete activity (left). The same is true for non-covalent inhibitors such as pirtobrutinib (below, right). IMiDs, such as pomalidomide, demonstrate a more complete cell killing but at higher drug concentrations (below, left). NX-2127 outperforms all of these drugs in this model, demonstrating both potent activity and complete cell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5194935" cy="2503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9493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NX-2127, a development candidate for the treatment of B-cell malignancies</w:t>
      </w:r>
    </w:p>
    <w:p>
      <w:pPr>
        <w:spacing w:after="0" w:line="117"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 xml:space="preserve">Despite the increasing number of approved treatments for B-cell malignancies, significant unmet need remains for patients with relapsed, refractory disease. We believe that NX-2127, a novel agent with a dual BTK and Aiolos degradation mechanism of action, could address such patient populations. We have conducted a preclinical program to characterize NX-2127 as our lead development candidate. NX-2127 has demonstrated promising activity in multiple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using human cancer cell lines. Oral administration of NX-2127 demonstrated dose proportional degradation of BTK proteins in mouse models and showed potent anti-tumor activity against C481S ibrutinib-resistant lymphoma in a xenograft mouse tumor model. NX-</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2127 demonstrated favorable drug-like characteristics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performed through our preclinical development candidate selection process. Taken together, these data suggest that NX-2127 could have a favorable efficacy profile against both wild type and ibrutinib-resistant BTK alleles in CLL as well as in other indications including DLBCL and FL where ibrutinib or IMiDs alone do not provide sufficient clinical benefit. However, the FDA has not yet approved NX-2127 and we will need to complete clinical trials to determine whether it is safe and effective. A Phase 1 clinical trial for NX-2127 in patients with relapsed or refractory B-cell malignancies is 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130175</wp:posOffset>
            </wp:positionV>
            <wp:extent cx="5263515" cy="13373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6351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 for NX-2127</w:t>
      </w:r>
    </w:p>
    <w:p>
      <w:pPr>
        <w:spacing w:after="0" w:line="117" w:lineRule="exact"/>
        <w:rPr>
          <w:sz w:val="20"/>
          <w:szCs w:val="20"/>
          <w:color w:val="auto"/>
        </w:rPr>
      </w:pPr>
    </w:p>
    <w:p>
      <w:pPr>
        <w:ind w:right="220" w:firstLine="589"/>
        <w:spacing w:after="0" w:line="219" w:lineRule="exact"/>
        <w:rPr>
          <w:sz w:val="20"/>
          <w:szCs w:val="20"/>
          <w:color w:val="auto"/>
        </w:rPr>
      </w:pPr>
      <w:r>
        <w:rPr>
          <w:rFonts w:ascii="Arial" w:cs="Arial" w:eastAsia="Arial" w:hAnsi="Arial"/>
          <w:sz w:val="18"/>
          <w:szCs w:val="18"/>
          <w:color w:val="auto"/>
        </w:rPr>
        <w:t>We plan to study the pharmacology of NX-2127 in multiple subtypes of relapsed and refractory B</w:t>
      </w:r>
      <w:r>
        <w:rPr>
          <w:rFonts w:ascii="MS PGothic" w:cs="MS PGothic" w:eastAsia="MS PGothic" w:hAnsi="MS PGothic"/>
          <w:sz w:val="18"/>
          <w:szCs w:val="18"/>
          <w:color w:val="auto"/>
        </w:rPr>
        <w:t>‑</w:t>
      </w:r>
      <w:r>
        <w:rPr>
          <w:rFonts w:ascii="Arial" w:cs="Arial" w:eastAsia="Arial" w:hAnsi="Arial"/>
          <w:sz w:val="18"/>
          <w:szCs w:val="18"/>
          <w:color w:val="auto"/>
        </w:rPr>
        <w:t>cell malignancies, including those in which ibrutinib has shown only modest effects or is ineffective, as in the case of CLL patients with the C481 mutation. Furthermore, indications in which IMiD activity could augment responses are of high interest. These indications include DLBCL, MCL, MZL and FL. We anticipate testing NX-2127 in additional B-cell malignancies, such as CLL and WM, where IMiDs are not approved but may have shown modest responses, including in patients who have acquired ibrutinib-resistance or are ibrutinib intolerant. We plan to expedite development in indications where NX-2127 shows evidence of compelling clinical activity and where there is high unmet need.</w:t>
      </w:r>
    </w:p>
    <w:p>
      <w:pPr>
        <w:spacing w:after="0" w:line="95" w:lineRule="exact"/>
        <w:rPr>
          <w:sz w:val="20"/>
          <w:szCs w:val="20"/>
          <w:color w:val="auto"/>
        </w:rPr>
      </w:pPr>
    </w:p>
    <w:p>
      <w:pPr>
        <w:ind w:right="160" w:firstLine="589"/>
        <w:spacing w:after="0" w:line="219" w:lineRule="exact"/>
        <w:rPr>
          <w:sz w:val="20"/>
          <w:szCs w:val="20"/>
          <w:color w:val="auto"/>
        </w:rPr>
      </w:pPr>
      <w:r>
        <w:rPr>
          <w:rFonts w:ascii="Arial" w:cs="Arial" w:eastAsia="Arial" w:hAnsi="Arial"/>
          <w:sz w:val="18"/>
          <w:szCs w:val="18"/>
          <w:color w:val="auto"/>
        </w:rPr>
        <w:t>As illustrated in the diagram below, we are enrolling patients in the Phase 1a portion of a Phase 1a/1b dose-escalation and cohort expansion study of NX-2127 in patients with relapsed or refractory NHL and CLL. The Phase 1a portion is designed as a monotherapy dose escalation trial to investigate the safety and tolerability of NX</w:t>
      </w:r>
      <w:r>
        <w:rPr>
          <w:rFonts w:ascii="MS PGothic" w:cs="MS PGothic" w:eastAsia="MS PGothic" w:hAnsi="MS PGothic"/>
          <w:sz w:val="18"/>
          <w:szCs w:val="18"/>
          <w:color w:val="auto"/>
        </w:rPr>
        <w:t>‑</w:t>
      </w:r>
      <w:r>
        <w:rPr>
          <w:rFonts w:ascii="Arial" w:cs="Arial" w:eastAsia="Arial" w:hAnsi="Arial"/>
          <w:sz w:val="18"/>
          <w:szCs w:val="18"/>
          <w:color w:val="auto"/>
        </w:rPr>
        <w:t>2127 and to identify a maximum tolerated dose for further evaluation. The Phase 1b portion of the trial is designed as a monotherapy expansion trial in five potential cohorts of up to 20 patients each. The five potential cohorts include CLL patients, CLL patients with the C481 mutation, patients with MCL, MZL or WM, patients with FL and patients with DLBCL. More information on this ongoing trial can be found on clinicaltrials.gov (NCT04830137).</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363220</wp:posOffset>
            </wp:positionV>
            <wp:extent cx="5349240" cy="23914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NX-5948, a development candidate for the treatment of B-cell malignancies and certain autoimmune indications</w:t>
      </w:r>
    </w:p>
    <w:p>
      <w:pPr>
        <w:spacing w:after="0" w:line="117" w:lineRule="exact"/>
        <w:rPr>
          <w:sz w:val="20"/>
          <w:szCs w:val="20"/>
          <w:color w:val="auto"/>
        </w:rPr>
      </w:pPr>
    </w:p>
    <w:p>
      <w:pPr>
        <w:ind w:right="60" w:firstLine="589"/>
        <w:spacing w:after="0" w:line="274" w:lineRule="auto"/>
        <w:rPr>
          <w:sz w:val="20"/>
          <w:szCs w:val="20"/>
          <w:color w:val="auto"/>
        </w:rPr>
      </w:pPr>
      <w:r>
        <w:rPr>
          <w:rFonts w:ascii="Arial" w:cs="Arial" w:eastAsia="Arial" w:hAnsi="Arial"/>
          <w:sz w:val="17"/>
          <w:szCs w:val="17"/>
          <w:color w:val="auto"/>
        </w:rPr>
        <w:t>NX-5948 is an orally bioavailable, potent degrader of BTK that is differentiated from NX-2127 in possessing limited or no IMiD activity and in its ability to cross the blood brain barrier in animal models. NX-5948 has demonstrated potent anti-tumor activity in mouse xenograft models of B-</w:t>
      </w:r>
    </w:p>
    <w:p>
      <w:pPr>
        <w:ind w:right="60"/>
        <w:spacing w:after="0" w:line="253" w:lineRule="auto"/>
        <w:rPr>
          <w:sz w:val="20"/>
          <w:szCs w:val="20"/>
          <w:color w:val="auto"/>
        </w:rPr>
      </w:pPr>
      <w:r>
        <w:rPr>
          <w:rFonts w:ascii="Arial" w:cs="Arial" w:eastAsia="Arial" w:hAnsi="Arial"/>
          <w:sz w:val="18"/>
          <w:szCs w:val="18"/>
          <w:color w:val="auto"/>
        </w:rPr>
        <w:t>cell malignancies including in models of CNS lymphoma. NX-5948 has demonstrated degradation of BTK after oral dosing of NHPs as determined by flow cytometry measuring BTK protein levels in the blood and has demonstrated BTK degradation in the CNS of mice in both intracranial lymphoma cells and in microglia (figure below). NX-5948 has potential utility for certain B-cell malignancies where IMiD activity may be less important in achieving a therapeutic benefit and also in autoimmune diseases, especially those that involve the CNS.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62865</wp:posOffset>
            </wp:positionV>
            <wp:extent cx="5408930" cy="1663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893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 for NX-5948</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plan to study the pharmacology of NX-5948 in multiple subtypes of relapsed and refractory B-cell malignancies, including those in which ibrutinib has shown only modest effects or is ineffective, as in the case of CLL patients with the C481 mutation. Furthermore, we plan to study NX-5948 in autoimmune indications.</w:t>
      </w:r>
    </w:p>
    <w:p>
      <w:pPr>
        <w:spacing w:after="0" w:line="76"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As illustrated in the diagram below, we anticipate enrolling our first patient in the first half of 2022 in the Phase 1a portion of a Phase 1a/1b dose-escalation and cohort expansion study of NX-5948 in patients with relapsed or refractory NHL and CLL. The Phase 1a portion is designed as a monotherapy dose escalation trial to investigate the safety and tolerability of NX-5948 and to identify a maximum tolerated dose for further evaluation. The Phase 1b portion of the trial is designed as a monotherapy expansion trial in five potential cohorts, including CLL patients, CLL patients with the C481 mutation, patients with MCL or DLBCL, patients with FL, MZL or WM, and patients with primary CNS lymphoma. More information on this ongoing trial can be found on clinicaltrials.gov (NCT05131022).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363220</wp:posOffset>
            </wp:positionV>
            <wp:extent cx="5332095" cy="26314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533209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Ligase inhibitor portfolio: CBL-B ligase inhibitors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CBL-B</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 cells play a key role in cell-mediated adaptive immune response. Activation, expansion and function of antigen-specific T cells is a multistep process and its outcome depends on the balance of positive and negative feedback mechanisms controlling each step. Many factors can hamper the development of an efficient anti-tumor immune response, such as insufficient expression of tumor antigens, defective antigen presentation, inhibitory molecular interactions including those effected by immune checkpoints, immune suppressive factors or suppressor cells and T-cell exhaustion.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108585</wp:posOffset>
            </wp:positionV>
            <wp:extent cx="4869180" cy="2177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6918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20" w:name="page21"/>
    <w:bookmarkEnd w:id="20"/>
    <w:p>
      <w:pPr>
        <w:ind w:right="40" w:firstLine="589"/>
        <w:spacing w:after="0" w:line="269" w:lineRule="auto"/>
        <w:rPr>
          <w:sz w:val="20"/>
          <w:szCs w:val="20"/>
          <w:color w:val="auto"/>
        </w:rPr>
      </w:pPr>
      <w:r>
        <w:rPr>
          <w:rFonts w:ascii="Arial" w:cs="Arial" w:eastAsia="Arial" w:hAnsi="Arial"/>
          <w:sz w:val="17"/>
          <w:szCs w:val="17"/>
          <w:color w:val="auto"/>
        </w:rPr>
        <w:t>CBL-B, an E3 ligase expressed in immune cell lineages, functions as an intracellular immune checkpoint that negatively regulates T-cell activation and immune response, as illustrated above. CBL-B also limits function and survival of NK cells, B cells, and dendritic cells as well as promotes T-cell exhaustion, anergy, and cell death. As such CBL-B represents a pivotal pathway negatively regulating immunity. CBL-B deficient animal models demonstrate enhanced signal dependent T-cell activation and robust T-cell dependent anti-tumor immunity. We believe that our oral, small molecule CBL-B inhibitors have several potential immunotherapy applications through enhancing T-cell mediated anti-tumor activity by lowering the activation threshold of T cells in a suppressive tumor microenvironment where CBL-B plays a key role in the downregulation of T cells. We are planning to develop our lead oral CBL-B inhibitor, NX-1607, in multiple solid tumors as monotherapy or in combination with other mechanistically complementary therapies. Solid tumors represent approximately 90% of adult human cancers, with estimated new cases in 2021 ranging from approximately 14,500 for cervix uteri cancer to 284,200 for breast cancer. Various immunotherapy strategies have been developed in order to increase the efficiency of anti-tumor immune response, including the use of antibody checkpoint inhibitors such as anti-PD-1, anti-PD-L1, and anti-CTLA-4, which block the “brakes” of immune response. These immune-stimulating antibodies have a more favorable clinical outcome than traditional treatment modalities on a growing list of tumor types. However, most patients fail to respond or experience only transient responses.</w:t>
      </w:r>
    </w:p>
    <w:p>
      <w:pPr>
        <w:spacing w:after="0" w:line="71" w:lineRule="exact"/>
        <w:rPr>
          <w:sz w:val="20"/>
          <w:szCs w:val="20"/>
          <w:color w:val="auto"/>
        </w:rPr>
      </w:pPr>
    </w:p>
    <w:p>
      <w:pPr>
        <w:ind w:right="60" w:firstLine="589"/>
        <w:spacing w:after="0" w:line="287" w:lineRule="auto"/>
        <w:rPr>
          <w:sz w:val="20"/>
          <w:szCs w:val="20"/>
          <w:color w:val="auto"/>
        </w:rPr>
      </w:pPr>
      <w:r>
        <w:rPr>
          <w:rFonts w:ascii="Arial" w:cs="Arial" w:eastAsia="Arial" w:hAnsi="Arial"/>
          <w:sz w:val="16"/>
          <w:szCs w:val="16"/>
          <w:color w:val="auto"/>
        </w:rPr>
        <w:t>CBL-B is highly expressed in human CD4+ and CD8+ T cells, with expression tightly regulated by CD28 and CTLA-4 and other co-stimulatory and inhibitory signals. T cells typically require two signals for activation, the first provided by interaction of the T-cell receptor (TCR), with a peptide presented by an MHC molecule, and the second through co-stimulatory molecules on antigen-presenting cells. CBL-B plays an essential role in the negative regulation of T-cell activation by regulating the activity of the TCR through substrate proteins that require a costimulatory signal to mount a productive immune response upon TCR engagement. Studies have found that CBL-B deficient T cells display lower thresholds for activation by antigen recognition receptors and co-stimulatory molecules such as CD28. For example, loss of CBL-B in T cells results in T cells that can be activated upon TCR engagement without co-stimulation by CD28, although to a lesser extent than with co-stimulation. Importantly, our CBL-B inhibitors do not appear to activate T cells in the absence of TCR engagement. Such CBL-B deficient T cells are resistant to T-cell anergy, a tolerance mechanism in which T cells are functionally inactivated and T-cell proliferation is greatly impaired. Notably, CBL-B deficient T cells show increased rates of proliferation as well as elevated cytokine secretion including IL-2. The increased secretion of IL-2 is of particular importance in the optimization and development of our CBL-B inhibitors, serves as a key cellular biomarker for measuring successful T-cell activation and is a known therapeutic cytokine in oncology.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development of CBL-B inhibitors</w:t>
      </w:r>
    </w:p>
    <w:p>
      <w:pPr>
        <w:spacing w:after="0" w:line="117"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 xml:space="preserve">We have developed a series of potent small molecule inhibitors of CBL-B activity that have demonstrated biochemical activity and effects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on human immune cells as well as in mouse tumor models. Consistent with studies cited above, CBL-B inhibitors enhanced</w:t>
      </w:r>
      <w:r>
        <w:rPr>
          <w:rFonts w:ascii="Arial" w:cs="Arial" w:eastAsia="Arial" w:hAnsi="Arial"/>
          <w:sz w:val="16"/>
          <w:szCs w:val="16"/>
          <w:i w:val="1"/>
          <w:iCs w:val="1"/>
          <w:color w:val="auto"/>
        </w:rPr>
        <w:t xml:space="preserve"> ex vivo </w:t>
      </w:r>
      <w:r>
        <w:rPr>
          <w:rFonts w:ascii="Arial" w:cs="Arial" w:eastAsia="Arial" w:hAnsi="Arial"/>
          <w:sz w:val="16"/>
          <w:szCs w:val="16"/>
          <w:color w:val="auto"/>
        </w:rPr>
        <w:t>T-cell activation</w:t>
      </w:r>
      <w:r>
        <w:rPr>
          <w:rFonts w:ascii="Arial" w:cs="Arial" w:eastAsia="Arial" w:hAnsi="Arial"/>
          <w:sz w:val="16"/>
          <w:szCs w:val="16"/>
          <w:i w:val="1"/>
          <w:iCs w:val="1"/>
          <w:color w:val="auto"/>
        </w:rPr>
        <w:t xml:space="preserve"> </w:t>
      </w:r>
      <w:r>
        <w:rPr>
          <w:rFonts w:ascii="Arial" w:cs="Arial" w:eastAsia="Arial" w:hAnsi="Arial"/>
          <w:sz w:val="16"/>
          <w:szCs w:val="16"/>
          <w:color w:val="auto"/>
        </w:rPr>
        <w:t>as measured by induction of IL-2, a key cytokine required for immune cell activation and proliferation. Induction of IL-2 secretion occurs at low nanomolar concentrations in primary human and mouse T cells stimulated with anti-CD3/anti-CD28 antibodies or anti-CD3 antibodies alone. As illustrated below, we demonstrated several fold increases in IL-2 production in tandem with increasing biochemical activity of our CBL-B inhibitors. In addition, certain of</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our CBL-B inhibitors reduced anergy and exhaustion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model of T-cell exhaustion using human donor T cells and further, this effect was additive to that achieved with an anti-PD-1 antibody. Based on our findings to date, we believe that CBL-B inhibitors may induce an immune cell localized IL-2 secretion that in combination with other immune activation effects will enhance anti-tumor responses. The precursor compounds shown in the graphs below led to the optimization and selection of NX-1607 and NX-0255 as development candidates in our CBL-B portfolio.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363220</wp:posOffset>
            </wp:positionV>
            <wp:extent cx="5177790" cy="1748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17779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 of CBL-B inhibitors</w:t>
      </w:r>
    </w:p>
    <w:p>
      <w:pPr>
        <w:spacing w:after="0" w:line="117" w:lineRule="exact"/>
        <w:rPr>
          <w:sz w:val="20"/>
          <w:szCs w:val="20"/>
          <w:color w:val="auto"/>
        </w:rPr>
      </w:pPr>
    </w:p>
    <w:p>
      <w:pPr>
        <w:ind w:right="100" w:firstLine="589"/>
        <w:spacing w:after="0" w:line="291" w:lineRule="auto"/>
        <w:rPr>
          <w:sz w:val="20"/>
          <w:szCs w:val="20"/>
          <w:color w:val="auto"/>
        </w:rPr>
      </w:pPr>
      <w:r>
        <w:rPr>
          <w:rFonts w:ascii="Arial" w:cs="Arial" w:eastAsia="Arial" w:hAnsi="Arial"/>
          <w:sz w:val="16"/>
          <w:szCs w:val="16"/>
          <w:color w:val="auto"/>
        </w:rPr>
        <w:t xml:space="preserve">We are focused on three major immunotherapy applications for our CBL-B inhibitors in oncology. In these applications, our overall strategy is to maximize an anti-tumor effect and clinical benefit of our CBL-B inhibitors by enhancing T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In the first application, NX-1607, an oral small molecule immunotherapy drug candidate, is intended to be used as a single agent or in combination with other mechanistically complementary oncology therapies. The second application is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use of NX-0255 to create drug-enhanced ACT products. DeTIL-0255 is a drug-enhanced investigational ACT product that uses NX-0255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to enhance TIL propagation and phenotypic characteristics. We have entered into agreements with contract manufacturing organizations (CMOs) for the development of DeTIL-0255. The third application is the use of orally dosed NX-1607 in combination with potentially any ACT, such as DeTIL-0255, to promote engraftment and anti-tumor activity of the transplanted cells.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NX-1607, an oral CBL-B inhibitor for immuno-oncology</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NX-1607 is an investigational, orally bioavailable, potent inhibitor of CBL-B. </w:t>
      </w:r>
      <w:r>
        <w:rPr>
          <w:rFonts w:ascii="Arial" w:cs="Arial" w:eastAsia="Arial" w:hAnsi="Arial"/>
          <w:sz w:val="17"/>
          <w:szCs w:val="17"/>
          <w:i w:val="1"/>
          <w:iCs w:val="1"/>
          <w:color w:val="auto"/>
        </w:rPr>
        <w:t>In vitro</w:t>
      </w:r>
      <w:r>
        <w:rPr>
          <w:rFonts w:ascii="Arial" w:cs="Arial" w:eastAsia="Arial" w:hAnsi="Arial"/>
          <w:sz w:val="17"/>
          <w:szCs w:val="17"/>
          <w:color w:val="auto"/>
        </w:rPr>
        <w:t>, NX-1607 has been demonstrated to increase T-cell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activation in primary human T cells in the absence of co-stimulation with CD3 and CD28, a potential advantage in a suppressive tumor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microenvironment. </w:t>
      </w:r>
      <w:r>
        <w:rPr>
          <w:rFonts w:ascii="Arial" w:cs="Arial" w:eastAsia="Arial" w:hAnsi="Arial"/>
          <w:sz w:val="16"/>
          <w:szCs w:val="16"/>
          <w:i w:val="1"/>
          <w:iCs w:val="1"/>
          <w:color w:val="auto"/>
        </w:rPr>
        <w:t>In vivo</w:t>
      </w:r>
      <w:r>
        <w:rPr>
          <w:rFonts w:ascii="Arial" w:cs="Arial" w:eastAsia="Arial" w:hAnsi="Arial"/>
          <w:sz w:val="16"/>
          <w:szCs w:val="16"/>
          <w:color w:val="auto"/>
        </w:rPr>
        <w:t>, oral administration of NX-1607 in mice has demonstrated notable tumor growth inhibition in a tumor model as illustrated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figure below on the left. The tumor growth inhibition with oral administration of NX-1607 recapitulates the genetic experiment in mice with a ligase-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inactive version of CBL-B which also shows tumor growth inhibition as illustrated in the figure below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74295</wp:posOffset>
            </wp:positionV>
            <wp:extent cx="5332095" cy="2151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32095"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ind w:right="140" w:firstLine="589"/>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effects of orally administered NX-1607 were further evaluated as a single agent in an animal mouse model of triple-negative breast cancer. In this experiment shown in the figure below, tumors were implanted in a mouse and removed 15 days later. Without further treatment, all mice in the vehicle group (black line) died by day 60 as a result of tumor metastases in the lung, liver, and brain. By contrast, animals treated with NX-1607 (red line) administered as a daily oral dose starting at day 7 and continuing through day 46 demonstrated a highly significant prolongation of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40005</wp:posOffset>
            </wp:positionV>
            <wp:extent cx="5031740" cy="2220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31740"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effects of orally administered NX-1607 were evaluated in combination with an antibody to PD-1 as shown in the figure below. In this model, tumor-bearing mice were treated with NX-1607 (red line), anti-PD-1 (blue line), or the combination (purple line) and compared to animals who received no treatment. Either single agent alone showed only modest inhibition of tumor growth (figure below on the left) and prolongation of survival (figure below on the right). However, the combination of NX-1607 with the anti-PD-1 antibody demonstrated enhanced activity for both tumor growth inhibition and overall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128270</wp:posOffset>
            </wp:positionV>
            <wp:extent cx="4946015" cy="2263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4601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NX-1607</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plan to study the pharmacology of single-agent NX-1607 in multiple solid tumor indications and in DLBCL with Richter Transformation (DLBCL-RT). The solid tumors selected for this initial assessment include three different immune phenotypes: checkpoint-resistant tumors, tumors with an immunosuppressive microenvironment, and tumors that are poorly immunogenic. We believe that there is a scientific rationale for the role of CBL-B inhibition in each of these immune phenotypes.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23" w:name="page24"/>
    <w:bookmarkEnd w:id="23"/>
    <w:p>
      <w:pPr>
        <w:ind w:firstLine="589"/>
        <w:spacing w:after="0" w:line="293" w:lineRule="auto"/>
        <w:rPr>
          <w:sz w:val="20"/>
          <w:szCs w:val="20"/>
          <w:color w:val="auto"/>
        </w:rPr>
      </w:pPr>
      <w:r>
        <w:rPr>
          <w:rFonts w:ascii="Arial" w:cs="Arial" w:eastAsia="Arial" w:hAnsi="Arial"/>
          <w:sz w:val="16"/>
          <w:szCs w:val="16"/>
          <w:color w:val="auto"/>
        </w:rPr>
        <w:t>As illustrated in the diagram below, we are currently enrolling patients in the Phase 1a portion of a Phase 1a/1b dose-escalation and cohort expansion study of NX-1607 in patients with relapsed or refractory solid tumors and DLBCL-RT. The Phase 1a portion is designed as a monotherapy dose escalation trial to investigate the safety and tolerability of NX-1607 and to identify a maximum tolerated dose for further evaluation. The Phase 1b portion of the trial is designed as a monotherapy expansion trial in eight potential cohorts, including melanoma, platinum resistant epithelial ovarian cancer (EOC), gastric cancer, squamous cell carcinoma of the head and neck (HNSCC), non-small cell lung cancer (NSCLC), metastatic castration resistant prostate cancer (mCRPC), mixed solid tumors, and DLBCL-RT. More information on this ongoing trial can be found on clinicaltrials.gov (NCT05107674).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45085</wp:posOffset>
            </wp:positionV>
            <wp:extent cx="5280660" cy="2597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8066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CBL-B inhibitors for Adoptive Cell Therapies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Adoptive Cell Therapies</w:t>
      </w:r>
    </w:p>
    <w:p>
      <w:pPr>
        <w:spacing w:after="0" w:line="117"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 xml:space="preserve">ACTs represent another class of immunotherapy in which T cells are isolated directly from patient tumors, as with TIL, or from patient blood with subsequent genetic modification to recognize specific antigens present on cancer cells, as with CAR-T therapies. Tumor-reactive T cells are then expanded and infused back into the patient. Currently, the only FDA-approved ACTs are anti-CD19 CAR-T therapies that are approved for treatment of acute B-cell leukemia and acute B-cell lymphoma and anti-BCMA CAR-T therapies that are approved for the treatment of multiple myeloma. CAR-T therapies have not yet proven to be effective in solid tumors. This is due to a number of factors within the tumor microenvironment unique to solid tumors such as the presence of immune checkpoint molecules and suppressive cytokines, and the heterogeneous nature of tumor cells themselves, preventing the identification of uniformly expressed targets for CAR design. Another ACT is TIL therapy. TIL is an expanded collection of lymphocytes that have penetrated the stroma of a tumor and contain host T cells that have recognized a variety of tumor antigens.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expanded TIL can be infused into the patient as a therapeutic to amplify the patient’s own immune response to the tumor. Although existing ACT have delivered encouraging results in certain hematologic malignancies and some solid tumors, most patients fail to respond due to three main issues: (i) failure to obtain sufficient quantity and/or quality of T cells from the tumor samples or from the blood for a successful production process, (ii) poor engraftment of T cells upon reinfusion to the patient and (iii) lack of a persistent anti-tumor response or relapse.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CBL-B Inhibitors for Adoptive Cell Therapies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The opportunities to address the above limitations are substantial, and our results to date support the concept that CBL-B inhibitors may address some or all of the current limitations of ACT. We are advancing several lines of experimentation to refine our understanding of the clinical and commercial opportunities in this area. We have consolidated these efforts under an initiative we call the Nurix Adoptive Cell Therapy program (NxACT) as illustrated in the figure below. Our NxACT initiative includes a drug-enhanced TIL program known as DeTIL, and a drug-enhanced CAR-T therapy known as DeCART. The broader conceptual framework for NxACT is convergence of targeted protein modulation with ACT. In addition to CBL-B, we expect to explore additional targets for protein modulation that may be useful in the NxACT program. We expect to develop NxACT product opportunities through CMOs.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132715</wp:posOffset>
            </wp:positionV>
            <wp:extent cx="5314950" cy="24085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1495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 xml:space="preserve">Based on our preclinical findings to date, we believe CBL-B inhibition using NX-0255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during the isolation and expansion of TIL can address some of the issues that have limited the success of existing ACT. We believe the use of NX-0255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can address these limitations by producing not only more T cells, but also T cells with favorable characteristics including greater numbers of CD8+ T cells with an enhanced central memory phenotype, a profile that has been associated with better clinical outcomes. In our preclinical ACT research program, we expanded TIL from human tumor samples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and measured the effects of drug enhancement by NX-0255 on TIL production. Compared to TIL isolated and expanded in the presence of IL-2, TIL isolated and expanded with NX-0255 and IL-2 (DeTIL-0255) demonstrated greater proliferation, less exhaustion, increased cytotoxicity, and increased central memory T-cell population.</w:t>
      </w:r>
    </w:p>
    <w:p>
      <w:pPr>
        <w:spacing w:after="0" w:line="87" w:lineRule="exact"/>
        <w:rPr>
          <w:sz w:val="20"/>
          <w:szCs w:val="20"/>
          <w:color w:val="auto"/>
        </w:rPr>
      </w:pPr>
    </w:p>
    <w:p>
      <w:pPr>
        <w:ind w:right="180" w:firstLine="589"/>
        <w:spacing w:after="0" w:line="275" w:lineRule="auto"/>
        <w:rPr>
          <w:sz w:val="20"/>
          <w:szCs w:val="20"/>
          <w:color w:val="auto"/>
        </w:rPr>
      </w:pPr>
      <w:r>
        <w:rPr>
          <w:rFonts w:ascii="Arial" w:cs="Arial" w:eastAsia="Arial" w:hAnsi="Arial"/>
          <w:sz w:val="17"/>
          <w:szCs w:val="17"/>
          <w:color w:val="auto"/>
        </w:rPr>
        <w:t xml:space="preserve">The DeTIL-0255 investigational product under development is an autologous cell therapy consisting of T cells derived from a patient’s tumor expanded in culture with IL-2 + NX-0255. Although NX-0255 has limited oral bioavailability, we have demonstrated inhibition of CBL-B both biochemically and in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T-cell culture, making it well suited for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creation of new ACT products. DeTIL-0255 is designed to be a single administration autologous TIL therapy infused following non-myeloablative chemotherapy. We believe DeTIL-0255 could allow a broader application of TIL therapy, potentially providing long term benefit to patients with multiple types of cancer.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Preclinical development of DeTIL-0255</w:t>
      </w:r>
    </w:p>
    <w:p>
      <w:pPr>
        <w:spacing w:after="0" w:line="117"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 xml:space="preserve">We have tested NX-0255 in a mouse model of ACT shown below to determine if culture of tumor specific T cells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in the presence of a potent CBL-B inhibitor can confer a superior anti-tumor effect as compared to standard culture conditions using IL-2 alone. We have demonstrated that even a short, 3-day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exposure of T cells to NX-0255, either alone or in combination with IL-2, conferred a lasting anti-tumor phenotype upon transfer of the cells into a tumor-bearing animal as compared to controls. We have also demonstrated that those cells cultured under standard conditions with IL-2 alone resulted in superior conditional survival of the mice relative to controls, but not as good as either group treated with NX-0255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62865</wp:posOffset>
            </wp:positionV>
            <wp:extent cx="5349240" cy="2322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924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plans for DeTIL-0255</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are currently recruiting patients with relapsed and refractory gynecologic cancers in a Phase 1 trial of DeTIL-0255 in the United States. We are currently working with CMOs with experience in TIL product development for the development of the DeTIL-0255 process and manufacturing. The trial will include patients with ovarian cancer, cervical cancer, and endometrial cancer. The primary objective of the study will be to evaluate safety and tolerability of DeTIL-0255 autologous cell therapy. Secondary objectives include an exploratory evaluation of efficacy. Other exploratory objectives include characterization of DeTIL-0255 phenotypes utilizing a variety of T-cell markers, identification of potential mechanisms of response or resistance to DeTIL-0255 including repertoire analysis and persistence of the autologous cell therapy in the patient. More information on this ongoing trial can be found on clinicaltrials.gov (NCT05107739).</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Oral CBL-B inhibitors combined with ex vivo CBL-B inhibition in a mouse model of ACT</w:t>
      </w:r>
    </w:p>
    <w:p>
      <w:pPr>
        <w:spacing w:after="0" w:line="117" w:lineRule="exact"/>
        <w:rPr>
          <w:sz w:val="20"/>
          <w:szCs w:val="20"/>
          <w:color w:val="auto"/>
        </w:rPr>
      </w:pPr>
    </w:p>
    <w:p>
      <w:pPr>
        <w:ind w:right="40" w:firstLine="589"/>
        <w:spacing w:after="0" w:line="220" w:lineRule="exact"/>
        <w:rPr>
          <w:sz w:val="20"/>
          <w:szCs w:val="20"/>
          <w:color w:val="auto"/>
        </w:rPr>
      </w:pPr>
      <w:r>
        <w:rPr>
          <w:rFonts w:ascii="Arial" w:cs="Arial" w:eastAsia="Arial" w:hAnsi="Arial"/>
          <w:sz w:val="18"/>
          <w:szCs w:val="18"/>
          <w:color w:val="auto"/>
        </w:rPr>
        <w:t>We have further explored ACT by including an oral dosing regimen of NX-1607 in combination with NX</w:t>
      </w:r>
      <w:r>
        <w:rPr>
          <w:rFonts w:ascii="MS PGothic" w:cs="MS PGothic" w:eastAsia="MS PGothic" w:hAnsi="MS PGothic"/>
          <w:sz w:val="18"/>
          <w:szCs w:val="18"/>
          <w:color w:val="auto"/>
        </w:rPr>
        <w:t>‑</w:t>
      </w:r>
      <w:r>
        <w:rPr>
          <w:rFonts w:ascii="Arial" w:cs="Arial" w:eastAsia="Arial" w:hAnsi="Arial"/>
          <w:sz w:val="18"/>
          <w:szCs w:val="18"/>
          <w:color w:val="auto"/>
        </w:rPr>
        <w:t xml:space="preserve">0255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treated T cells. Preliminary results shown below illustrate that the combination with NX</w:t>
      </w:r>
      <w:r>
        <w:rPr>
          <w:rFonts w:ascii="MS PGothic" w:cs="MS PGothic" w:eastAsia="MS PGothic" w:hAnsi="MS PGothic"/>
          <w:sz w:val="18"/>
          <w:szCs w:val="18"/>
          <w:color w:val="auto"/>
        </w:rPr>
        <w:t>‑</w:t>
      </w:r>
      <w:r>
        <w:rPr>
          <w:rFonts w:ascii="Arial" w:cs="Arial" w:eastAsia="Arial" w:hAnsi="Arial"/>
          <w:sz w:val="18"/>
          <w:szCs w:val="18"/>
          <w:color w:val="auto"/>
        </w:rPr>
        <w:t xml:space="preserve">1607 yields more substantial anti-tumor effect and subsequent conditional survival than with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NX</w:t>
      </w:r>
      <w:r>
        <w:rPr>
          <w:rFonts w:ascii="MS PGothic" w:cs="MS PGothic" w:eastAsia="MS PGothic" w:hAnsi="MS PGothic"/>
          <w:sz w:val="18"/>
          <w:szCs w:val="18"/>
          <w:color w:val="auto"/>
        </w:rPr>
        <w:t>‑</w:t>
      </w:r>
      <w:r>
        <w:rPr>
          <w:rFonts w:ascii="Arial" w:cs="Arial" w:eastAsia="Arial" w:hAnsi="Arial"/>
          <w:sz w:val="18"/>
          <w:szCs w:val="18"/>
          <w:color w:val="auto"/>
        </w:rPr>
        <w:t>0255 ACT alone. Pending trial results using each therapy alone, we also intend to evaluate the combination of oral NX</w:t>
      </w:r>
      <w:r>
        <w:rPr>
          <w:rFonts w:ascii="MS PGothic" w:cs="MS PGothic" w:eastAsia="MS PGothic" w:hAnsi="MS PGothic"/>
          <w:sz w:val="18"/>
          <w:szCs w:val="18"/>
          <w:color w:val="auto"/>
        </w:rPr>
        <w:t>‑</w:t>
      </w:r>
      <w:r>
        <w:rPr>
          <w:rFonts w:ascii="Arial" w:cs="Arial" w:eastAsia="Arial" w:hAnsi="Arial"/>
          <w:sz w:val="18"/>
          <w:szCs w:val="18"/>
          <w:color w:val="auto"/>
        </w:rPr>
        <w:t xml:space="preserve">1607 and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NX-0255 ACT in a future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69850</wp:posOffset>
            </wp:positionV>
            <wp:extent cx="5314950" cy="2082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495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17" w:lineRule="exact"/>
        <w:rPr>
          <w:sz w:val="20"/>
          <w:szCs w:val="20"/>
          <w:color w:val="auto"/>
        </w:rPr>
      </w:pPr>
    </w:p>
    <w:p>
      <w:pPr>
        <w:ind w:right="20" w:firstLine="594"/>
        <w:spacing w:after="0" w:line="272" w:lineRule="auto"/>
        <w:rPr>
          <w:sz w:val="20"/>
          <w:szCs w:val="20"/>
          <w:color w:val="auto"/>
        </w:rPr>
      </w:pPr>
      <w:r>
        <w:rPr>
          <w:rFonts w:ascii="Arial" w:cs="Arial" w:eastAsia="Arial" w:hAnsi="Arial"/>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an additional $22.0 million to exercise its option to expand the number of targets in the collaboration agreement from three to a total of five targets. Over time and subject to certain limitations, Sanofi may elect to replace the drug targets with other reserved targets. We also entered into the First Sanofi Amendment to the collaboration agreement with Sanofi in January 2021 to modify the research term on all targets.</w:t>
      </w:r>
    </w:p>
    <w:p>
      <w:pPr>
        <w:spacing w:after="0" w:line="69" w:lineRule="exact"/>
        <w:rPr>
          <w:sz w:val="20"/>
          <w:szCs w:val="20"/>
          <w:color w:val="auto"/>
        </w:rPr>
      </w:pPr>
    </w:p>
    <w:p>
      <w:pPr>
        <w:ind w:firstLine="594"/>
        <w:spacing w:after="0" w:line="257" w:lineRule="auto"/>
        <w:rPr>
          <w:sz w:val="20"/>
          <w:szCs w:val="20"/>
          <w:color w:val="auto"/>
        </w:rPr>
      </w:pPr>
      <w:r>
        <w:rPr>
          <w:rFonts w:ascii="Arial" w:cs="Arial" w:eastAsia="Arial" w:hAnsi="Arial"/>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80" w:firstLine="594"/>
        <w:spacing w:after="0" w:line="254" w:lineRule="auto"/>
        <w:rPr>
          <w:sz w:val="20"/>
          <w:szCs w:val="20"/>
          <w:color w:val="auto"/>
        </w:rPr>
      </w:pPr>
      <w:r>
        <w:rPr>
          <w:rFonts w:ascii="Arial" w:cs="Arial" w:eastAsia="Arial" w:hAnsi="Arial"/>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chimeric targeting molecules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7" w:name="page28"/>
    <w:bookmarkEnd w:id="27"/>
    <w:p>
      <w:pPr>
        <w:ind w:right="60" w:firstLine="589"/>
        <w:spacing w:after="0" w:line="269" w:lineRule="auto"/>
        <w:rPr>
          <w:sz w:val="20"/>
          <w:szCs w:val="20"/>
          <w:color w:val="auto"/>
        </w:rPr>
      </w:pPr>
      <w:r>
        <w:rPr>
          <w:rFonts w:ascii="Arial" w:cs="Arial" w:eastAsia="Arial" w:hAnsi="Arial"/>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We are eligible to receive additional payments if Sanofi exercises an option to extend the license term with respect to a particular target. From the signing of the Sanofi Agreement to November 30, 2021, we received a payment of $1.0 million for research milestones. As of November 30, 2021, we are eligible to receive up to approximately $2.5 billion in total payments, including payments of up to $499.0 million upon the achievement of specified development milestones, up to $625.0 million upon the achievement of specified regulatory milestones and up to $1.3 billion upon the achievement of certain sales milestones, as well as up to $143.8 million in certain additional fees related to target licensing and reservation. In addition, we are eligible to receive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Subject to earlier expiration in certain circumstances, the Sanofi Agreement expires on a licensed product-by-licensed product or profit-shared</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licensed product-by-profit-shared licensed product basis and country-by-country basis upon on the later of the expiration of (i)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Sanofi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17"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5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58"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Upon signing the Gilead Agreement, Gilead paid us an upfront payment of $45.0 million, plus $3.0 million in additional fees. From the signing of the Gilead Agreement to November 30, 2021, we received payments of $18.5 million for research milestones and additional payments, including $5.0 million, which was received in the fourth quarter of 2021. Additionally, in November 2021, we recognized a research milestone and received a payment of $6.0 million in the first quarter of 2022. As of November 30, 2021, we are eligible to receive up to approximately $2.3 billion in total additional payments, including up to $677.5 million upon the achievement of specified development milestones, up to $1.5 billion upon the achievement of specified sales milestones, subject to reduction for any product for which we exercise our option to co-develop and co-promote, and up to $139.8 million in certain additional fees related to target licensing, reservation and selection and research term extensions.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firstLine="589"/>
        <w:spacing w:after="0" w:line="272" w:lineRule="auto"/>
        <w:rPr>
          <w:sz w:val="20"/>
          <w:szCs w:val="20"/>
          <w:color w:val="auto"/>
        </w:rPr>
      </w:pPr>
      <w:r>
        <w:rPr>
          <w:rFonts w:ascii="Arial" w:cs="Arial" w:eastAsia="Arial" w:hAnsi="Arial"/>
          <w:sz w:val="17"/>
          <w:szCs w:val="17"/>
          <w:color w:val="auto"/>
        </w:rPr>
        <w:t>Subject to earlier expiration in certain circumstances, the Gilead Agreement expires on a licensed product-by-licensed product and country-by-country basis upon on the later of (i) the expiration of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last-to-expire option period.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40" w:firstLine="589"/>
        <w:spacing w:after="0" w:line="288" w:lineRule="auto"/>
        <w:rPr>
          <w:sz w:val="20"/>
          <w:szCs w:val="20"/>
          <w:color w:val="auto"/>
        </w:rPr>
      </w:pPr>
      <w:r>
        <w:rPr>
          <w:rFonts w:ascii="Arial" w:cs="Arial" w:eastAsia="Arial" w:hAnsi="Arial"/>
          <w:sz w:val="16"/>
          <w:szCs w:val="16"/>
          <w:color w:val="auto"/>
        </w:rPr>
        <w:t>We do not own or operate, and currently have no plans to establish, any facilities for product manufacturing, packaging, storage and distribution, or testing. We rely on and expect to continue to rely on CMOs for both drug substance and finished drug product, and ACT product. We have personnel or engaged consultants with extensive technical, manufacturing, analytical and quality experience and good project management to oversee contract manufacturing and testing activities. We have engaged third-party manufacturers to supply the drug substance for NX-2127, NX-5948 and NX-1607 and to develop and manufacture finished drug product for use in our Phase 1 clinical trials. We have also engaged a third-party manufacturer to supply the drug substance for NX-0255 and to develop and manufacture the cell therapy product DeTIL-0255. We currently obtain our supplies from these manufacturers on a purchase order basis and do not have long-term supply arrangements in place. Because TIL and CAR-T therapies are manufactured on a patient-by-patient basis, they involve complex manufacturing and we anticipate that we will have to rely on third-party manufacturers to manufacture our ACT products for pre-clinical studies and clinical trials. Should any of these manufacturers become unavailable to us for any reason, we believe that there are a number of potential replacements, although we may incur some delay in identifying and qualifying such replacements.</w:t>
      </w:r>
    </w:p>
    <w:p>
      <w:pPr>
        <w:spacing w:after="0" w:line="60"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All of our drug candidates are organic compounds of low molecular weight, generally called small molecules, but which are larger than traditional small molecule therapeutics. We have selected these compounds not only on the basis that they could have potentially favorable efficacy and safety profiles, but also for their ease of synthesis and reasonable cost of their starting materials. In particular, our lead drug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The biotechnology and biopharmaceutical industries are characterized by rapidly advancing technologies, intense competition and a strong emphasis on intellectual property and proprietary products. While we believe that our technology, development experience, scientific knowledge and intellectual property portfolio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modulation, but any drug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firstLine="589"/>
        <w:spacing w:after="0" w:line="290" w:lineRule="auto"/>
        <w:rPr>
          <w:sz w:val="20"/>
          <w:szCs w:val="20"/>
          <w:color w:val="auto"/>
        </w:rPr>
      </w:pPr>
      <w:r>
        <w:rPr>
          <w:rFonts w:ascii="Arial" w:cs="Arial" w:eastAsia="Arial" w:hAnsi="Arial"/>
          <w:sz w:val="16"/>
          <w:szCs w:val="16"/>
          <w:color w:val="auto"/>
        </w:rPr>
        <w:t>Our platform and product focus is the discovery and development of protein modulation therapies using our chimeric small molecules and ligase inhibitors. Other companies researching chimeric small molecules for protein degradation include Arvinas, Inc., BioTheryX, Inc., C4 Therapeutics, Inc., Cullgen Inc., Foghorn Therapeutics Inc., Kymera Therapeutics, Inc., and Monte Rosa Therapeutics. Further, several large pharmaceutical companies have disclosed preclinical investments in this field, including Amgen Inc., AstraZeneca plc, Bayer AG, Bristol-Myers Squibb Company, Genentech, Inc., GlaxoSmithKline plc and Novartis International AG. Furthermore, we are aware of several biotech companies focused on developing tumor infiltrating lymphocyte (TIL) therapies for the treatment of cancer, including Instil Bio, Inc. and Iovance Biotherapeutics, Inc. Moreover, we also compete with current and future therapeutics developed at universities and other research institutions. In addition to competition from other protein modulation therapies, any products that we develop may also face competition from other types of therapies, such as small molecule, antibody, vaccine or gene therapies.</w:t>
      </w:r>
    </w:p>
    <w:p>
      <w:pPr>
        <w:spacing w:after="0" w:line="5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Our lead drug candidates target hematologic cancers and immune-mediated diseases including immuno-oncology and cell-based therapeutics for cancer. The most common methods of treating patients in oncologic indications are surgery, radiation and drug therapy, including chemotherapy, hormone therapy and targeted drug therapy. A new class of therapies for treatment of oncology patients are ACTs including CAR-T cell therapies and TIL cell therapies. There are a variety of available drug therapies marketed for cancer, including hematologic cancers.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spacing w:after="0" w:line="58"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In addition to currently marketed drugs, there are also several drug candidates in late-stage clinical development for the treatment of oncologic indications and immune-mediated diseases. These products in development may provide efficacy, safety, convenience and other benefits that are not provided by currently marketed therapies. As a result, they may provide significant competition for any of our drug candidates for which we obtain market approval.</w:t>
      </w:r>
    </w:p>
    <w:p>
      <w:pPr>
        <w:spacing w:after="0" w:line="79"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If any of our drug candidates are approved for the indications for which we currently are conducting clinical trials or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spacing w:after="0" w:line="5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Many of our current or potential competitors, either alone or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6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key competitive factors affecting the success of all our programs, if approved, are likely to be their efficacy, safety, convenience, price, level of generic competition and availability of reimbursement.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We strive to protect and enhance the proprietary technology, inventions, platforms, drug candidates and improvements thereof that are commercially important to our business, including obtaining, maintaining and defending patent rights, whether developed internally or licensed from third parties. Our policy is to seek to protect our proprietary position by, among, other methods, pursuing patent protection in the United States and in jurisdictions outside of the United States related to our proprietary technology, inventions, improvements, platforms and drug candidates that are important to the development and implementation of our business. Our patent portfolio, including pending priority applications and Patent Cooperation Treaty (PCT) applications, is intended to cover, but is not limited to, our technology platforms, drug candidates and components thereof and their methods of use, and any other inventions that are commercially important to our business. However, the portfolio covering our drug candidates is at an early stage and is currently comprised of only applications and we do not currently own or license any issued patents.</w:t>
      </w:r>
    </w:p>
    <w:p>
      <w:pPr>
        <w:spacing w:after="0" w:line="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also rely on trade secret protection of our confidential information and know-how relating to our proprietary technology, platforms and drug candidates and continuing innovation to develop, strengthen, and maintain our position in our DELigase platform and drug candidates. Trade secrets are difficult to protect and provide us with only limited protection.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 applications; to defend against challenges and assertions by third parties of their purported intellectual property rights; and to operate without infringement of valid and enforceable patents and other proprietary rights of third parties. For risks related to our intellectual property, please see “Risk Factors—Risks Related to Our Intellectual Property.”</w:t>
      </w:r>
    </w:p>
    <w:p>
      <w:pPr>
        <w:spacing w:after="0" w:line="84"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believe that we have a strong global intellectual property position and substantial know how and trade secrets relating to our DELigase platform and drug candidates. We believe that we have a strong global intellectual property position and substantial know how and trade secrets relating to our DELigase platform and drug candidates. As of December 31, 2021, we have 20 U.S. patent applications and 51 foreign applications that we own, and four pending U.S. patent applications and three foreign patent applications that we co-own with Gilead. Should patents issue covering our clinical candidates, the expected expirations are 2039-2041 for patents covering NX-2127 and NX-5948; 2040-2042 for patents covering NX-1607; and 2040 for patents covering DeTIL-0255.</w:t>
      </w:r>
    </w:p>
    <w:p>
      <w:pPr>
        <w:spacing w:after="0" w:line="84"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term of individual patents depends upon the laws of the countries in which they are obtained. In most countries in which we file, including the United States, the patent term is 20 years from the earliest date of filing of a non-provisional patent application in the applicable country. However, the patent term of United States patents may, in certain cases, be adjusted for administrative delays by the United States Patent and Trademark Office (USPTO) in examining and granting a patent or may be shortened if a patent is terminally disclaimed over an earlier filed patent. In addition, the term of a patent may be extended as compensation for the patent term lost during the FDA regulatory review process.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 The Hatch-Waxman Act—Patent term extension.” In the future, if and when our pharmaceutical drug candidates receive FDA approval, we expect to apply for patent term extensions on patents, if issued, covering those drug candidates. We intend to seek patent term extensions to any of our patents, if issued, in any jurisdiction where these are available; however, there is no guarantee that the applicable authorities, including the USPTO and FDA, will agree with our assessment of whether such extensions should be granted, and even if granted, the length of such extensions.</w:t>
      </w:r>
    </w:p>
    <w:p>
      <w:pPr>
        <w:spacing w:after="0" w:line="74"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p>
      <w:pPr>
        <w:ind w:firstLine="589"/>
        <w:spacing w:after="0" w:line="286" w:lineRule="auto"/>
        <w:rPr>
          <w:sz w:val="20"/>
          <w:szCs w:val="20"/>
          <w:color w:val="auto"/>
        </w:rPr>
      </w:pPr>
      <w:r>
        <w:rPr>
          <w:rFonts w:ascii="Arial" w:cs="Arial" w:eastAsia="Arial" w:hAnsi="Arial"/>
          <w:sz w:val="16"/>
          <w:szCs w:val="16"/>
          <w:color w:val="auto"/>
        </w:rPr>
        <w:t>We also rely on trade secret protection for our know-how, confidential and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confidential and proprietary information as trade secrets, including through contractual means with our employees, consultants, outside scientific collaborators, sponsored researchers and other advisors, competitors or other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Despite these efforts, we cannot provide any assurances that all such agreements have been duly executed, and any of these parties may breach the agreements and disclose our proprietary information, and we may not be able to obtain adequate remedies for such breaches.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sections titled “Risk Factors— Risks Related to Our Intellectual Property” and “Risk Factors—Risks Related to Regulatory Approval and Marketing of Our Drug candidates.”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processes for obtaining approval in the United States, along with subsequent compliance with applicable statutes and regulations and other regulatory authorities, require the expenditure of substantial time and financial resources. The Federal Food, Drug, and Cosmetic Act (FDCA) and other federal and state statutes and regulations govern, among other things, the research, development, testing, manufacture, quality control, packaging, storage, recordkeeping, approval, labeling, promotion, advertising and marketing, distribution, post-approval monitoring and reporting, sampling, tracking and tracing and import and export of pharmaceutical products. Failure to comply with applicable U.S. requirements may subject a company to a variety of administrative or judicial sanctions, such as FDA refusal to approve pending new drug applications (NDAs), withdrawal of an approval, imposition of a clinical hold, warning or untitled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w:t>
      </w:r>
    </w:p>
    <w:p>
      <w:pPr>
        <w:spacing w:after="0" w:line="58"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80"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 xml:space="preserve">Preclinical tests include laboratory evaluation of product chemistry, formulation and toxicity, as well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animal trials to assess the characteristics and potential safety and efficacy of the product for initial testing in humans and to establish a rationale for therapeutic use.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80" w:firstLine="589"/>
        <w:spacing w:after="0" w:line="272" w:lineRule="auto"/>
        <w:rPr>
          <w:sz w:val="20"/>
          <w:szCs w:val="20"/>
          <w:color w:val="auto"/>
        </w:rPr>
      </w:pPr>
      <w:r>
        <w:rPr>
          <w:rFonts w:ascii="Arial" w:cs="Arial" w:eastAsia="Arial" w:hAnsi="Arial"/>
          <w:sz w:val="17"/>
          <w:szCs w:val="17"/>
          <w:color w:val="auto"/>
        </w:rPr>
        <w:t>An IND is an exemption from the FDCA that allows an unapproved new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 sponsor must submit a protocol for each clinical trial and any subsequent protocol amendments must be submitted to the FDA as part of the IND. The sponsor may be a company seeking to develop the drug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w:t>
      </w:r>
    </w:p>
    <w:p>
      <w:pPr>
        <w:spacing w:after="0" w:line="69"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A 30-day waiting period after the submission of each IND is required prior to the commencement of clinical testing in humans.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spacing w:after="0" w:line="68"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Clinical trials involve the administration of the investigational new drug to healthy volunteers or patients under the supervision of a qualified investigator. Clinical trials must be conducted: (i) in compliance with federal regulations; (ii) in compliance with good clinical practice (GCP), which is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53"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The FDA may order the temporary, or permanent, discontinuation of a clinical trial at any time, as a clinical hold or partial clinical hold, or impose other sanctions, if it believes that the clinical trial either is not being conducted in accordance with FDA requirements or presents an unacceptable risk to the clinical trial patients.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spacing w:after="0" w:line="57"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Specifically, the FDA has promulgated regulations governing the acceptance of data from foreign clinical trials not conducted under an IND, establishing that such data from studies will be accepted as support for an IND or application for marketing approval if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100" w:firstLine="589"/>
        <w:spacing w:after="0" w:line="255" w:lineRule="auto"/>
        <w:rPr>
          <w:sz w:val="20"/>
          <w:szCs w:val="20"/>
          <w:color w:val="auto"/>
        </w:rPr>
      </w:pPr>
      <w:r>
        <w:rPr>
          <w:rFonts w:ascii="Arial" w:cs="Arial" w:eastAsia="Arial" w:hAnsi="Arial"/>
          <w:sz w:val="18"/>
          <w:szCs w:val="18"/>
          <w:color w:val="auto"/>
        </w:rPr>
        <w:t>The study protocol and informed consent information for patients in clinical trials must also be submitted to an institutional review board (IRB) representing each institution participating in the clinical trial. The IRB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may also require the clinical trial at the site to be halted, either temporarily or permanently, for failure to comply with the IRB’s requirements, or may impose other conditions.</w:t>
      </w:r>
    </w:p>
    <w:p>
      <w:pPr>
        <w:spacing w:after="0" w:line="8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80"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Information about certain clinical trials must be submitted within specific timeframes to the National Institutes of Health (NIH) for public dissemination on its ClinicalTrials.gov website. Sponsors are also obligated to disclose the results of their clinical trials after completion. Disclosure of the results of these trials can be delayed in certain circumstances for up to two years after the date of completion of the trial.</w:t>
      </w:r>
    </w:p>
    <w:p>
      <w:pPr>
        <w:spacing w:after="0" w:line="57"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Clinical trials to support NDAs for marketing approval are typically conducted in three sequential phases, but the phases may overlap. In Phase 1, the drug is introduced into healthy human subjects or in certain indications such as cancer, into patients with the target disease or condition. The drug is tested in Phase 1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conducted. In a Phase 3 trial,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 benefit profile of the product, and to provide adequate information for the labeling of the product.</w:t>
      </w:r>
    </w:p>
    <w:p>
      <w:pPr>
        <w:spacing w:after="0" w:line="73"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most cases the FDA requires at least two adequate and well-controlled Phase 3 clinical trials to demonstrate the efficacy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Post-approval studies, or Phase 4 trials, are often required following initial approval and are intended to gain additional experience and data from treatment of patients in the intended therapeutic indication.</w:t>
      </w:r>
    </w:p>
    <w:p>
      <w:pPr>
        <w:spacing w:after="0" w:line="84" w:lineRule="exact"/>
        <w:rPr>
          <w:sz w:val="20"/>
          <w:szCs w:val="20"/>
          <w:color w:val="auto"/>
        </w:rPr>
      </w:pPr>
    </w:p>
    <w:p>
      <w:pPr>
        <w:ind w:right="120" w:firstLine="589"/>
        <w:spacing w:after="0" w:line="289" w:lineRule="auto"/>
        <w:rPr>
          <w:sz w:val="20"/>
          <w:szCs w:val="20"/>
          <w:color w:val="auto"/>
        </w:rPr>
      </w:pPr>
      <w:r>
        <w:rPr>
          <w:rFonts w:ascii="Arial" w:cs="Arial" w:eastAsia="Arial" w:hAnsi="Arial"/>
          <w:sz w:val="16"/>
          <w:szCs w:val="16"/>
          <w:color w:val="auto"/>
        </w:rPr>
        <w:t xml:space="preserve">Progress reports detailing the results of the clinical trials conducted under an IND must be submitted at least annually to the FDA and more frequently if serious adverse effects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in humans exposed to the drug;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58" w:lineRule="exact"/>
        <w:rPr>
          <w:sz w:val="20"/>
          <w:szCs w:val="20"/>
          <w:color w:val="auto"/>
        </w:rPr>
      </w:pPr>
    </w:p>
    <w:p>
      <w:pPr>
        <w:ind w:right="180" w:firstLine="589"/>
        <w:spacing w:after="0" w:line="255" w:lineRule="auto"/>
        <w:rPr>
          <w:sz w:val="20"/>
          <w:szCs w:val="20"/>
          <w:color w:val="auto"/>
        </w:rPr>
      </w:pPr>
      <w:r>
        <w:rPr>
          <w:rFonts w:ascii="Arial" w:cs="Arial" w:eastAsia="Arial" w:hAnsi="Arial"/>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current good manufacturing practices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firstLine="589"/>
        <w:spacing w:after="0" w:line="272" w:lineRule="auto"/>
        <w:rPr>
          <w:sz w:val="20"/>
          <w:szCs w:val="20"/>
          <w:color w:val="auto"/>
        </w:rPr>
      </w:pPr>
      <w:r>
        <w:rPr>
          <w:rFonts w:ascii="Arial" w:cs="Arial" w:eastAsia="Arial" w:hAnsi="Arial"/>
          <w:sz w:val="17"/>
          <w:szCs w:val="17"/>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currently set for fiscal year 2022 at $3,117,218 for applications requiring clinical data, and $1,558,609 for applications not requiring clinical data, and the manufacturer and sponsor under an approved NDA are also subject to annual program fees, currently set for fiscal year 2022 at $369,413 for each prescription product. These fees are typically increased annually. Sponsors of applications for drugs granted Orphan Drug Designation are exempt from these user fees.</w:t>
      </w:r>
    </w:p>
    <w:p>
      <w:pPr>
        <w:spacing w:after="0" w:line="69"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review. The FDA has agreed to certain performance goals in the review of NDAs to encourage timeliness. The FDA intends to review applications for standard review drug products within ten months of the 60-day filing date; and applications for priority review drugs within six months. Priority review can be applied to drugs that the FDA determines treat a serious condition, and if approved, would offer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The review process for both standard and priority review may be extended by the FDA for three additional months to consider certain late-submitted information, or information intended to clarify information already provided in the submission.</w:t>
      </w:r>
    </w:p>
    <w:p>
      <w:pPr>
        <w:spacing w:after="0" w:line="60"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 FDA is required to refer an application for a novel drug to an advisory committee or explain why such referral was not made. An advisory committee is 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57"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Before approving an NDA, the FDA will typically inspect one or more clinical sites to assure compliance with GCP. Additionally, the FDA will inspect the facility or the facilities at which the drug is manufactured. The FDA will not approve the product unless compliance with cGMPs is satisfactory and the NDA contains data that provide substantial evidence that the drug is safe and effective in the indication studied.</w:t>
      </w:r>
    </w:p>
    <w:p>
      <w:pPr>
        <w:spacing w:after="0" w:line="5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After the FDA evaluates the NDA and accompanying information and the manufacturing facilities, it issues either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intends to review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56"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firstLine="589"/>
        <w:spacing w:after="0" w:line="253" w:lineRule="auto"/>
        <w:rPr>
          <w:sz w:val="20"/>
          <w:szCs w:val="20"/>
          <w:color w:val="auto"/>
        </w:rPr>
      </w:pPr>
      <w:r>
        <w:rPr>
          <w:rFonts w:ascii="Arial" w:cs="Arial" w:eastAsia="Arial" w:hAnsi="Arial"/>
          <w:sz w:val="18"/>
          <w:szCs w:val="18"/>
          <w:color w:val="auto"/>
        </w:rPr>
        <w:t>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medicines in the EU</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In the EU, companies can apply for marketing authorizations under the centralized procedure to the European Medicines Agency (EMA) or they can submit their application to the competent authorities in the EEA Member States via the decentralized procedure, the national procedure, or the mutual recognition procedure. The centralized procedure is mandatory for certain medicines, such as those produced by biotechnology, orphan medicinal products, advanced therapy medicinal products and those containing a new active substance indicated for the treatment of HIV, AIDS, cancer, neurodegenerative disorders, autoimmune and other immune dysfunctions, viral diseases, or diabetes. The centralized procedure remains optional for medicines containing a new active substance, or which are a significant therapeutic, scientific, or technical innovation or whose authorization would be in the interest of public health.</w:t>
      </w:r>
    </w:p>
    <w:p>
      <w:pPr>
        <w:spacing w:after="0" w:line="87" w:lineRule="exact"/>
        <w:rPr>
          <w:sz w:val="20"/>
          <w:szCs w:val="20"/>
          <w:color w:val="auto"/>
        </w:rPr>
      </w:pPr>
    </w:p>
    <w:p>
      <w:pPr>
        <w:ind w:right="280" w:firstLine="589"/>
        <w:spacing w:after="0" w:line="257" w:lineRule="auto"/>
        <w:rPr>
          <w:sz w:val="20"/>
          <w:szCs w:val="20"/>
          <w:color w:val="auto"/>
        </w:rPr>
      </w:pPr>
      <w:r>
        <w:rPr>
          <w:rFonts w:ascii="Arial" w:cs="Arial" w:eastAsia="Arial" w:hAnsi="Arial"/>
          <w:sz w:val="18"/>
          <w:szCs w:val="18"/>
          <w:color w:val="auto"/>
        </w:rPr>
        <w:t>The marketing authorization granted under the centralized procedure by the EMA will be valid in all EEA Member States. The maximum timeframe for the evaluation of a marketing authorization application, by the EMA is 210 days but can go be extended should additional information be required by the Committee for Medicinal Products for Human Use (CHMP). The European Commission makes the final decision to grant a marketing authorization, which is issued within 67 days of receipt of the EMA’s recommendation. An accelerated assessment procedure of 150 days may be implemented for dugs considered to be of major public health interest.</w:t>
      </w:r>
    </w:p>
    <w:p>
      <w:pPr>
        <w:spacing w:after="0" w:line="80" w:lineRule="exact"/>
        <w:rPr>
          <w:sz w:val="20"/>
          <w:szCs w:val="20"/>
          <w:color w:val="auto"/>
        </w:rPr>
      </w:pPr>
    </w:p>
    <w:p>
      <w:pPr>
        <w:jc w:val="both"/>
        <w:ind w:right="80" w:firstLine="589"/>
        <w:spacing w:after="0" w:line="286" w:lineRule="auto"/>
        <w:rPr>
          <w:sz w:val="20"/>
          <w:szCs w:val="20"/>
          <w:color w:val="auto"/>
        </w:rPr>
      </w:pPr>
      <w:r>
        <w:rPr>
          <w:rFonts w:ascii="Arial" w:cs="Arial" w:eastAsia="Arial" w:hAnsi="Arial"/>
          <w:sz w:val="17"/>
          <w:szCs w:val="17"/>
          <w:color w:val="auto"/>
        </w:rPr>
        <w:t>Under the mutual recognition procedure, the national marketing authorization holder may submit an application to other EEA Member States. The Member States involved must decide whether to recognize the approval within 90 days of receiving the application. If a Member State does not recognize the marketing authorization, the disputed points are eventually referred to the European Commission, whose decision is binding.</w:t>
      </w:r>
    </w:p>
    <w:p>
      <w:pPr>
        <w:spacing w:after="0" w:line="57"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Since the UK has left the EU, Great Britain is no longer covered by centralized marketing authorizations. This is not the case for Northern Ireland as under the Northern Ireland Protocol, centralized marketing authorizations continue to be recognized in Northern Ireland. Medicines with centralized marketing authorizations were automatically converted to Great Britain marketing authorizations on January 1, 2021. For a period of two years from January 1, 2021, the Medicines and Healthcare Products Regulatory Agency (MHRA), the UK medicines regulator, can rely on a decision taken by the European Commission on the approval of a new marketing authorization in the centralized procedure, in order to more quickly grant a new Great Britain marketing authorization. A separate application is, however, still required. The MHRA has launched the Innovative Licensing and Access Pathway (ILAP), a new accelerated assessment procedure for marketing authorization applications that enables companies to enter the UK market faster.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regulation in the EU</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In the EU, a Clinical Trial Application (CTA) must be submitted for each clinical trial to each Member State’s national competent authority (NCA) and an independent Ethics Committee. Once the CTA is approved in accordance with a particular Member State’s requirements, the clinical trial may proceed. Under the EU Clinical Trials Directive 2001/20/EC, suspected unexpected serious adverse reactions to the drug being trialed occurring during the clinical trial must be reported to the NCA and the Ethics Committee of the Member State where they occurred.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40" w:firstLine="589"/>
        <w:spacing w:after="0" w:line="263" w:lineRule="auto"/>
        <w:rPr>
          <w:sz w:val="20"/>
          <w:szCs w:val="20"/>
          <w:color w:val="auto"/>
        </w:rPr>
      </w:pPr>
      <w:r>
        <w:rPr>
          <w:rFonts w:ascii="Arial" w:cs="Arial" w:eastAsia="Arial" w:hAnsi="Arial"/>
          <w:sz w:val="18"/>
          <w:szCs w:val="18"/>
          <w:color w:val="auto"/>
        </w:rPr>
        <w:t>The EU has adopted a new Clinical Trials Regulation (EU) No 536/2014 that will amend the current system of approvals for clinical trials in the EU by simplifying and streamlining the application procedure via a single-entry point with the implementation of strictly defined deadlines for assessment. The new Regulation will come into effect in each Member State on January 31, 2022.</w:t>
      </w:r>
    </w:p>
    <w:p>
      <w:pPr>
        <w:spacing w:after="0" w:line="76"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In the EU, Transparency Regulation No 1049/ 2001, EMA Policy 0043, EMA Policy 0070, as well as the Clinical Trials Regulation No 536/2014 set out the obligation for sponsors to make publicly available certain information stemming from clinical studies. Interested parties based in the EU may submit a request to the EMA to access information included in the marketing authorization application for authorized medicinal products. Commercially confidential information and protected personal data may however not be accessed.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Framework in the United Kingdom following Brexit</w:t>
      </w:r>
    </w:p>
    <w:p>
      <w:pPr>
        <w:spacing w:after="0" w:line="117" w:lineRule="exact"/>
        <w:rPr>
          <w:sz w:val="20"/>
          <w:szCs w:val="20"/>
          <w:color w:val="auto"/>
        </w:rPr>
      </w:pPr>
    </w:p>
    <w:p>
      <w:pPr>
        <w:ind w:right="140" w:firstLine="589"/>
        <w:spacing w:after="0" w:line="296" w:lineRule="auto"/>
        <w:rPr>
          <w:sz w:val="20"/>
          <w:szCs w:val="20"/>
          <w:color w:val="auto"/>
        </w:rPr>
      </w:pPr>
      <w:r>
        <w:rPr>
          <w:rFonts w:ascii="Arial" w:cs="Arial" w:eastAsia="Arial" w:hAnsi="Arial"/>
          <w:sz w:val="16"/>
          <w:szCs w:val="16"/>
          <w:color w:val="auto"/>
        </w:rPr>
        <w:t>The UK officially left the EU on January 31, 2020. A transition period during which EU law remained applicable to the UK began on February 1, 2020 and ended on December 31, 2020. The EU regulatory framework for medicinal products in place before the end of the transition period has been preserved in UK domestic legislation as “retained EU law” but the UK may diverge from EU law in the future should it wish to do so. Pursuant to the Northern Ireland Protocol, the EU pharmaceutical legal framework acquis continues to apply in Northern Ireland and medicines can only be placed in the Northern Ireland market if they comply with EU law. The UK government is however currently trying to renegotiate the Northern Ireland Protocol.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approval pathways</w:t>
      </w:r>
    </w:p>
    <w:p>
      <w:pPr>
        <w:spacing w:after="0" w:line="117" w:lineRule="exact"/>
        <w:rPr>
          <w:sz w:val="20"/>
          <w:szCs w:val="20"/>
          <w:color w:val="auto"/>
        </w:rPr>
      </w:pPr>
    </w:p>
    <w:p>
      <w:pPr>
        <w:jc w:val="both"/>
        <w:ind w:right="20" w:firstLine="589"/>
        <w:spacing w:after="0" w:line="293"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 In addition, accelerated approval offers the potential for approval based on a surrogate or intermediate clinical endpoint. In May 2014, the FDA published a final Guidance for Industry titled “Expedited Programs for Serious Conditions Drugs and Biologics,” which provides guidance on the FDA programs that are intended to facilitate and expedite development and review of new drug candidates as well as threshold criteria generally applicable to concluding that a drug candidate is a candidate for these expedited development and review programs.</w:t>
      </w:r>
    </w:p>
    <w:p>
      <w:pPr>
        <w:spacing w:after="0" w:line="56"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The FDA may designate a product for Fast Track review if it is intended, whether alone or in combination with one or more other products, for the treatment of a serious or life 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57" w:lineRule="exact"/>
        <w:rPr>
          <w:sz w:val="20"/>
          <w:szCs w:val="20"/>
          <w:color w:val="auto"/>
        </w:rPr>
      </w:pPr>
    </w:p>
    <w:p>
      <w:pPr>
        <w:jc w:val="both"/>
        <w:ind w:right="60" w:firstLine="589"/>
        <w:spacing w:after="0" w:line="287" w:lineRule="auto"/>
        <w:rPr>
          <w:sz w:val="20"/>
          <w:szCs w:val="20"/>
          <w:color w:val="auto"/>
        </w:rPr>
      </w:pPr>
      <w:r>
        <w:rPr>
          <w:rFonts w:ascii="Arial" w:cs="Arial" w:eastAsia="Arial" w:hAnsi="Arial"/>
          <w:sz w:val="16"/>
          <w:szCs w:val="16"/>
          <w:color w:val="auto"/>
        </w:rPr>
        <w:t>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available therapies on one or more clinically significant endpoints, such as substantial treatment effects observed early in clinical development.</w:t>
      </w: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rolling review; and taking other steps to design the clinical trials in an efficient manner.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Accelerated approval pathway</w:t>
      </w:r>
    </w:p>
    <w:p>
      <w:pPr>
        <w:spacing w:after="0" w:line="117"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The FDA may grant accelerated approval to a drug for a serious or life threatening condition that provides meaningful therapeutic advantage to patients over available treatments based upon a determination that the drug has an effect on a surrogate endpoint that is reasonably likely to predict clinical benefit. The FDA may also grant accelerated approval for such drug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56"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w:t>
      </w:r>
    </w:p>
    <w:p>
      <w:pPr>
        <w:spacing w:after="0" w:line="8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80"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The accelerated approval pathway is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from the market on an expedited basis. In addition, all promotional materials for drugs approved under accelerated regulations are subject to prior review by the FDA.</w:t>
      </w:r>
    </w:p>
    <w:p>
      <w:pPr>
        <w:spacing w:after="0" w:line="84"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EU and UK operate accelerated evaluation schemes, which may be granted in exceptional cases, often when there is unmet medical need for a life-threatening or serious debilitating condition and existing data show a positive benefit/risk balance that means the medicinal product is of a major public health interest. The CHMP of the EMA or the MHRA (or other national competent authority) will make this determination on a case-by-case basis and subject to meeting eligibility criteria. Accelerated assessment takes place within 150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17" w:lineRule="exact"/>
        <w:rPr>
          <w:sz w:val="20"/>
          <w:szCs w:val="20"/>
          <w:color w:val="auto"/>
        </w:rPr>
      </w:pPr>
    </w:p>
    <w:p>
      <w:pPr>
        <w:ind w:right="300" w:firstLine="589"/>
        <w:spacing w:after="0" w:line="301" w:lineRule="auto"/>
        <w:rPr>
          <w:sz w:val="20"/>
          <w:szCs w:val="20"/>
          <w:color w:val="auto"/>
        </w:rPr>
      </w:pPr>
      <w:r>
        <w:rPr>
          <w:rFonts w:ascii="Arial" w:cs="Arial" w:eastAsia="Arial" w:hAnsi="Arial"/>
          <w:sz w:val="16"/>
          <w:szCs w:val="16"/>
          <w:color w:val="auto"/>
        </w:rPr>
        <w:t>Under the Orphan Drug Act, the FDA may grant Orphan Drug Designation to drugs intended to treat a rare disease or condition—generally a disease or condition that affects fewer than 200,000 individuals in the United States. Orphan Drug Designation must be requested before submitting an NDA. After the FDA grants Orphan Drug Designation, the name of the drug and its potential orphan-designated use are disclosed publicly by the FDA. Orphan Drug Designation does not convey any advantage in, or shorten the duration of, the regulatory review and approval process.</w:t>
      </w:r>
    </w:p>
    <w:p>
      <w:pPr>
        <w:spacing w:after="0" w:line="49"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first NDA applicant to receive FDA approval for a particular drug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an exemption from the NDA application user fee.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right="40" w:firstLine="589"/>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licensed for a use that is broader than the indication for which it received orphan designation. In addition, exclusive marketing rights in the United States may be rescinded if the FDA later determines that the request for designation was materially defective or if the manufacturer is unable to assure sufficient quantities of the product to meet the needs of patients with the rare disease or condition.</w:t>
      </w:r>
    </w:p>
    <w:p>
      <w:pPr>
        <w:spacing w:after="0" w:line="79"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In the EU and UK, under Regulation (EC)141/2000 and the UK Human Medicines Regulation 2012 (as amended), respectively, medicinal products may be granted an orphan drug designation if they are used to treat or prevent life-threatening or chronically debilitating conditions that affect no more than five in 10,000 people in the EU/ UK and for which there is no satisfactory method of diagnosis, prevention or treatment when the application is made, or when the medicinal product is of significant benefit to those affected by the condition. In addition, orphan drug designation can be granted to drugs used to treat or prevent life-threatening or chronically debilitating conditions which, for economic reasons, would be unlikely to be developed without incentives.</w:t>
      </w:r>
    </w:p>
    <w:p>
      <w:pPr>
        <w:spacing w:after="0" w:line="53"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application for orphan designation must be submitted to and approved by the EMA in respect of the EU or to the MHRA for Great Britain before an application is made for marketing authorization for the product. Medicinal products which benefit from orphan status, which they successfully maintain post-grant of the marketing authorization, can benefit from up to ten years of market exclusivity in respect of the approved indication. This prevents regulatory authorities in the EU or Great Britain, as the case may be, from granting marketing authorizations for similar medicinal products for the same therapeutic indication, unless another applicant can show that the similar medicinal product in question is safer, more effective or clinically superior to the orphan-designated product or if the marketing authorization holder consents to the second orphan medicinal product application, or where the marketing authorization holder cannot supply the needs of the market.</w:t>
      </w:r>
    </w:p>
    <w:p>
      <w:pPr>
        <w:spacing w:after="0" w:line="69"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 Conversely, the 10-year exclusivity period can be further extended by 2 years, when pediatric studies are conducted in accordance with an agreed pediatric investigation plan (PIP) and in completion of all the legal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117" w:lineRule="exact"/>
        <w:rPr>
          <w:sz w:val="20"/>
          <w:szCs w:val="20"/>
          <w:color w:val="auto"/>
        </w:rPr>
      </w:pPr>
    </w:p>
    <w:p>
      <w:pPr>
        <w:ind w:right="380" w:firstLine="589"/>
        <w:spacing w:after="0" w:line="279" w:lineRule="auto"/>
        <w:rPr>
          <w:sz w:val="20"/>
          <w:szCs w:val="20"/>
          <w:color w:val="auto"/>
        </w:rPr>
      </w:pPr>
      <w:r>
        <w:rPr>
          <w:rFonts w:ascii="Arial" w:cs="Arial" w:eastAsia="Arial" w:hAnsi="Arial"/>
          <w:sz w:val="17"/>
          <w:szCs w:val="17"/>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(FDASIA), sponsors must also submit pediatric study plans prior to the assessment data.</w:t>
      </w:r>
    </w:p>
    <w:p>
      <w:pPr>
        <w:spacing w:after="0" w:line="63"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7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79"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100" w:firstLine="589"/>
        <w:spacing w:after="0" w:line="263" w:lineRule="auto"/>
        <w:rPr>
          <w:sz w:val="20"/>
          <w:szCs w:val="20"/>
          <w:color w:val="auto"/>
        </w:rPr>
      </w:pPr>
      <w:r>
        <w:rPr>
          <w:rFonts w:ascii="Arial" w:cs="Arial" w:eastAsia="Arial" w:hAnsi="Arial"/>
          <w:sz w:val="18"/>
          <w:szCs w:val="18"/>
          <w:color w:val="auto"/>
        </w:rPr>
        <w:t>Under the European Pediatric Regulation (Regulation (EC) No 1901/2006), which has also been reflected in and retained by UK law, applicants must submit to the national competent authority or the EMA data from pediatric studies in compliance with an agreed PIP for the validation or acceptance of a marketing authorization application, unless the medicine is exempt because of a deferral or waiver.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through the applicant’s submission of a supplemental application, and approval. There also are continuing, annual user fee requirements for any marketed products and the establishments at which such products are manufactured, as well as new application fees for supplemental applications with clinical data.</w:t>
      </w:r>
    </w:p>
    <w:p>
      <w:pPr>
        <w:spacing w:after="0" w:line="84"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70"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8" w:lineRule="exact"/>
        <w:rPr>
          <w:sz w:val="20"/>
          <w:szCs w:val="20"/>
          <w:color w:val="auto"/>
        </w:rPr>
      </w:pPr>
    </w:p>
    <w:p>
      <w:pPr>
        <w:ind w:left="1160" w:right="8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including total or partial suspension of production, complete withdrawal of the product from the market or product recalls;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117" w:lineRule="exact"/>
        <w:rPr>
          <w:rFonts w:ascii="Arial" w:cs="Arial" w:eastAsia="Arial" w:hAnsi="Arial"/>
          <w:sz w:val="18"/>
          <w:szCs w:val="18"/>
          <w:color w:val="auto"/>
        </w:rPr>
      </w:pPr>
    </w:p>
    <w:p>
      <w:pPr>
        <w:ind w:left="1160" w:right="720" w:hanging="572"/>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Refusal of the FDA to approve pending NDAs or supplements to approved NDAs, or suspension or revocation of product license approvals;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may be promoted only for the approved indications and consistently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79" w:lineRule="exact"/>
        <w:rPr>
          <w:sz w:val="20"/>
          <w:szCs w:val="20"/>
          <w:color w:val="auto"/>
        </w:rPr>
      </w:pPr>
    </w:p>
    <w:p>
      <w:pPr>
        <w:ind w:right="20" w:firstLine="589"/>
        <w:spacing w:after="0" w:line="311" w:lineRule="auto"/>
        <w:rPr>
          <w:sz w:val="20"/>
          <w:szCs w:val="20"/>
          <w:color w:val="auto"/>
        </w:rPr>
      </w:pPr>
      <w:r>
        <w:rPr>
          <w:rFonts w:ascii="Arial" w:cs="Arial" w:eastAsia="Arial" w:hAnsi="Arial"/>
          <w:sz w:val="16"/>
          <w:szCs w:val="16"/>
          <w:color w:val="auto"/>
        </w:rPr>
        <w:t>In addition, the distribution of prescription drug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w:t>
      </w:r>
    </w:p>
    <w:p>
      <w:pPr>
        <w:spacing w:after="0" w:line="4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Many jurisdictions, including the EU and the UK, require each marketing authorization holder, national competent authority and the EMA to operate a pharmacovigilance system to ensure that the safety of all medicines is monitored throughout their use. The overall EU pharmacovigilance system operates through cooperation between the EU Member States, EMA and the European Commission.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Abbreviated New Drug Applications for generic drugs</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 listed drug (RLD).</w:t>
      </w:r>
    </w:p>
    <w:p>
      <w:pPr>
        <w:spacing w:after="0" w:line="70"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505(b)(2) New Drug Applications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patent certification and the 30-month stay</w:t>
      </w:r>
    </w:p>
    <w:p>
      <w:pPr>
        <w:spacing w:after="0" w:line="117" w:lineRule="exact"/>
        <w:rPr>
          <w:sz w:val="20"/>
          <w:szCs w:val="20"/>
          <w:color w:val="auto"/>
        </w:rPr>
      </w:pPr>
    </w:p>
    <w:p>
      <w:pPr>
        <w:ind w:right="600" w:firstLine="589"/>
        <w:spacing w:after="0" w:line="342" w:lineRule="auto"/>
        <w:rPr>
          <w:sz w:val="20"/>
          <w:szCs w:val="20"/>
          <w:color w:val="auto"/>
        </w:rPr>
      </w:pPr>
      <w:r>
        <w:rPr>
          <w:rFonts w:ascii="Arial" w:cs="Arial" w:eastAsia="Arial" w:hAnsi="Arial"/>
          <w:sz w:val="16"/>
          <w:szCs w:val="16"/>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Orange Book.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firstLine="589"/>
        <w:spacing w:after="0" w:line="286" w:lineRule="auto"/>
        <w:rPr>
          <w:sz w:val="20"/>
          <w:szCs w:val="20"/>
          <w:color w:val="auto"/>
        </w:rPr>
      </w:pPr>
      <w:r>
        <w:rPr>
          <w:rFonts w:ascii="Arial" w:cs="Arial" w:eastAsia="Arial" w:hAnsi="Arial"/>
          <w:sz w:val="16"/>
          <w:szCs w:val="16"/>
          <w:color w:val="auto"/>
        </w:rPr>
        <w:t>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would be required of an ANDA applicant.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known as a Section VIII statement.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extension</w:t>
      </w:r>
    </w:p>
    <w:p>
      <w:pPr>
        <w:spacing w:after="0" w:line="117" w:lineRule="exact"/>
        <w:rPr>
          <w:sz w:val="20"/>
          <w:szCs w:val="20"/>
          <w:color w:val="auto"/>
        </w:rPr>
      </w:pPr>
    </w:p>
    <w:p>
      <w:pPr>
        <w:ind w:right="120" w:firstLine="589"/>
        <w:spacing w:after="0" w:line="270" w:lineRule="auto"/>
        <w:rPr>
          <w:sz w:val="20"/>
          <w:szCs w:val="20"/>
          <w:color w:val="auto"/>
        </w:rPr>
      </w:pPr>
      <w:r>
        <w:rPr>
          <w:rFonts w:ascii="Arial" w:cs="Arial" w:eastAsia="Arial" w:hAnsi="Arial"/>
          <w:sz w:val="17"/>
          <w:szCs w:val="17"/>
          <w:color w:val="auto"/>
        </w:rPr>
        <w:t>After NDA approval,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effective date of an IND application and the submission date of a NDA, plus the time between NDA submission date and the NDA approval date up to a maximum of five years. The time can be shortened if the FDA determines that the applicant did not pursue approval with due diligence. The total patent term after the extension may not exceed 14 years from the date of product approval. Only one patent applicable to an approved drug is eligible for extension and only those claims covering the approved drug,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Exclusivity under the Hatch-Waxman Amendments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In addition, under the Hatch-Waxman Amendments, the FDA may not approve an ANDA or 505(b)(2) NDA referencing a particular drug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submitted to the FDA until the expiration of five years from the date the NDA is approved, unless the submission is accompanied by a Paragraph IV certification, in which case the applicant may submit its application four years following the original product approval.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firstLine="589"/>
        <w:spacing w:after="0" w:line="271" w:lineRule="auto"/>
        <w:rPr>
          <w:sz w:val="20"/>
          <w:szCs w:val="20"/>
          <w:color w:val="auto"/>
        </w:rPr>
      </w:pPr>
      <w:r>
        <w:rPr>
          <w:rFonts w:ascii="Arial" w:cs="Arial" w:eastAsia="Arial" w:hAnsi="Arial"/>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it does, however, block the FDA from approving ANDAs or 505(b)(2) NDAs during the period of exclusivity. The FDA typically makes decisions about awards of data exclusivity shortly before a product is approved.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In addition to regulations in the United States, we will be subject to a variety of foreign regulations governing clinical trials and commercial sales and distribution of our drug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69"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We will also be subject to certain ex-U.S. privacy laws in connection with our clinical trial activities outside the United States such as, the EU General Data Protection Regulation (EU GDPR) – non-compliance with which could result in administrative fines of up to the greater of €20.0 million or 4% of global annual revenues. The EU GDPR also confers a private right of action on data subjects and consumer associations to lodge complaints with supervisory authorities, seek judicial remedies and obtain compensation for damages resulting from violations of the EU GDPR.</w:t>
      </w:r>
    </w:p>
    <w:p>
      <w:pPr>
        <w:spacing w:after="0" w:line="63" w:lineRule="exact"/>
        <w:rPr>
          <w:sz w:val="20"/>
          <w:szCs w:val="20"/>
          <w:color w:val="auto"/>
        </w:rPr>
      </w:pPr>
    </w:p>
    <w:p>
      <w:pPr>
        <w:ind w:right="60" w:firstLine="589"/>
        <w:spacing w:after="0" w:line="269" w:lineRule="auto"/>
        <w:rPr>
          <w:sz w:val="20"/>
          <w:szCs w:val="20"/>
          <w:color w:val="auto"/>
        </w:rPr>
      </w:pPr>
      <w:r>
        <w:rPr>
          <w:rFonts w:ascii="Arial" w:cs="Arial" w:eastAsia="Arial" w:hAnsi="Arial"/>
          <w:sz w:val="17"/>
          <w:szCs w:val="17"/>
          <w:color w:val="auto"/>
        </w:rPr>
        <w:t>The EU GDPR grants individuals various data protection rights (e.g., the right to erasure of personal data) and imposes stringent data protection requirements on U.S.-based companies, such as ours, which fall within its scope, including inter alia: (i) accountability, data treatment and transparency requirements; and (ii) obligations to report certain personal data breaches to the supervisory authority without undue delay (and no later than 72 hours where feasible). In addition, the EU GDPR prohibits the transfer of personal data from the EEA to the United States and other jurisdictions that the European Commission does not recognize as having “adequate” data protection laws unless a data transfer mechanism has been put in place. In July 2020, the Court of Justice of the European Union limited how organizations could lawfully transfer personal data from the EEA to the United States by invalidating the EU-US Privacy Shield for purposes of international transfers and imposed further restrictions on use of standard contractual clauses (SCCs) (i.e., EU-style data transfer agreements) including, a requirement for companies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Moreover, new versions of the SCCs (new EU SCCs) have recently been published requiring additional compliance and implementation efforts.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3" w:name="page44"/>
    <w:bookmarkEnd w:id="43"/>
    <w:p>
      <w:pPr>
        <w:ind w:right="40" w:firstLine="589"/>
        <w:spacing w:after="0" w:line="269" w:lineRule="auto"/>
        <w:rPr>
          <w:sz w:val="20"/>
          <w:szCs w:val="20"/>
          <w:color w:val="auto"/>
        </w:rPr>
      </w:pPr>
      <w:r>
        <w:rPr>
          <w:rFonts w:ascii="Arial" w:cs="Arial" w:eastAsia="Arial" w:hAnsi="Arial"/>
          <w:sz w:val="17"/>
          <w:szCs w:val="17"/>
          <w:color w:val="auto"/>
        </w:rPr>
        <w:t xml:space="preserve">Relatedly, following the United Kingdom’s withdrawal from the EU (Brexit), the EU GDPR has been implemented in the United Kingdom (as the UK GDPR). The UK GDPR site alongside the UK Data Protection Act 2018 which implements certain derogations in the EU GDPR into UK law. The requirements of the UK GDPR are (at this time) largely aligned with those under the EU GDPR and as such, may lead to similar compliance and operational costs with potential fines for non-compliance of up to £17.5 million or 4% of annual worldwide turnover. As a result, we are potentially exposed to two parallel data protection regimes, each of which authorizes fines and the potential for divergent enforcement actions. It should also be noted that the new EU SCCs do not automatically apply in the UK since Brexit, and the UK Government has not yet formally acknowledged the new EU SCCs, </w:t>
      </w:r>
      <w:r>
        <w:rPr>
          <w:rFonts w:ascii="Arial" w:cs="Arial" w:eastAsia="Arial" w:hAnsi="Arial"/>
          <w:sz w:val="17"/>
          <w:szCs w:val="17"/>
          <w:i w:val="1"/>
          <w:iCs w:val="1"/>
          <w:color w:val="auto"/>
        </w:rPr>
        <w:t>i.e.</w:t>
      </w:r>
      <w:r>
        <w:rPr>
          <w:rFonts w:ascii="Arial" w:cs="Arial" w:eastAsia="Arial" w:hAnsi="Arial"/>
          <w:sz w:val="17"/>
          <w:szCs w:val="17"/>
          <w:color w:val="auto"/>
        </w:rPr>
        <w:t>, as a valid data transfer mechanism under the UK GDPR. Indeed, on 11 August 2021, the UK Information Commissioner’s Office (ICO) launched a public consultation on its draft international data transfer agreement and guidance. This included the publication of a draft UK addendum that can be used with the new EU SCCs – however, this is not (at this time) finalized and as such, for the time being transfers from the UK to a third country should continue to be made in reliance on the ‘old’ SCCs.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of medicines in Europe</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the EU, pricing and reimbursement methods can differ in each Member State. Some Member States and the UK may require that health technology assessments (HTA) be completed to obtain reimbursement or pricing approval. The outcome of HTA assessments is decided on a national basis and some Member States may decide not to reimburse the use of medicines or may reduce the rate of reimbursement. In December 2021, the EU adopted a new Regulation on Health Technology Assessment which allows Member States to carry out joint clinical assessments and operate joint clinical consultations. It is expected that the new Regulation will come into effect in 2025. In the UK, NICE is the body which conducts HTAs and issues guidance on whether a product is considered to be “cost-effective.”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Although we do not currently have any products on the market, in addition to FDA restrictions on marketing of pharmaceutical products, we are also subject to healthcare statutory and regulatory requirements and enforcement by the U.S. federal and state governments.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federal and state governments. These laws include anti-kickback statutes, false claims statutes and other healthcare laws and regulations.</w:t>
      </w:r>
    </w:p>
    <w:p>
      <w:pPr>
        <w:spacing w:after="0" w:line="53"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any remuneration, directly or indirectly, in cash or in kind, to induce, or in return for, purchasing, leasing, ordering, or arranging for, referring, or recommending the purchase, lease or order of any healthcare item or service reimbursable, in whole or in part, under Medicare, Medicaid, or other federal health care program. The Patient Protection and Affordable Care Act as amended by the Health Care and Education Reconciliation Act (collectively, the ACA) amended the intent element of the federal Anti-Kickback Statute to clarify that a person or entity need not have actual knowledge of the statute or specific intent to violate it in order to commit a violation. Among others, this statute applies to arrangements between pharmaceutical manufacturers on the one hand and prescribers, purchasers and formulary managers on the other, including, for example, consulting/speaking arrangements, discount and rebate offers, grants, charitable contributions and patient support offerings. A conviction for violation of the federal Anti-Kickback Statute can result in criminal fines and/or imprisonment and requires mandatory exclusion from participation in federal health care programs. Exclusion from the federal healthcare programs may also be imposed if the government determines that an entity has committed acts that are prohibited by the federal Anti-Kickback Statute.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 The federal Anti-Kickback Statute safe harbors are the subject of possible regulatory reforms. Any changes to the safe harbors may impact our future contractual and other arrangements with pharmacy benefit managers, group purchasing organizations, third party payors, wholesalers and distributors, healthcare providers and prescribers, and other entities, as well as our future pricing strategies.</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4" w:name="page45"/>
    <w:bookmarkEnd w:id="44"/>
    <w:p>
      <w:pPr>
        <w:ind w:right="20" w:firstLine="589"/>
        <w:spacing w:after="0" w:line="286" w:lineRule="auto"/>
        <w:rPr>
          <w:sz w:val="20"/>
          <w:szCs w:val="20"/>
          <w:color w:val="auto"/>
        </w:rPr>
      </w:pPr>
      <w:r>
        <w:rPr>
          <w:rFonts w:ascii="Arial" w:cs="Arial" w:eastAsia="Arial" w:hAnsi="Arial"/>
          <w:sz w:val="16"/>
          <w:szCs w:val="16"/>
          <w:color w:val="auto"/>
        </w:rPr>
        <w:t xml:space="preserve">The federal civil False Claims Act prohibits, among other things, any person or entity from knowingly presenting, or causing to be presented, a false claim for payment to the federal government, or knowingly making, or causing to be made, a false record or statement material to a false claim. The False Claims Act, which covers claims made to programs where the federal government reimburses (directly or indirectly) individuals and entities, such as under the Medicare and Medicaid programs, as well as programs where the federal government is a direct purchaser, such as when it purchases off the Federal Supply Schedule. The law also prohibits avoiding, decreasing or concealing an obligation to pay money to the federal government. The government can bring claims directly or through a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and potential liability includes mandatory treble damages and significant per claim penalties, currently set at $11,665 up to $23,331 per false claim or statement for penalties assessed after June 19, 2020, with respect to violations occurring after November 2, 2015. Several pharmaceutical and other healthcare companies have been prosecuted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regardless of the payor. There is also the Federal Criminal False Claims Act, which is similar to the Federal Civil False Claims Act and imposes criminal liability on those that make or present a false, fictitious or fraudulent claim to the federal government.</w:t>
      </w:r>
    </w:p>
    <w:p>
      <w:pPr>
        <w:spacing w:after="0" w:line="59" w:lineRule="exact"/>
        <w:rPr>
          <w:sz w:val="20"/>
          <w:szCs w:val="20"/>
          <w:color w:val="auto"/>
        </w:rPr>
      </w:pPr>
    </w:p>
    <w:p>
      <w:pPr>
        <w:ind w:right="40" w:firstLine="589"/>
        <w:spacing w:after="0" w:line="290" w:lineRule="auto"/>
        <w:rPr>
          <w:sz w:val="20"/>
          <w:szCs w:val="20"/>
          <w:color w:val="auto"/>
        </w:rPr>
      </w:pPr>
      <w:r>
        <w:rPr>
          <w:rFonts w:ascii="Arial" w:cs="Arial" w:eastAsia="Arial" w:hAnsi="Arial"/>
          <w:sz w:val="16"/>
          <w:szCs w:val="16"/>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or receive a reimbursable item or service from a particular provider, practitioner, or supplier (although pharmaceutical manufacturers are not considered suppliers for purposes of this law), and contracting with an individual or entity that the person knows or should know is excluded from participation in a federal health care program. In addition, federal criminal statutes created by the Health Insurance Portability and Accountability Act of 1996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5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In addition, HIPAA, as amended by the Health Information Technology for Economic and Clinical Health Act (HITECH) and their respective implementing regulations, including the Final Omnibus Rule published on January 25, 2013, impose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requirements to facilitate certain patient rights, requirements to safeguard the privacy, security, and transmission of individually identifiable health information, and requirements to provide notice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On December 10, 2020, the Office of Civil Rights within the Department of Health and Human Services issued proposed revisions to the HIPAA Privacy Rule aimed at reducing regulatory burdens that may exist in discouraging coordination of care and patient access to their health information, among other changes. While a final rule has not yet been issued, if adopted, these proposed changes may require us to update our policies and procedures to comply with the new requirements. In addition, many state laws govern the privacy and security of health information and other personal information in certain circumstances (such as the California Consumer Privacy Act of 2018 (CCPA) and the California Privacy Rights Act of 2020 (CPRA), and similar new state privacy laws), and these state laws may differ from each other in significant ways and may not have the same effect. These laws are rapidly evolving and may impose additional regulatory compliance burden and legal risks on our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firstLine="589"/>
        <w:spacing w:after="0" w:line="254" w:lineRule="auto"/>
        <w:rPr>
          <w:sz w:val="20"/>
          <w:szCs w:val="20"/>
          <w:color w:val="auto"/>
        </w:rPr>
      </w:pPr>
      <w:r>
        <w:rPr>
          <w:rFonts w:ascii="Arial" w:cs="Arial" w:eastAsia="Arial" w:hAnsi="Arial"/>
          <w:sz w:val="18"/>
          <w:szCs w:val="18"/>
          <w:color w:val="auto"/>
        </w:rPr>
        <w:t>Further, pursuant to the ACA, the Centers for Medicare &amp; Medicaid Services (CMS) has promulgated regulations to implement what is commonly known as the federal Physician Payment Sunshine Act, which, among other things, requires manufacturers of prescription drugs, among others, to collect and report information on certain payments or transfers of value they make to U.S.-licensed physicians and teaching hospitals, as well as investment interests held by physicians and their immediate family members. The reports must be submitted on an annual basis, and the reported data is made available in searchable form on a public website. Failure to submit required information may result in civil monetary penalties. Effective January 1, 2022, reporting on transfers of value to physician assistants, nurse practitioners or clinical nurse specialists, certified registered nurse anesthetists, anesthesiologist assistants, and certified nurse-midwives is also required.</w:t>
      </w:r>
    </w:p>
    <w:p>
      <w:pPr>
        <w:spacing w:after="0" w:line="87" w:lineRule="exact"/>
        <w:rPr>
          <w:sz w:val="20"/>
          <w:szCs w:val="20"/>
          <w:color w:val="auto"/>
        </w:rPr>
      </w:pPr>
    </w:p>
    <w:p>
      <w:pPr>
        <w:ind w:right="120" w:firstLine="589"/>
        <w:spacing w:after="0" w:line="254" w:lineRule="auto"/>
        <w:rPr>
          <w:sz w:val="20"/>
          <w:szCs w:val="20"/>
          <w:color w:val="auto"/>
        </w:rPr>
      </w:pPr>
      <w:r>
        <w:rPr>
          <w:rFonts w:ascii="Arial" w:cs="Arial" w:eastAsia="Arial" w:hAnsi="Arial"/>
          <w:sz w:val="18"/>
          <w:szCs w:val="18"/>
          <w:color w:val="auto"/>
        </w:rPr>
        <w:t>In addition, several states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or prohibit prescription drug price gouging.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spacing w:after="0" w:line="8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70"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In the EU and the UK companies must comply with national general anti-bribery legislation as well as medicines legislation which prohibits the supply, offer or promise of certain gifts, and benefits in connection with the promotion of medicinal products to any person qualified to prescribe or supply them. Companies that breach these laws may incur substantial fines and imprisonment.</w:t>
      </w:r>
    </w:p>
    <w:p>
      <w:pPr>
        <w:spacing w:after="0" w:line="7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the EU, payments made to healthcare professionals must be publicly disclosed and agreements with healthcare professionals must be the subject of prior notification and approval by the healthcare professional’s employer. Such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In the United States there have been, and continue to be, proposals by the federal government, state governments, regulators and third-party payors to control or manage the costs of health care and, more generally, to reform the U.S. healthcare system. The pharmaceutical industry has been a particular focus of these efforts and has been significantly affected by major legislative initiatives. For example, in March 2010, the ACA was enacted, which was intended to substantially change the way healthcare is financed by both governmental and private insurers, and significantly impacts the U.S. pharmaceutical industry. The ACA, among other things, (i) proscribed a new methodology by which rebates owed by manufacturers under the Medicaid Drug Rebate Program are calculated for drugs and therapeutic biologics that are inhaled, infused, instilled, implanted or injected, (ii) increased the minimum Medicaid rebates owed by manufacturers under the Medicaid Drug Rebate Program and extended the rebate program to individuals enrolled in Medicaid managed care organizations, (iii) established annual nondeductible fees and taxes on manufacturers of certain branded prescription drugs and therapeutic biologics, apportioned among these entities according to their market share in certain government healthcare programs (iv) established a new Medicare Part D coverage gap discount program, in which manufacturers must agree to offer what are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 expanded eligibility criteria for Medicaid programs by, among other things, allowing states to offer Medicaid coverage to additional individuals and by adding new mandatory eligibility categories for individuals with income at or below 138% of the federal poverty level, thereby potentially increasing manufacturers’ Medicaid rebate liability, (vi) expanded the entities eligible for discounts under the 340B Public Health program, (vii) required annual reporting of certain information regarding drug samples that manufacturers and distributors provide to licensed practitioners, (viii) created a new Patient-Centered Outcomes Research Institute to oversee, identify priorities in, and conduct comparative clinical effectiveness research, along with funding for such research, and (ix) established a Center for Medicare Innovation at CMS to test innovative payment and service delivery models to lower Medicare and Medicaid spending, potentially including prescription drug spending.</w:t>
      </w:r>
    </w:p>
    <w:p>
      <w:pPr>
        <w:spacing w:after="0" w:line="63"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The ACA and certain of its provisions have been subject to judicial challenges as well as legislative and regulatory efforts to repeal or replace them or to alter their interpretation or implementation. From January 2017 through January 2021, the Trump administration issued three executive orders and other directives designed to delay the implementation of certain provisions of the ACA or otherwise circumvent some of the requirements for health insurance mandated by the ACA. For example, on January 22, 2018, the Trump administration signed a continuing resolution on appropriations for fiscal year 2018 that delayed the implementation of certain ACA-mandated fees, including the so-called “Cadillac” tax on certain high-cost employer-sponsored insurance plans, the annual fee imposed on certain health insurance providers based on market share, and the medical device excise tax on non-</w:t>
      </w:r>
    </w:p>
    <w:p>
      <w:pPr>
        <w:spacing w:after="0" w:line="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exempt medical devices. Concurrently, Congress considered legislation that would repeal or repeal and replace all or part of the ACA. While Congress has not passed comprehensive repeal legislation, two bills affecting the implementation of certain taxes under the ACA have been signed into law. The Tax Cuts and Jobs Act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In December 2018, a federal district court in Texas ruled that the ACA’s individual mandate, without the penalty that was repealed effective January 1, 2019, was unconstitutional and could not be severed from the ACA. As a result, the court ruled the remaining provisions of the ACA were also invalid. The Fifth Circuit Court of Appeals affirmed the district court’s ruling that the individual mandate was unconstitutional, but it remanded the case back to the district court for further analysis of whether the mandate could be severed from the ACA (i.e., whether the entire ACA was therefore also unconstitutional). The Supreme Court of the United States granted certiorari on March 2, 2020 and heard oral argument on November 10, 2020. On June 17, 2021, the Supreme Court dismissed the lawsuit without ruling on the merits of the constitutionality arguments.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7" w:name="page48"/>
    <w:bookmarkEnd w:id="47"/>
    <w:p>
      <w:pPr>
        <w:ind w:firstLine="589"/>
        <w:spacing w:after="0" w:line="286" w:lineRule="auto"/>
        <w:rPr>
          <w:sz w:val="20"/>
          <w:szCs w:val="20"/>
          <w:color w:val="auto"/>
        </w:rPr>
      </w:pPr>
      <w:r>
        <w:rPr>
          <w:rFonts w:ascii="Arial" w:cs="Arial" w:eastAsia="Arial" w:hAnsi="Arial"/>
          <w:sz w:val="16"/>
          <w:szCs w:val="16"/>
          <w:color w:val="auto"/>
        </w:rPr>
        <w:t>Further, the Bipartisan Budget Act of 2018,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More recently, on January 28, 2021,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policies that create barriers to obtaining access to health insurance coverage through the ACA marketplaces. 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will no longer be capped, potentially resulting in a manufacturer paying more in MDRP rebates than it receives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products.</w:t>
      </w:r>
    </w:p>
    <w:p>
      <w:pPr>
        <w:spacing w:after="0" w:line="63"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into 2031 unless additional Congressional action is taken, with the exception of a temporary suspension from May 1, 2020 through March 31, 2022 due to the COVID-19 pandemic. In 2020, the Coronavirus Aid, Relief, and Economic Security Act (CARES Act) temporarily suspended the 2% cut in Medicare payments from May 1, 2020 through December 31, 2020, and it extended the cut through fiscal year 2030 to offset the cost of such temporary suspension. The American Taxpayer Relief Act of 2012 made other changes, including the reduction of Medicare payments to several types of providers and an increase in the statute of limitations period for the government to recover overpayments to providers from three to five years. If federal spending is further reduced, anticipated budgetary shortfalls may also impact the ability of relevant agencies, such as the FDA or the NIH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72"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More recently the cost of prescription pharmaceuticals has been the subject of considerable discussion in the United States. Specifically, there have been several recent U.S. Congressional inquiries and proposed federal legislation designed to, among other things, bring more transparency to drug pricing, review the relationship between pricing and manufacturer patient support programs, reduce the cost of prescription drugs under Medicare and reform government program reimbursement methodologies for drug products. While several proposed reform measures will require Congress to pass legislation to become effective, Congress and the Biden administration have each indicated that it will continue to seek new legislative and/or administrative measures to address prescription drug costs, as discussed in greater detail in the section titled “Risk Factors.”</w:t>
      </w:r>
    </w:p>
    <w:p>
      <w:pPr>
        <w:spacing w:after="0" w:line="70" w:lineRule="exact"/>
        <w:rPr>
          <w:sz w:val="20"/>
          <w:szCs w:val="20"/>
          <w:color w:val="auto"/>
        </w:rPr>
      </w:pPr>
    </w:p>
    <w:p>
      <w:pPr>
        <w:ind w:right="120" w:firstLine="589"/>
        <w:spacing w:after="0" w:line="257" w:lineRule="auto"/>
        <w:rPr>
          <w:sz w:val="20"/>
          <w:szCs w:val="20"/>
          <w:color w:val="auto"/>
        </w:rPr>
      </w:pPr>
      <w:r>
        <w:rPr>
          <w:rFonts w:ascii="Arial" w:cs="Arial" w:eastAsia="Arial" w:hAnsi="Arial"/>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 implementation of cost containment measures or other healthcare reforms may prevent us from being able to generate revenue, attain profitability, or commercialize any product that is ultimately approved, if approved.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firstLine="589"/>
        <w:spacing w:after="0" w:line="275" w:lineRule="auto"/>
        <w:rPr>
          <w:sz w:val="20"/>
          <w:szCs w:val="20"/>
          <w:color w:val="auto"/>
        </w:rPr>
      </w:pPr>
      <w:r>
        <w:rPr>
          <w:rFonts w:ascii="Arial" w:cs="Arial" w:eastAsia="Arial" w:hAnsi="Arial"/>
          <w:sz w:val="17"/>
          <w:szCs w:val="17"/>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As of November 30, 2021, we had 242 full-time employees, of which 212 are engaged in research and development.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7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We consider the intellectual capital of our employees to be an essential driver of our business. Our workforce expanded during fiscal year 2021; new employees were hired to support our clinical and preclinical pipeline, with additions in our research, clinical development, operations and general and administrative functions. We expect to continue to add additional employees in 2022 with a focus on increasing expertise in clinical and preclinical research and development.</w:t>
      </w:r>
    </w:p>
    <w:p>
      <w:pPr>
        <w:spacing w:after="0" w:line="79"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continually evaluate our business needs and opportunities and strive to balance in house expertise and capacity with outsourced expertise and capacity. Currently, we outsource substantially all clinical trial work to clinical research organizations and drug substance and finished drug product manufacturing to contract manufacturers.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pay and benefits</w:t>
      </w:r>
    </w:p>
    <w:p>
      <w:pPr>
        <w:spacing w:after="0" w:line="117" w:lineRule="exact"/>
        <w:rPr>
          <w:sz w:val="20"/>
          <w:szCs w:val="20"/>
          <w:color w:val="auto"/>
        </w:rPr>
      </w:pPr>
    </w:p>
    <w:p>
      <w:pPr>
        <w:ind w:right="220" w:firstLine="589"/>
        <w:spacing w:after="0" w:line="272" w:lineRule="auto"/>
        <w:rPr>
          <w:sz w:val="20"/>
          <w:szCs w:val="20"/>
          <w:color w:val="auto"/>
        </w:rPr>
      </w:pPr>
      <w:r>
        <w:rPr>
          <w:rFonts w:ascii="Arial" w:cs="Arial" w:eastAsia="Arial" w:hAnsi="Arial"/>
          <w:sz w:val="17"/>
          <w:szCs w:val="17"/>
          <w:color w:val="auto"/>
        </w:rPr>
        <w:t>Drug development is a complex endeavor which requires deep expertise and experience across a broad array of disciplines. Biotechnology and pharmaceutical companies both large and small compete for a limited number of qualified applicants to fill specialized positions. We monitor our compensation programs closely and provide what we consider to be a very competitive mix of compensation, insurance and wellness benefits for all our employees, as well as participation in our equity and enhanced maternity and paternity programs. To attract qualified applicants, we offer a total rewards package consisting of base salary and cash target bonus, a comprehensive benefits package and equity compensation for all full-time employees. Bonus opportunity and equity compensation increase as a percentage of total compensation based on level of responsibility. Actual bonus payout is based on Company and individual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1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biennial training to help prevent, identify, report and stop any type of discrimination and harassment. Our recruitment, hiring, development, training, compensation and advancement at our company is based on qualifications, performance, skills and experience without regard to gender, race and ethnicity.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development and training</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safety and health of our employees is a top priority. In response to the COVID-19 pandemic, we have implemented safety protocols including clear policies to address actual and suspected COVID-19 cases and potential exposure, weekly COVID-19 testing, shift work scheduling to reduce the number of people in our facilities at a given time, requirements for the wearing of masks and for social distancing, and increased cleaning procedures. These protocols are designed to comply with health and safety standards as required by federal, state and local government agencies, taking into consideration guidelines of the Centers for Disease Control and Prevention and other public health authorities. In addition, we have provided work-at-home arrangements for employees who are able to do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oversight</w:t>
      </w:r>
    </w:p>
    <w:p>
      <w:pPr>
        <w:spacing w:after="0" w:line="11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Our Board of Directors recognizes the critical importance of our team and the necessity to ensure a diverse, inclusive, and innovative work environment that is centered around a values-based culture. Our Board meets regularly with management to discuss issues impacting our employees, and to focus on ways to support our workforce. Our focus on culture comes from our board of directors and flows throughout our company. In evaluating our Chief Executive Officer and management team, significant emphasis is place on their contributions to our overall culture.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120" w:firstLine="589"/>
        <w:spacing w:after="0" w:line="286" w:lineRule="auto"/>
        <w:rPr>
          <w:sz w:val="20"/>
          <w:szCs w:val="20"/>
          <w:color w:val="auto"/>
        </w:rPr>
      </w:pPr>
      <w:r>
        <w:rPr>
          <w:rFonts w:ascii="Arial" w:cs="Arial" w:eastAsia="Arial" w:hAnsi="Arial"/>
          <w:sz w:val="17"/>
          <w:szCs w:val="17"/>
          <w:color w:val="auto"/>
        </w:rPr>
        <w:t>We were incorporated under the laws of the State of Delaware in August 2009 under the name Kura Therapeutics, Inc. We subsequently changed our name to Nurix, Inc. in February 2012 and then to Nurix Therapeutics, Inc. in October 2018. Our principal executive offices are located at 1700 Owens Street, Suite 205, San Francisco, California 94158, and our telephone number is (415) 660-5320.</w:t>
      </w:r>
    </w:p>
    <w:p>
      <w:pPr>
        <w:spacing w:after="0" w:line="5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mark “Nurix” is our registered trademark in Canada, France, Germany, Italy, Japan, Mexico, Spain, the United Kingdom and the United States. The marks “DELigase” and “NXACT” are our registered trademarks in the United States. The marks “DeCART” and “DeTIL” are our trademarks for which we have a pending trademark application in the United States. The Nurix logo is our common law trademark. All other service marks, trademarks and trade names appearing in this Annual Report on Form 10-K are the property of their 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Nurix's Internet website address is http://www.nurixtx.com. On our website, the company makes available, free of charge, its annual, quarterly and current reports, including amendments to such reports, as soon as reasonably practicable after the company electronically files such material with, or furnishes such material to, the Securities and Exchange Commission (SEC). The SEC maintains a website at www.sec.gov that contains reports as well as other information regarding us and other companies that file materials with the SEC electronically.</w:t>
      </w:r>
    </w:p>
    <w:p>
      <w:pPr>
        <w:spacing w:after="0" w:line="6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Also available on our website is information relating to corporate governance at Nurix and our Board of Directors, including our Corporate Governance Guidelines; our Code of Business Conduct and Ethics (for our directors, officers and employees); and our Board Committee Charters. We will provide any of the foregoing information without charge upon written request to our Corporate Secretary, Nurix Therapeutics, Inc., 1700 Owens Street, Suite 205, San Francisco, CA 94158.</w:t>
      </w:r>
    </w:p>
    <w:p>
      <w:pPr>
        <w:spacing w:after="0" w:line="79"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We use our Investor Relations website (http://ir.nurixtx.com) as a means of disclosing material non-public information and for complying with our disclosure obligations under Regulation FD promulgated by the SEC. These disclosures are included in the “News” and “Events and Presentations” sections of our website. Accordingly, investors should monitor these portions of our website, in addition to following our press releases, SEC filings and public conference calls and webcasts.</w:t>
      </w:r>
    </w:p>
    <w:p>
      <w:pPr>
        <w:spacing w:after="0" w:line="79"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the accompanying notes and the information contained in our other public filings before deciding whether to invest in shares of our common stock.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trading price of our common stock could decline, and you could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risks discussed at-length below. These risks include, among others, the following:</w:t>
      </w:r>
    </w:p>
    <w:p>
      <w:pPr>
        <w:spacing w:after="0" w:line="62" w:lineRule="exact"/>
        <w:rPr>
          <w:sz w:val="20"/>
          <w:szCs w:val="20"/>
          <w:color w:val="auto"/>
        </w:rPr>
      </w:pPr>
    </w:p>
    <w:p>
      <w:pPr>
        <w:ind w:left="1160" w:right="52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at least the next several years and may never achieve or maintain profitability.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rFonts w:ascii="Arial" w:cs="Arial" w:eastAsia="Arial" w:hAnsi="Arial"/>
          <w:sz w:val="18"/>
          <w:szCs w:val="18"/>
          <w:color w:val="auto"/>
        </w:rPr>
      </w:pPr>
    </w:p>
    <w:p>
      <w:pPr>
        <w:ind w:left="1160" w:right="80" w:hanging="572"/>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early in our development efforts. Our lead drug candidates, NX-2127, NX-1607, NX-5948 and DeTIL-0255 only recently entered clinical development and all of our other drug candidates are still in preclinical development. If we are unable to advance to clinical development, develop, obtain regulatory approval for and commercialize our drug candidates or experience significant delays in doing so, our business may be materially harmed.</w:t>
      </w:r>
    </w:p>
    <w:p>
      <w:pPr>
        <w:spacing w:after="0" w:line="78"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to evaluate the success of our business to date and to assess our future viability.</w:t>
      </w:r>
    </w:p>
    <w:p>
      <w:pPr>
        <w:spacing w:after="0" w:line="128" w:lineRule="exact"/>
        <w:rPr>
          <w:rFonts w:ascii="Arial" w:cs="Arial" w:eastAsia="Arial" w:hAnsi="Arial"/>
          <w:sz w:val="17"/>
          <w:szCs w:val="17"/>
          <w:color w:val="auto"/>
        </w:rPr>
      </w:pPr>
    </w:p>
    <w:p>
      <w:pPr>
        <w:ind w:left="1160" w:right="660" w:hanging="572"/>
        <w:spacing w:after="0" w:line="34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15" w:lineRule="exact"/>
        <w:rPr>
          <w:rFonts w:ascii="Arial" w:cs="Arial" w:eastAsia="Arial" w:hAnsi="Arial"/>
          <w:sz w:val="16"/>
          <w:szCs w:val="16"/>
          <w:color w:val="auto"/>
        </w:rPr>
      </w:pPr>
    </w:p>
    <w:p>
      <w:pPr>
        <w:ind w:left="1160" w:hanging="572"/>
        <w:spacing w:after="0" w:line="286"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only recently initiated testing of our four lead drug candidates in clinical trials, and we have not tested any of our other drug candidates in clinical trials. The results of preclinical studies and early-stage clinical trials may not be predictive of future results. Initial success in clinical trials may not be indicative of results obtained when these trials are completed or in later-stage trials.</w:t>
      </w:r>
    </w:p>
    <w:p>
      <w:pPr>
        <w:spacing w:after="0" w:line="57" w:lineRule="exact"/>
        <w:rPr>
          <w:rFonts w:ascii="Arial" w:cs="Arial" w:eastAsia="Arial" w:hAnsi="Arial"/>
          <w:sz w:val="17"/>
          <w:szCs w:val="17"/>
          <w:color w:val="auto"/>
        </w:rPr>
      </w:pPr>
    </w:p>
    <w:p>
      <w:pPr>
        <w:ind w:left="1160" w:right="48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fail to obtain and maintain orphan designations in some jurisdictions and therefore fail to secure orphan exclusivity in those jurisdictions.</w:t>
      </w:r>
    </w:p>
    <w:p>
      <w:pPr>
        <w:spacing w:after="0" w:line="62"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1160" w:right="20" w:hanging="572"/>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75" w:lineRule="exact"/>
        <w:rPr>
          <w:rFonts w:ascii="Arial" w:cs="Arial" w:eastAsia="Arial" w:hAnsi="Arial"/>
          <w:sz w:val="18"/>
          <w:szCs w:val="18"/>
          <w:color w:val="auto"/>
        </w:rPr>
      </w:pPr>
    </w:p>
    <w:p>
      <w:pPr>
        <w:ind w:left="1160" w:right="20" w:hanging="572"/>
        <w:spacing w:after="0" w:line="301"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rely on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51" w:name="page52"/>
    <w:bookmarkEnd w:id="51"/>
    <w:p>
      <w:pPr>
        <w:ind w:left="1160" w:right="100" w:hanging="572"/>
        <w:spacing w:after="0" w:line="301"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commercial success and ability to effectively compete in the market depends, in part, upon our ability and the ability of our collaborators to obtain and maintain adequate patent protection for our technology, current drug candidates and any future drug candidates that we may develop and our ability to develop, manufacture, market and sell our drug candidates and future drug candidates and use our proprietary technologies without infringing, misappropriating or otherwise violating the intellectual property of others.</w:t>
      </w:r>
    </w:p>
    <w:p>
      <w:pPr>
        <w:spacing w:after="0" w:line="49" w:lineRule="exact"/>
        <w:rPr>
          <w:rFonts w:ascii="Arial" w:cs="Arial" w:eastAsia="Arial" w:hAnsi="Arial"/>
          <w:sz w:val="16"/>
          <w:szCs w:val="16"/>
          <w:color w:val="auto"/>
        </w:rPr>
      </w:pPr>
    </w:p>
    <w:p>
      <w:pPr>
        <w:ind w:left="1160" w:right="400" w:hanging="572"/>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operations, clinical development plans, the timing of regulatory filings and regulatory approvals and the achievement of milestones could be adversely affected by the current COVID-19 pandemic.</w:t>
      </w:r>
    </w:p>
    <w:p>
      <w:pPr>
        <w:spacing w:after="0" w:line="62" w:lineRule="exact"/>
        <w:rPr>
          <w:rFonts w:ascii="Arial" w:cs="Arial" w:eastAsia="Arial" w:hAnsi="Arial"/>
          <w:sz w:val="18"/>
          <w:szCs w:val="18"/>
          <w:color w:val="auto"/>
        </w:rPr>
      </w:pPr>
    </w:p>
    <w:p>
      <w:pPr>
        <w:ind w:left="1160" w:right="40" w:hanging="572"/>
        <w:spacing w:after="0" w:line="301"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compete in the pharmaceuticals industry depends upon our ability to attract and retain highly qualified managerial, scientific, medical, sales and marketing and other personnel. The loss of the services of our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62"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Our net loss was $117.2 million, $43.2 million and $21.7 million for the fiscal years ended November 30, 2021, 2020 and 2019, respectively. As of November 30, 2021, we had an accumulated deficit of $220.9 million. To date, we have not generated any revenue from product sales and have financed our operations primarily through our collaborations and sales of our equity interests. We are in the early stages of development of our drug candidates. Our lead drug candidates, NX-2127, NX-1607, NX-5948 and DeTIL-0255 only recently entered clinical development and all of our other drug candidates are still in preclinical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70"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initiate or increase enrollment in our Phase 1 clinical trials of our drug candidates NX-2127, NX-1607, NX-5948 and DeTIL-0255;</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investigational new drug applications (INDs) and initiate clinical trials of our other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advanced clinical development and scale up external manufacturing capabilities to supply clinical trials;</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capabilities of our DELigase platform and apply our DELigase platform to advance additional drug candidates into preclinical and clinical development;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process development for manufacturing of our DeTIL cell therapy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any drug candidates that successfully complete clinical trials;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and scale up external manufacturing capabilities to commercialize any products for which we may obtain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additional clinical, regulatory, manufacturing, quality assurance and scientific personnel; and</w:t>
      </w:r>
    </w:p>
    <w:p>
      <w:pPr>
        <w:spacing w:after="0" w:line="117"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jc w:val="both"/>
        <w:ind w:right="180" w:firstLine="589"/>
        <w:spacing w:after="0" w:line="263" w:lineRule="auto"/>
        <w:rPr>
          <w:sz w:val="20"/>
          <w:szCs w:val="20"/>
          <w:color w:val="auto"/>
        </w:rPr>
      </w:pPr>
      <w:r>
        <w:rPr>
          <w:rFonts w:ascii="Arial" w:cs="Arial" w:eastAsia="Arial" w:hAnsi="Arial"/>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76"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17"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We only recently commenced clinical development of our drug candidates NX-2127, NX-1607, NX-5948 and DeTIL-0255.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58"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62"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expect our expenses to increase substantially in connection with our ongoing activities, particularly as we conduct our Phase 1 clinical trials of NX-2127, NX-1607, NX-5948 and DeTIL-0255,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40" w:firstLine="589"/>
        <w:spacing w:after="0" w:line="255" w:lineRule="auto"/>
        <w:rPr>
          <w:sz w:val="20"/>
          <w:szCs w:val="20"/>
          <w:color w:val="auto"/>
        </w:rPr>
      </w:pPr>
      <w:r>
        <w:rPr>
          <w:rFonts w:ascii="Arial" w:cs="Arial" w:eastAsia="Arial" w:hAnsi="Arial"/>
          <w:sz w:val="18"/>
          <w:szCs w:val="18"/>
          <w:color w:val="auto"/>
        </w:rPr>
        <w:t>We had cash, cash equivalents and investments of $432.9 million as of November 30, 2021. We believe that our existing cash, cash equivalents and investments,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84" w:lineRule="exact"/>
        <w:rPr>
          <w:sz w:val="20"/>
          <w:szCs w:val="20"/>
          <w:color w:val="auto"/>
        </w:rPr>
      </w:pPr>
    </w:p>
    <w:p>
      <w:pPr>
        <w:ind w:left="1160" w:right="700" w:hanging="572"/>
        <w:spacing w:after="0" w:line="223" w:lineRule="exact"/>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costs and results of our Phase 1 clinical trials for NX-2127, NX-1607, NX-5948, DeTIL</w:t>
      </w:r>
      <w:r>
        <w:rPr>
          <w:rFonts w:ascii="MS PGothic" w:cs="MS PGothic" w:eastAsia="MS PGothic" w:hAnsi="MS PGothic"/>
          <w:sz w:val="18"/>
          <w:szCs w:val="18"/>
          <w:color w:val="auto"/>
        </w:rPr>
        <w:t>‑</w:t>
      </w:r>
      <w:r>
        <w:rPr>
          <w:rFonts w:ascii="Arial" w:cs="Arial" w:eastAsia="Arial" w:hAnsi="Arial"/>
          <w:sz w:val="18"/>
          <w:szCs w:val="18"/>
          <w:color w:val="auto"/>
        </w:rPr>
        <w:t>0255 and any future clinical development of such drug candidates;</w:t>
      </w:r>
    </w:p>
    <w:p>
      <w:pPr>
        <w:spacing w:after="0" w:line="94"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scope, progress, costs and results of preclinical and clinical development for our other drug candidates and development programs;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that we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of, and costs associated with, future preclinical development of our DeTIL cell therapy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62"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69"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to evaluate the success of our business to date and to assess our future viability.</w:t>
      </w:r>
    </w:p>
    <w:p>
      <w:pPr>
        <w:spacing w:after="0" w:line="129"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 stage clinical trials. All of our drug candidates either only recently entered clinical development or are still in preclinical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70"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76" w:lineRule="exact"/>
        <w:rPr>
          <w:sz w:val="20"/>
          <w:szCs w:val="20"/>
          <w:color w:val="auto"/>
        </w:rPr>
      </w:pPr>
    </w:p>
    <w:p>
      <w:pPr>
        <w:ind w:right="520" w:firstLine="589"/>
        <w:spacing w:after="0" w:line="26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Drug Candidates</w:t>
      </w:r>
    </w:p>
    <w:p>
      <w:pPr>
        <w:spacing w:after="0" w:line="121"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b w:val="1"/>
          <w:bCs w:val="1"/>
          <w:i w:val="1"/>
          <w:iCs w:val="1"/>
          <w:color w:val="auto"/>
        </w:rPr>
        <w:t>We are early in our development efforts. Our lead drug candidates only recently entered clinical development and all of our other drug candidates are in preclinical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41" w:lineRule="exact"/>
        <w:rPr>
          <w:sz w:val="20"/>
          <w:szCs w:val="20"/>
          <w:color w:val="auto"/>
        </w:rPr>
      </w:pPr>
    </w:p>
    <w:p>
      <w:pPr>
        <w:ind w:right="60" w:firstLine="589"/>
        <w:spacing w:after="0" w:line="218" w:lineRule="exact"/>
        <w:rPr>
          <w:sz w:val="20"/>
          <w:szCs w:val="20"/>
          <w:color w:val="auto"/>
        </w:rPr>
      </w:pPr>
      <w:r>
        <w:rPr>
          <w:rFonts w:ascii="Arial" w:cs="Arial" w:eastAsia="Arial" w:hAnsi="Arial"/>
          <w:sz w:val="16"/>
          <w:szCs w:val="16"/>
          <w:color w:val="auto"/>
        </w:rPr>
        <w:t>We are early in our development efforts. Our lead drug candidates, NX-2127, NX-1607, NX-5948 and DeTIL</w:t>
      </w:r>
      <w:r>
        <w:rPr>
          <w:rFonts w:ascii="MS PGothic" w:cs="MS PGothic" w:eastAsia="MS PGothic" w:hAnsi="MS PGothic"/>
          <w:sz w:val="16"/>
          <w:szCs w:val="16"/>
          <w:color w:val="auto"/>
        </w:rPr>
        <w:t>‑</w:t>
      </w:r>
      <w:r>
        <w:rPr>
          <w:rFonts w:ascii="Arial" w:cs="Arial" w:eastAsia="Arial" w:hAnsi="Arial"/>
          <w:sz w:val="16"/>
          <w:szCs w:val="16"/>
          <w:color w:val="auto"/>
        </w:rPr>
        <w:t>0255, only recently entered clinical development, and our other drug candidates are still in preclinical development, and the risk of failure for each of our drug candidates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98"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sufficiency of our financial and other resources;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submission of INDs or Clinical Trial Applications and initiation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17"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drug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drug candidates’ intended indications;</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 continued acceptable safety profile of the products and maintaining such a profile following approval;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1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38"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CTMs, have been tested in humans, none has been approved in the United States or Europe, and the data underlying the feasibility of developing these therapeutic products is both preliminary and limited. Discovery and development of CTMs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84" w:lineRule="exact"/>
        <w:rPr>
          <w:sz w:val="20"/>
          <w:szCs w:val="20"/>
          <w:color w:val="auto"/>
        </w:rPr>
      </w:pPr>
    </w:p>
    <w:p>
      <w:pPr>
        <w:ind w:right="40" w:firstLine="589"/>
        <w:spacing w:after="0" w:line="291" w:lineRule="auto"/>
        <w:rPr>
          <w:sz w:val="20"/>
          <w:szCs w:val="20"/>
          <w:color w:val="auto"/>
        </w:rPr>
      </w:pPr>
      <w:r>
        <w:rPr>
          <w:rFonts w:ascii="Arial" w:cs="Arial" w:eastAsia="Arial" w:hAnsi="Arial"/>
          <w:sz w:val="16"/>
          <w:szCs w:val="16"/>
          <w:color w:val="auto"/>
        </w:rPr>
        <w:t>We believe that our CTM drug candidates may offer an improved therapeutic approach by removing the disease-causing proteins instead of simply inhibiting their activities. However, the scientific research that forms the basis of our efforts to develop our CTM drug candidates is ongoing and the scientific evidence to support the feasibility of developing CTM-based therapeutic treatments is both preliminary and limited. Further, certain patients have shown inherent primary resistance to approved BTK inhibitors and other patients have developed acquired secondary resistance to these inhibitors. Although, based on preclinical animal models, observations in human primary blood cells and preliminary data from our ongoing Phase 1 trial of NX-2127, we believe that both NX-2127 and NX-5948 are able to degrade BTK with mutations that confer resistance to currently marketed BTK inhibitors, any inherent primary or acquired secondary resistance to our BTK CTMs in patients would prevent or diminish their clinical benefit.</w:t>
      </w:r>
    </w:p>
    <w:p>
      <w:pPr>
        <w:spacing w:after="0" w:line="58" w:lineRule="exact"/>
        <w:rPr>
          <w:sz w:val="20"/>
          <w:szCs w:val="20"/>
          <w:color w:val="auto"/>
        </w:rPr>
      </w:pPr>
    </w:p>
    <w:p>
      <w:pPr>
        <w:jc w:val="both"/>
        <w:ind w:right="20" w:firstLine="589"/>
        <w:spacing w:after="0" w:line="257" w:lineRule="auto"/>
        <w:rPr>
          <w:sz w:val="20"/>
          <w:szCs w:val="20"/>
          <w:color w:val="auto"/>
        </w:rPr>
      </w:pPr>
      <w:r>
        <w:rPr>
          <w:rFonts w:ascii="Arial" w:cs="Arial" w:eastAsia="Arial" w:hAnsi="Arial"/>
          <w:sz w:val="18"/>
          <w:szCs w:val="18"/>
          <w:color w:val="auto"/>
        </w:rPr>
        <w:t>We only recently initiated clinical development of NX-2127 and NX-5948 and currently we have limited safety data of NX-2127 in humans and no safety data of NX-5948 in humans. Although some of our drug candidates have produced observable results in animal studies, there is a limited safety data set for their effects in animals.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80"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CTM drug candidate development, and we cannot predict whether targeted protein degradation will result in the development and marketing approval of any products. Any development problems we experience in the future related to any of our CTM research programs may cause significant delays or unanticipated costs or may prevent the development of a commercially viable product. Advancing our CTM products creates significant challenges for us, including:</w:t>
      </w:r>
    </w:p>
    <w:p>
      <w:pPr>
        <w:spacing w:after="0" w:line="87" w:lineRule="exact"/>
        <w:rPr>
          <w:sz w:val="20"/>
          <w:szCs w:val="20"/>
          <w:color w:val="auto"/>
        </w:rPr>
      </w:pPr>
    </w:p>
    <w:p>
      <w:pPr>
        <w:ind w:left="1160" w:right="54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efficacy and safety benefits, as well as the challenges, of incorporating our drug candidates, if approved, into treatment regimens;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the sales and marketing capabilities to gain market acceptance, if approved.</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Any of these factors may prevent us from completing our preclinical studies or any clinical trials that we may initiate, or from commercializing any CTM drug candidates we may develop on a timely or profitable basis, if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right="140"/>
        <w:spacing w:after="0" w:line="277" w:lineRule="auto"/>
        <w:rPr>
          <w:sz w:val="20"/>
          <w:szCs w:val="20"/>
          <w:color w:val="auto"/>
        </w:rPr>
      </w:pPr>
      <w:r>
        <w:rPr>
          <w:rFonts w:ascii="Arial" w:cs="Arial" w:eastAsia="Arial" w:hAnsi="Arial"/>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6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All of our drug candidates either only recently entered clinical development or are still in preclinical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58"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86"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62"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 consensus with regulators on trial design;</w:t>
      </w:r>
    </w:p>
    <w:p>
      <w:pPr>
        <w:spacing w:after="0" w:line="117"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75"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delays in reaching, or may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regulators or IRB may not authorize us or our investigators to commence a clinical trial or conduct a clinical trial at a prospective trial site;</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selection of certain clinical endpoints may require prolonged periods of clinical observation or analysis of the resulting data;</w:t>
      </w:r>
    </w:p>
    <w:p>
      <w:pPr>
        <w:spacing w:after="0" w:line="117" w:lineRule="exact"/>
        <w:rPr>
          <w:rFonts w:ascii="Arial" w:cs="Arial" w:eastAsia="Arial" w:hAnsi="Arial"/>
          <w:sz w:val="18"/>
          <w:szCs w:val="18"/>
          <w:color w:val="auto"/>
        </w:rPr>
      </w:pPr>
    </w:p>
    <w:p>
      <w:pPr>
        <w:ind w:left="1160" w:right="80" w:hanging="572"/>
        <w:spacing w:after="0" w:line="308"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1160" w:right="34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 to suspend or terminate the trials;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ind w:left="1160" w:right="60" w:hanging="572"/>
        <w:spacing w:after="0" w:line="263"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75"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or IRB may require that we or our investigators suspend or terminate clinical trials for various reasons, including noncompliance with regulatory requirements;</w:t>
      </w:r>
    </w:p>
    <w:p>
      <w:pPr>
        <w:spacing w:after="0" w:line="62"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drug candidates, or such requirements may not be as we anticipate;</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62"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and ongoing clinical trials.</w:t>
      </w:r>
    </w:p>
    <w:p>
      <w:pPr>
        <w:spacing w:after="0" w:line="62" w:lineRule="exact"/>
        <w:rPr>
          <w:sz w:val="20"/>
          <w:szCs w:val="20"/>
          <w:color w:val="auto"/>
        </w:rPr>
      </w:pPr>
    </w:p>
    <w:p>
      <w:pPr>
        <w:jc w:val="both"/>
        <w:ind w:right="120" w:firstLine="589"/>
        <w:spacing w:after="0" w:line="301"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drug candidates.</w:t>
      </w:r>
    </w:p>
    <w:p>
      <w:pPr>
        <w:spacing w:after="0" w:line="49"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 changes in the way the product is administered;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17" w:lineRule="exact"/>
        <w:rPr>
          <w:sz w:val="20"/>
          <w:szCs w:val="20"/>
          <w:color w:val="auto"/>
        </w:rPr>
      </w:pPr>
    </w:p>
    <w:p>
      <w:pPr>
        <w:ind w:right="160" w:firstLine="589"/>
        <w:spacing w:after="0" w:line="275" w:lineRule="auto"/>
        <w:rPr>
          <w:sz w:val="20"/>
          <w:szCs w:val="20"/>
          <w:color w:val="auto"/>
        </w:rPr>
      </w:pPr>
      <w:r>
        <w:rPr>
          <w:rFonts w:ascii="Arial" w:cs="Arial" w:eastAsia="Arial" w:hAnsi="Arial"/>
          <w:sz w:val="17"/>
          <w:szCs w:val="17"/>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40" w:firstLine="589"/>
        <w:spacing w:after="0" w:line="271" w:lineRule="auto"/>
        <w:rPr>
          <w:sz w:val="20"/>
          <w:szCs w:val="20"/>
          <w:color w:val="auto"/>
        </w:rPr>
      </w:pPr>
      <w:r>
        <w:rPr>
          <w:rFonts w:ascii="Arial" w:cs="Arial" w:eastAsia="Arial" w:hAnsi="Arial"/>
          <w:sz w:val="17"/>
          <w:szCs w:val="17"/>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NX-5948 and DeTIL-0255 are and will be with patients who have received one or more prior treatments. Subsequently, for those products that prove to be sufficiently beneficial, if any, we would expect to seek approval potentially as a first-line therapy, but any drug candidates we develop, even if approved, may not be approved for first-line therapy, and, prior to any such approvals, we may have to conduct additional clinical trials.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62" w:lineRule="exact"/>
        <w:rPr>
          <w:sz w:val="20"/>
          <w:szCs w:val="20"/>
          <w:color w:val="auto"/>
        </w:rPr>
      </w:pPr>
    </w:p>
    <w:p>
      <w:pPr>
        <w:ind w:right="20" w:firstLine="589"/>
        <w:spacing w:after="0" w:line="219" w:lineRule="exact"/>
        <w:rPr>
          <w:sz w:val="20"/>
          <w:szCs w:val="20"/>
          <w:color w:val="auto"/>
        </w:rPr>
      </w:pPr>
      <w:r>
        <w:rPr>
          <w:rFonts w:ascii="Arial" w:cs="Arial" w:eastAsia="Arial" w:hAnsi="Arial"/>
          <w:sz w:val="18"/>
          <w:szCs w:val="18"/>
          <w:color w:val="auto"/>
        </w:rPr>
        <w:t>We have only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NX-5948 and DeTIL</w:t>
      </w:r>
      <w:r>
        <w:rPr>
          <w:rFonts w:ascii="MS PGothic" w:cs="MS PGothic" w:eastAsia="MS PGothic" w:hAnsi="MS PGothic"/>
          <w:sz w:val="18"/>
          <w:szCs w:val="18"/>
          <w:color w:val="auto"/>
        </w:rPr>
        <w:t>‑</w:t>
      </w:r>
      <w:r>
        <w:rPr>
          <w:rFonts w:ascii="Arial" w:cs="Arial" w:eastAsia="Arial" w:hAnsi="Arial"/>
          <w:sz w:val="18"/>
          <w:szCs w:val="18"/>
          <w:color w:val="auto"/>
        </w:rPr>
        <w:t>0255 in animals and we have only recently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9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clinical studies. There also is the potential risk of delayed adverse events following treatment with our drug candidates.</w:t>
      </w:r>
    </w:p>
    <w:p>
      <w:pPr>
        <w:spacing w:after="0" w:line="79" w:lineRule="exact"/>
        <w:rPr>
          <w:sz w:val="20"/>
          <w:szCs w:val="20"/>
          <w:color w:val="auto"/>
        </w:rPr>
      </w:pPr>
    </w:p>
    <w:p>
      <w:pPr>
        <w:ind w:right="120" w:firstLine="589"/>
        <w:spacing w:after="0" w:line="269" w:lineRule="auto"/>
        <w:rPr>
          <w:sz w:val="20"/>
          <w:szCs w:val="20"/>
          <w:color w:val="auto"/>
        </w:rPr>
      </w:pPr>
      <w:r>
        <w:rPr>
          <w:rFonts w:ascii="Arial" w:cs="Arial" w:eastAsia="Arial" w:hAnsi="Arial"/>
          <w:sz w:val="17"/>
          <w:szCs w:val="17"/>
          <w:color w:val="auto"/>
        </w:rPr>
        <w:t>If any drug candidates we develop are associated with serious adverse events, or undesirable side effects, or have characteristics that are unexpected,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In our preclinical studies, we may observe undesirable characteristics of our drug candidates. This may prevent us from advancing them into clinical trials, delay these trials or limit the extent of these trials. In addition, increased bleeding risk and cardiac arrhythmia such as atrial fibrillation have been reported side effects of approved BTK inhibitors.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9" w:name="page60"/>
    <w:bookmarkEnd w:id="59"/>
    <w:p>
      <w:pPr>
        <w:ind w:right="560"/>
        <w:spacing w:after="0" w:line="277" w:lineRule="auto"/>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6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trials for NX-2127, NX-1607, NX-5948 and DeTIL-0255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and business prospects.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delays or difficulties in enrolling patients in clinical trials, our receipt of necessary marketing approvals could be delayed or prevented.</w:t>
      </w:r>
    </w:p>
    <w:p>
      <w:pPr>
        <w:spacing w:after="0" w:line="15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clinical sites are currently enrolling patients for our Phase 1 clinical trials for NX-2127 in patients with CLL and other B-cell malignancies and for NX-1607 in patients with a variety of oncology indications; they are currently recruiting patients in our Phase 1 trial for DeTIL-0255 in patients with gynecologic cancers and we anticipate enrolling patients for our Phase 1 trial for NX-5948 in patients with CLL and other B-cell malignancies in the first half of 2022. We cannot predict how difficult it will be to enroll patients for trials in these indications. Therefore, our ability to identify and enroll eligible patients for our NX-2127, NX-1607, NX-5948 and DeTIL-0255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are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71" w:lineRule="exact"/>
        <w:rPr>
          <w:sz w:val="20"/>
          <w:szCs w:val="20"/>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efficacy of approved medications for the disease under investigation;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candidates under study;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attitudes and practices with respect to clinical trial enrollment;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burden on patients due to inconvenient procedures;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62"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6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drugs is complex and we and our third-party manufacturers are early in our manufacturing efforts.</w:t>
      </w:r>
    </w:p>
    <w:p>
      <w:pPr>
        <w:spacing w:after="0" w:line="117" w:lineRule="exact"/>
        <w:rPr>
          <w:sz w:val="20"/>
          <w:szCs w:val="20"/>
          <w:color w:val="auto"/>
        </w:rPr>
      </w:pPr>
    </w:p>
    <w:p>
      <w:pPr>
        <w:ind w:right="60" w:firstLine="589"/>
        <w:spacing w:after="0" w:line="289" w:lineRule="auto"/>
        <w:rPr>
          <w:sz w:val="20"/>
          <w:szCs w:val="20"/>
          <w:color w:val="auto"/>
        </w:rPr>
      </w:pPr>
      <w:r>
        <w:rPr>
          <w:rFonts w:ascii="Arial" w:cs="Arial" w:eastAsia="Arial" w:hAnsi="Arial"/>
          <w:sz w:val="16"/>
          <w:szCs w:val="16"/>
          <w:color w:val="auto"/>
        </w:rPr>
        <w:t>We have established manufacturing relationships with a limited number of suppliers to manufacture raw materials and the drug substance of any drug candidate for which we now are pursuing, or may in the future pursue, preclinical or clinical development. Our current good manufacturing practices (cGMPs), manufacturing process development with our third-party manufacturers and scale-up is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right="60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62" w:lineRule="exact"/>
        <w:rPr>
          <w:sz w:val="20"/>
          <w:szCs w:val="20"/>
          <w:color w:val="auto"/>
        </w:rPr>
      </w:pPr>
    </w:p>
    <w:p>
      <w:pPr>
        <w:ind w:right="120" w:firstLine="589"/>
        <w:spacing w:after="0" w:line="268" w:lineRule="auto"/>
        <w:rPr>
          <w:sz w:val="20"/>
          <w:szCs w:val="20"/>
          <w:color w:val="auto"/>
        </w:rPr>
      </w:pPr>
      <w:r>
        <w:rPr>
          <w:rFonts w:ascii="Arial" w:cs="Arial" w:eastAsia="Arial" w:hAnsi="Arial"/>
          <w:sz w:val="17"/>
          <w:szCs w:val="17"/>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drug candidates, and we may never be successful in developing these therapeutics.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potential drug candidates.</w:t>
      </w:r>
    </w:p>
    <w:p>
      <w:pPr>
        <w:spacing w:after="0" w:line="117"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9" w:lineRule="exact"/>
        <w:rPr>
          <w:sz w:val="20"/>
          <w:szCs w:val="20"/>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drug candidates;</w:t>
      </w:r>
    </w:p>
    <w:p>
      <w:pPr>
        <w:spacing w:after="0" w:line="117"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drug candidates may not be effective in treating their targeted diseases.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sale of products in future periods, which likely would result in significant harm to our financial position and adversely impact our stock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expand the breadth of our DELigase platform.</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1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62" w:lineRule="exact"/>
        <w:rPr>
          <w:sz w:val="20"/>
          <w:szCs w:val="20"/>
          <w:color w:val="auto"/>
        </w:rPr>
      </w:pPr>
    </w:p>
    <w:p>
      <w:pPr>
        <w:ind w:right="120" w:firstLine="589"/>
        <w:spacing w:after="0" w:line="272" w:lineRule="auto"/>
        <w:rPr>
          <w:sz w:val="20"/>
          <w:szCs w:val="20"/>
          <w:color w:val="auto"/>
        </w:rPr>
      </w:pPr>
      <w:r>
        <w:rPr>
          <w:rFonts w:ascii="Arial" w:cs="Arial" w:eastAsia="Arial" w:hAnsi="Arial"/>
          <w:sz w:val="17"/>
          <w:szCs w:val="17"/>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69"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We are aware of several biotechnology companies focused on developing small molecules that degrade target proteins including Arvinas, Inc., BioTheryX, Inc., C4 Therapeutics, Inc., Cullgen Inc., Foghorn Therapeutics Inc., Kymera Therapeutics, Inc. and Monte Rosa Therapeutics, all of which currently are in preclinical or clinical development. In addition, several large pharmaceutical companies have disclosed preclinical investments in this field, including Amgen Inc., AstraZeneca plc, Bayer AG, Bristol-Myers Squibb Company, Genentech, Inc., GlaxoSmithKline plc and Novartis International AG. Furthermore, we are aware of several biotech companies focused on developing tumor infiltrating lymphocyte (TIL) therapies for the treatment of cancer, including Instil Bio, Inc. and Iovance Biotherapeutics, Inc.</w:t>
      </w:r>
    </w:p>
    <w:p>
      <w:pPr>
        <w:spacing w:after="0" w:line="84"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700"/>
        <w:spacing w:after="0" w:line="277" w:lineRule="auto"/>
        <w:rPr>
          <w:sz w:val="20"/>
          <w:szCs w:val="20"/>
          <w:color w:val="auto"/>
        </w:rPr>
      </w:pPr>
      <w:r>
        <w:rPr>
          <w:rFonts w:ascii="Arial" w:cs="Arial" w:eastAsia="Arial" w:hAnsi="Arial"/>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62" w:lineRule="exact"/>
        <w:rPr>
          <w:sz w:val="20"/>
          <w:szCs w:val="20"/>
          <w:color w:val="auto"/>
        </w:rPr>
      </w:pPr>
    </w:p>
    <w:p>
      <w:pPr>
        <w:jc w:val="both"/>
        <w:ind w:right="120" w:firstLine="589"/>
        <w:spacing w:after="0" w:line="286" w:lineRule="auto"/>
        <w:rPr>
          <w:sz w:val="20"/>
          <w:szCs w:val="20"/>
          <w:color w:val="auto"/>
        </w:rPr>
      </w:pPr>
      <w:r>
        <w:rPr>
          <w:rFonts w:ascii="Arial" w:cs="Arial" w:eastAsia="Arial" w:hAnsi="Arial"/>
          <w:sz w:val="16"/>
          <w:szCs w:val="16"/>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Dependence on Third Parties</w:t>
      </w:r>
    </w:p>
    <w:p>
      <w:pPr>
        <w:spacing w:after="0" w:line="121" w:lineRule="exact"/>
        <w:rPr>
          <w:sz w:val="20"/>
          <w:szCs w:val="20"/>
          <w:color w:val="auto"/>
        </w:rPr>
      </w:pPr>
    </w:p>
    <w:p>
      <w:pPr>
        <w:ind w:right="320"/>
        <w:spacing w:after="0" w:line="375" w:lineRule="auto"/>
        <w:rPr>
          <w:sz w:val="20"/>
          <w:szCs w:val="20"/>
          <w:color w:val="auto"/>
        </w:rPr>
      </w:pPr>
      <w:r>
        <w:rPr>
          <w:rFonts w:ascii="Arial" w:cs="Arial" w:eastAsia="Arial" w:hAnsi="Arial"/>
          <w:sz w:val="15"/>
          <w:szCs w:val="15"/>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have sought third-party collaborators for the research, development, and commercialization of some of our CTM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4"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Collaborations involving our research programs or any drug candidates we may develop, including our collaborations with Sanofi and Gilead, pose the following risks to us:</w:t>
      </w:r>
    </w:p>
    <w:p>
      <w:pPr>
        <w:spacing w:after="0" w:line="62" w:lineRule="exact"/>
        <w:rPr>
          <w:sz w:val="20"/>
          <w:szCs w:val="20"/>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jc w:val="both"/>
        <w:ind w:left="1160" w:right="100" w:hanging="572"/>
        <w:spacing w:after="0" w:line="311" w:lineRule="auto"/>
        <w:tabs>
          <w:tab w:leader="none" w:pos="11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40" w:lineRule="exact"/>
        <w:rPr>
          <w:rFonts w:ascii="Arial" w:cs="Arial" w:eastAsia="Arial" w:hAnsi="Arial"/>
          <w:sz w:val="16"/>
          <w:szCs w:val="16"/>
          <w:color w:val="auto"/>
        </w:rPr>
      </w:pPr>
    </w:p>
    <w:p>
      <w:pPr>
        <w:jc w:val="both"/>
        <w:ind w:left="1160" w:right="80" w:hanging="572"/>
        <w:spacing w:after="0" w:line="263"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Sanofi and Gilead have broad option rights to select up to five targets each for exclusive CTM development, so long as not excluded by us under the terms of each collaboration, and may select targets we are considering but have not taken sufficient action to exclude under each collaboration.</w:t>
      </w:r>
    </w:p>
    <w:p>
      <w:pPr>
        <w:spacing w:after="0" w:line="75" w:lineRule="exact"/>
        <w:rPr>
          <w:rFonts w:ascii="Arial" w:cs="Arial" w:eastAsia="Arial" w:hAnsi="Arial"/>
          <w:sz w:val="18"/>
          <w:szCs w:val="18"/>
          <w:color w:val="auto"/>
        </w:rPr>
      </w:pPr>
    </w:p>
    <w:p>
      <w:pPr>
        <w:ind w:left="1160" w:right="480" w:hanging="572"/>
        <w:spacing w:after="0" w:line="308" w:lineRule="auto"/>
        <w:tabs>
          <w:tab w:leader="none" w:pos="11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38" w:lineRule="exact"/>
        <w:rPr>
          <w:rFonts w:ascii="Arial" w:cs="Arial" w:eastAsia="Arial" w:hAnsi="Arial"/>
          <w:sz w:val="17"/>
          <w:szCs w:val="17"/>
          <w:color w:val="auto"/>
        </w:rPr>
      </w:pPr>
    </w:p>
    <w:p>
      <w:pPr>
        <w:ind w:left="1160" w:right="120" w:hanging="572"/>
        <w:spacing w:after="0" w:line="263"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1160" w:right="340" w:hanging="572"/>
        <w:spacing w:after="0" w:line="27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1160" w:right="20" w:hanging="572"/>
        <w:spacing w:after="0" w:line="296" w:lineRule="auto"/>
        <w:tabs>
          <w:tab w:leader="none" w:pos="11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53" w:lineRule="exact"/>
        <w:rPr>
          <w:rFonts w:ascii="Arial" w:cs="Arial" w:eastAsia="Arial" w:hAnsi="Arial"/>
          <w:sz w:val="16"/>
          <w:szCs w:val="16"/>
          <w:color w:val="auto"/>
        </w:rPr>
      </w:pPr>
    </w:p>
    <w:p>
      <w:pPr>
        <w:ind w:left="1160" w:right="100" w:hanging="572"/>
        <w:spacing w:after="0" w:line="263"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75"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62" w:lineRule="exact"/>
        <w:rPr>
          <w:rFonts w:ascii="Arial" w:cs="Arial" w:eastAsia="Arial" w:hAnsi="Arial"/>
          <w:sz w:val="18"/>
          <w:szCs w:val="18"/>
          <w:color w:val="auto"/>
        </w:rPr>
      </w:pPr>
    </w:p>
    <w:p>
      <w:pPr>
        <w:ind w:left="1160" w:right="40" w:hanging="572"/>
        <w:spacing w:after="0" w:line="259"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8" w:lineRule="exact"/>
        <w:rPr>
          <w:rFonts w:ascii="Arial" w:cs="Arial" w:eastAsia="Arial" w:hAnsi="Arial"/>
          <w:sz w:val="18"/>
          <w:szCs w:val="18"/>
          <w:color w:val="auto"/>
        </w:rPr>
      </w:pPr>
    </w:p>
    <w:p>
      <w:pPr>
        <w:ind w:left="1160" w:right="80" w:hanging="572"/>
        <w:spacing w:after="0" w:line="286" w:lineRule="auto"/>
        <w:tabs>
          <w:tab w:leader="none" w:pos="11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drug candidates in the most efficient manner, or at all.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57"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8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among other things, upon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62"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77" w:lineRule="exact"/>
        <w:rPr>
          <w:sz w:val="20"/>
          <w:szCs w:val="20"/>
          <w:color w:val="auto"/>
        </w:rPr>
      </w:pPr>
    </w:p>
    <w:p>
      <w:pPr>
        <w:ind w:right="220" w:firstLine="589"/>
        <w:spacing w:after="0" w:line="311" w:lineRule="auto"/>
        <w:rPr>
          <w:sz w:val="20"/>
          <w:szCs w:val="20"/>
          <w:color w:val="auto"/>
        </w:rPr>
      </w:pPr>
      <w:r>
        <w:rPr>
          <w:rFonts w:ascii="Arial" w:cs="Arial" w:eastAsia="Arial" w:hAnsi="Arial"/>
          <w:sz w:val="16"/>
          <w:szCs w:val="16"/>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1"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prospects, financial condition and results of operations.</w:t>
      </w:r>
    </w:p>
    <w:p>
      <w:pPr>
        <w:spacing w:after="0" w:line="1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6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rely on third-party contract research organizations (CROs) to conduct our Phase 1 clinical trial programs for NX-2127, NX-1607, NX-5948 and DeTIL-0255 and we will rely on third-party CROs to conduct any clinical trials for other drug candidates. Agreements with these CROs might terminate for a variety of reasons, including for their failure to perform. Entry into alternative arrangements, if necessary, could significantly delay our product development activities.</w:t>
      </w:r>
    </w:p>
    <w:p>
      <w:pPr>
        <w:spacing w:after="0" w:line="79"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80" w:lineRule="exact"/>
        <w:rPr>
          <w:sz w:val="20"/>
          <w:szCs w:val="20"/>
          <w:color w:val="auto"/>
        </w:rPr>
      </w:pPr>
    </w:p>
    <w:p>
      <w:pPr>
        <w:ind w:right="80" w:firstLine="589"/>
        <w:spacing w:after="0" w:line="286" w:lineRule="auto"/>
        <w:rPr>
          <w:sz w:val="20"/>
          <w:szCs w:val="20"/>
          <w:color w:val="auto"/>
        </w:rPr>
      </w:pPr>
      <w:r>
        <w:rPr>
          <w:rFonts w:ascii="Arial" w:cs="Arial" w:eastAsia="Arial" w:hAnsi="Arial"/>
          <w:sz w:val="17"/>
          <w:szCs w:val="17"/>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p>
      <w:pPr>
        <w:ind w:right="40"/>
        <w:spacing w:after="0" w:line="279" w:lineRule="auto"/>
        <w:rPr>
          <w:sz w:val="20"/>
          <w:szCs w:val="20"/>
          <w:color w:val="auto"/>
        </w:rPr>
      </w:pPr>
      <w:r>
        <w:rPr>
          <w:rFonts w:ascii="Arial" w:cs="Arial" w:eastAsia="Arial" w:hAnsi="Arial"/>
          <w:sz w:val="17"/>
          <w:szCs w:val="17"/>
          <w:b w:val="1"/>
          <w:bCs w:val="1"/>
          <w:i w:val="1"/>
          <w:iCs w:val="1"/>
          <w:color w:val="auto"/>
        </w:rPr>
        <w:t>We rely on third-party contract manufacturing organizations for the manufacture of both drug substance and finished drug product for our drug candidates for preclinical testing and expect to continue to do so for our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3"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We do not own or operate, and currently have no plans to establish, any manufacturing facilities. We rely on and expect to continue to rely on third-party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49"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We may be unable to establish agreements with CMOs or to do so on acceptable terms. Even if we are able to establish agreements with CMOs, reliance on them entails additional risks, including:</w:t>
      </w:r>
    </w:p>
    <w:p>
      <w:pPr>
        <w:spacing w:after="0" w:line="62" w:lineRule="exact"/>
        <w:rPr>
          <w:sz w:val="20"/>
          <w:szCs w:val="20"/>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the CMO for regulatory, compliance and quality assurance;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CMO;</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CMO at a time that is costly or inconvenient for us.</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79"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8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facilities used by our contract manufacturers to manufacture our drug candidates must be approved by the FDA or the EMA pursuant to inspections that will be conducted after we submit our NDA to the FDA or our marketing authorization application (MAA) to the EMA.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w:t>
      </w:r>
    </w:p>
    <w:p>
      <w:pPr>
        <w:spacing w:after="0" w:line="74"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7" w:name="page68"/>
    <w:bookmarkEnd w:id="67"/>
    <w:p>
      <w:pPr>
        <w:ind w:right="40" w:firstLine="589"/>
        <w:spacing w:after="0" w:line="275"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be able to reach agreement with any alternative manufacturer.</w:t>
      </w:r>
    </w:p>
    <w:p>
      <w:pPr>
        <w:spacing w:after="0" w:line="68" w:lineRule="exact"/>
        <w:rPr>
          <w:sz w:val="20"/>
          <w:szCs w:val="20"/>
          <w:color w:val="auto"/>
        </w:rPr>
      </w:pPr>
    </w:p>
    <w:p>
      <w:pPr>
        <w:ind w:right="120" w:firstLine="58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4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62"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obtain certain chemical or biological intermediates in the synthesis of our drug candidates and NHPs for toxicology testing in countries affected by the COVID-19 pandemic. If we are unable to obtain these chemical or biological intermediates or NHPs in sufficient quantity and in a timely manner,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62" w:lineRule="exact"/>
        <w:rPr>
          <w:sz w:val="20"/>
          <w:szCs w:val="20"/>
          <w:color w:val="auto"/>
        </w:rPr>
      </w:pPr>
    </w:p>
    <w:p>
      <w:pPr>
        <w:ind w:right="180" w:firstLine="589"/>
        <w:spacing w:after="0" w:line="254" w:lineRule="auto"/>
        <w:rPr>
          <w:sz w:val="20"/>
          <w:szCs w:val="20"/>
          <w:color w:val="auto"/>
        </w:rPr>
      </w:pPr>
      <w:r>
        <w:rPr>
          <w:rFonts w:ascii="Arial" w:cs="Arial" w:eastAsia="Arial" w:hAnsi="Arial"/>
          <w:sz w:val="18"/>
          <w:szCs w:val="18"/>
          <w:color w:val="auto"/>
        </w:rPr>
        <w:t>In order to conduct clinical trials of our drug candidates, we will need to manufacture them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Drug Candidates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a drug candidate may fail to achieve the degree of market acceptance by physicians, patients, third-party payors and others in the medical community necessary for commercial success.</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If any of our drug candidates receive marketing approval, it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80"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sales and distribution support;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62"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76"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We currently expect that we may build our own focused, specialized sales and marketing organization to support the commercialization in the United States of drug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160" w:right="1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If we are unable to establish our own sales and marketing capabilities and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9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69" w:name="page70"/>
    <w:bookmarkEnd w:id="69"/>
    <w:p>
      <w:pPr>
        <w:ind w:right="80" w:firstLine="589"/>
        <w:spacing w:after="0" w:line="268"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78"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liability lawsuits against us could cause us to incur substantial liabilities and to limit commercialization of any products that we may develop.</w:t>
      </w:r>
    </w:p>
    <w:p>
      <w:pPr>
        <w:spacing w:after="0" w:line="152" w:lineRule="exact"/>
        <w:rPr>
          <w:sz w:val="20"/>
          <w:szCs w:val="20"/>
          <w:color w:val="auto"/>
        </w:rPr>
      </w:pPr>
    </w:p>
    <w:p>
      <w:pPr>
        <w:ind w:right="120" w:firstLine="589"/>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57" w:lineRule="exact"/>
        <w:rPr>
          <w:sz w:val="20"/>
          <w:szCs w:val="20"/>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for any drug candidates or products that we may develop;</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termination of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marketing approval, recall, restriction on the approval or a “black box” warning or contraindication for an approved drug;</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0" w:name="page71"/>
    <w:bookmarkEnd w:id="70"/>
    <w:p>
      <w:pPr>
        <w:ind w:right="160" w:firstLine="589"/>
        <w:spacing w:after="0" w:line="259"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technology,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63"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However, the portfolio covering our drug candidates is at an early stage and comprised only of patent applications and we do not currently own or license any issued patents covering our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63"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right="60" w:firstLine="589"/>
        <w:spacing w:after="0" w:line="287"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60"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2" w:name="page73"/>
    <w:bookmarkEnd w:id="72"/>
    <w:p>
      <w:pPr>
        <w:ind w:right="60" w:firstLine="589"/>
        <w:spacing w:after="0" w:line="270" w:lineRule="auto"/>
        <w:rPr>
          <w:sz w:val="20"/>
          <w:szCs w:val="20"/>
          <w:color w:val="auto"/>
        </w:rPr>
      </w:pPr>
      <w:r>
        <w:rPr>
          <w:rFonts w:ascii="Arial" w:cs="Arial" w:eastAsia="Arial" w:hAnsi="Arial"/>
          <w:sz w:val="17"/>
          <w:szCs w:val="17"/>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73"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7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w:t>
      </w:r>
    </w:p>
    <w:p>
      <w:pPr>
        <w:spacing w:after="0" w:line="64"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40"/>
        <w:spacing w:after="0" w:line="286" w:lineRule="auto"/>
        <w:rPr>
          <w:sz w:val="20"/>
          <w:szCs w:val="20"/>
          <w:color w:val="auto"/>
        </w:rPr>
      </w:pPr>
      <w:r>
        <w:rPr>
          <w:rFonts w:ascii="Arial" w:cs="Arial" w:eastAsia="Arial" w:hAnsi="Arial"/>
          <w:sz w:val="17"/>
          <w:szCs w:val="17"/>
          <w:b w:val="1"/>
          <w:bCs w:val="1"/>
          <w:i w:val="1"/>
          <w:iCs w:val="1"/>
          <w:color w:val="auto"/>
        </w:rPr>
        <w:t>Even if we are able to obtain patent protection for our drug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57"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8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and financial condition.</w:t>
      </w:r>
    </w:p>
    <w:p>
      <w:pPr>
        <w:spacing w:after="0" w:line="63" w:lineRule="exact"/>
        <w:rPr>
          <w:sz w:val="20"/>
          <w:szCs w:val="20"/>
          <w:color w:val="auto"/>
        </w:rPr>
      </w:pPr>
    </w:p>
    <w:p>
      <w:pPr>
        <w:ind w:right="160" w:firstLine="589"/>
        <w:spacing w:after="0" w:line="296"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2"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right="80" w:firstLine="589"/>
        <w:spacing w:after="0" w:line="288" w:lineRule="auto"/>
        <w:rPr>
          <w:sz w:val="20"/>
          <w:szCs w:val="20"/>
          <w:color w:val="auto"/>
        </w:rPr>
      </w:pPr>
      <w:r>
        <w:rPr>
          <w:rFonts w:ascii="Arial" w:cs="Arial" w:eastAsia="Arial" w:hAnsi="Arial"/>
          <w:sz w:val="16"/>
          <w:szCs w:val="16"/>
          <w:color w:val="auto"/>
        </w:rPr>
        <w:t xml:space="preserve">Numerous third-party U.S. and non-U.S. issued patents exist in the area of biotechnology, including in the area of CTMs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60"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CTMs. This patent may be alleged to cover one or more of our CTM drug candidates, including our NX-2127 and NX-5948 drug candidates. While we believe that we have valid defenses against any assertion of such patent against us, such defenses may be unsuccessful. If we are unsuccessful and any of our CTM drug candidates is found to infringe this patent, we could be required to obtain a license to such patent or forced to permanently cease developing, manufacturing, marketing and commercializing the infringing CTM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66"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ind w:right="80" w:firstLine="589"/>
        <w:spacing w:after="0" w:line="286" w:lineRule="auto"/>
        <w:rPr>
          <w:sz w:val="20"/>
          <w:szCs w:val="20"/>
          <w:color w:val="auto"/>
        </w:rPr>
      </w:pPr>
      <w:r>
        <w:rPr>
          <w:rFonts w:ascii="Arial" w:cs="Arial" w:eastAsia="Arial" w:hAnsi="Arial"/>
          <w:sz w:val="16"/>
          <w:szCs w:val="16"/>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63"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64"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58"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6" w:name="page77"/>
    <w:bookmarkEnd w:id="76"/>
    <w:p>
      <w:pPr>
        <w:ind w:firstLine="589"/>
        <w:spacing w:after="0" w:line="269"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79"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1"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7" w:name="page78"/>
    <w:bookmarkEnd w:id="77"/>
    <w:p>
      <w:pPr>
        <w:ind w:firstLine="589"/>
        <w:spacing w:after="0" w:line="268" w:lineRule="auto"/>
        <w:rPr>
          <w:sz w:val="20"/>
          <w:szCs w:val="20"/>
          <w:color w:val="auto"/>
        </w:rPr>
      </w:pPr>
      <w:r>
        <w:rPr>
          <w:rFonts w:ascii="Arial" w:cs="Arial" w:eastAsia="Arial" w:hAnsi="Arial"/>
          <w:sz w:val="17"/>
          <w:szCs w:val="17"/>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18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62"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ind w:right="40" w:firstLine="589"/>
        <w:spacing w:after="0" w:line="269" w:lineRule="auto"/>
        <w:rPr>
          <w:sz w:val="20"/>
          <w:szCs w:val="20"/>
          <w:color w:val="auto"/>
        </w:rPr>
      </w:pPr>
      <w:r>
        <w:rPr>
          <w:rFonts w:ascii="Arial" w:cs="Arial" w:eastAsia="Arial" w:hAnsi="Arial"/>
          <w:sz w:val="17"/>
          <w:szCs w:val="17"/>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and to secure patent term extensions throughout the world.</w:t>
      </w:r>
    </w:p>
    <w:p>
      <w:pPr>
        <w:spacing w:after="0" w:line="117"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7"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8" w:lineRule="exact"/>
        <w:rPr>
          <w:sz w:val="20"/>
          <w:szCs w:val="20"/>
          <w:color w:val="auto"/>
        </w:rPr>
      </w:pPr>
    </w:p>
    <w:p>
      <w:pPr>
        <w:jc w:val="both"/>
        <w:ind w:right="100" w:firstLine="589"/>
        <w:spacing w:after="0" w:line="30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right="140"/>
        <w:spacing w:after="0" w:line="375"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drug candidates and technology.</w:t>
      </w:r>
    </w:p>
    <w:p>
      <w:pPr>
        <w:spacing w:after="0" w:line="74"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7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160" w:right="16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drug candidates we may develop or utilize similar technology but that are not covered by the claims of the patents that we own or license now or in the future;</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0" w:name="page81"/>
    <w:bookmarkEnd w:id="80"/>
    <w:p>
      <w:pPr>
        <w:ind w:left="1160" w:right="4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current or future license partners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it is possible that our pending owned patent applications or those that we may own or license in the future will not lead to issued patents;</w:t>
      </w:r>
    </w:p>
    <w:p>
      <w:pPr>
        <w:spacing w:after="0" w:line="140" w:lineRule="exact"/>
        <w:rPr>
          <w:rFonts w:ascii="Arial" w:cs="Arial" w:eastAsia="Arial" w:hAnsi="Arial"/>
          <w:sz w:val="16"/>
          <w:szCs w:val="16"/>
          <w:color w:val="auto"/>
        </w:rPr>
      </w:pPr>
    </w:p>
    <w:p>
      <w:pPr>
        <w:ind w:left="1160" w:right="2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issued patents that we may hold rights to in the future may be held invalid or unenforceable, including as a result of legal challenges by our competitors;</w:t>
      </w:r>
    </w:p>
    <w:p>
      <w:pPr>
        <w:spacing w:after="0" w:line="62" w:lineRule="exact"/>
        <w:rPr>
          <w:rFonts w:ascii="Arial" w:cs="Arial" w:eastAsia="Arial" w:hAnsi="Arial"/>
          <w:sz w:val="18"/>
          <w:szCs w:val="18"/>
          <w:color w:val="auto"/>
        </w:rPr>
      </w:pPr>
    </w:p>
    <w:p>
      <w:pPr>
        <w:ind w:left="1160" w:right="560" w:hanging="572"/>
        <w:spacing w:after="0" w:line="308"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Drug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regulatory approval process of the FDA is lengthy, time-consuming and inherently unpredictable, and if we are ultimately unable to obtain marketing approval for our drug candidates, our business will be substantially harmed.</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drug candidates could be delayed or fail to receive marketing approval for many reasons, including the following:</w:t>
      </w:r>
    </w:p>
    <w:p>
      <w:pPr>
        <w:spacing w:after="0" w:line="117"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preclinical studies or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disagree with the design or implementation of our planned clinical trials;</w:t>
      </w:r>
    </w:p>
    <w:p>
      <w:pPr>
        <w:spacing w:after="0" w:line="117"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that a drug candidate is safe and effective for its proposed indication;</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for approval;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our drug candidates’ clinical and other benefits outweigh their safety risks;</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approval policies or regulations of the FDA may significantly change in a manner rendering our clinical data insufficient for approval.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1" w:name="page82"/>
    <w:bookmarkEnd w:id="81"/>
    <w:p>
      <w:pPr>
        <w:jc w:val="both"/>
        <w:ind w:right="180" w:firstLine="589"/>
        <w:spacing w:after="0" w:line="287" w:lineRule="auto"/>
        <w:rPr>
          <w:sz w:val="20"/>
          <w:szCs w:val="20"/>
          <w:color w:val="auto"/>
        </w:rPr>
      </w:pPr>
      <w:r>
        <w:rPr>
          <w:rFonts w:ascii="Arial" w:cs="Arial" w:eastAsia="Arial" w:hAnsi="Arial"/>
          <w:sz w:val="16"/>
          <w:szCs w:val="16"/>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w:t>
      </w:r>
    </w:p>
    <w:p>
      <w:pPr>
        <w:spacing w:after="0" w:line="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Even if we believe the data collected from clinical trials of our drug candidates are promising, such data may not be sufficient to support approval by the FDA.</w:t>
      </w:r>
    </w:p>
    <w:p>
      <w:pPr>
        <w:spacing w:after="0" w:line="77"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84" w:lineRule="exact"/>
        <w:rPr>
          <w:sz w:val="20"/>
          <w:szCs w:val="20"/>
          <w:color w:val="auto"/>
        </w:rPr>
      </w:pPr>
    </w:p>
    <w:p>
      <w:pPr>
        <w:ind w:firstLine="864"/>
        <w:spacing w:after="0" w:line="268" w:lineRule="auto"/>
        <w:rPr>
          <w:sz w:val="20"/>
          <w:szCs w:val="20"/>
          <w:color w:val="auto"/>
        </w:rPr>
      </w:pPr>
      <w:r>
        <w:rPr>
          <w:rFonts w:ascii="Arial" w:cs="Arial" w:eastAsia="Arial" w:hAnsi="Arial"/>
          <w:sz w:val="17"/>
          <w:szCs w:val="17"/>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As described in the “Government Regulation” section of this Annual Report on Form 10-K,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76" w:lineRule="exact"/>
        <w:rPr>
          <w:sz w:val="20"/>
          <w:szCs w:val="20"/>
          <w:color w:val="auto"/>
        </w:rPr>
      </w:pPr>
    </w:p>
    <w:p>
      <w:pPr>
        <w:ind w:right="100" w:firstLine="864"/>
        <w:spacing w:after="0" w:line="259" w:lineRule="auto"/>
        <w:rPr>
          <w:sz w:val="20"/>
          <w:szCs w:val="20"/>
          <w:color w:val="auto"/>
        </w:rPr>
      </w:pPr>
      <w:r>
        <w:rPr>
          <w:rFonts w:ascii="Arial" w:cs="Arial" w:eastAsia="Arial" w:hAnsi="Arial"/>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right="80" w:firstLine="864"/>
        <w:spacing w:after="0" w:line="270" w:lineRule="auto"/>
        <w:rPr>
          <w:sz w:val="20"/>
          <w:szCs w:val="20"/>
          <w:color w:val="auto"/>
        </w:rPr>
      </w:pPr>
      <w:r>
        <w:rPr>
          <w:rFonts w:ascii="Arial" w:cs="Arial" w:eastAsia="Arial" w:hAnsi="Arial"/>
          <w:sz w:val="17"/>
          <w:szCs w:val="17"/>
          <w:color w:val="auto"/>
        </w:rPr>
        <w:t>Even if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73" w:lineRule="exact"/>
        <w:rPr>
          <w:sz w:val="20"/>
          <w:szCs w:val="20"/>
          <w:color w:val="auto"/>
        </w:rPr>
      </w:pPr>
    </w:p>
    <w:p>
      <w:pPr>
        <w:ind w:right="80" w:firstLine="864"/>
        <w:spacing w:after="0" w:line="273" w:lineRule="auto"/>
        <w:rPr>
          <w:sz w:val="20"/>
          <w:szCs w:val="20"/>
          <w:color w:val="auto"/>
        </w:rPr>
      </w:pPr>
      <w:r>
        <w:rPr>
          <w:rFonts w:ascii="Arial" w:cs="Arial" w:eastAsia="Arial" w:hAnsi="Arial"/>
          <w:sz w:val="17"/>
          <w:szCs w:val="17"/>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0" w:lineRule="exact"/>
        <w:rPr>
          <w:sz w:val="20"/>
          <w:szCs w:val="20"/>
          <w:color w:val="auto"/>
        </w:rPr>
      </w:pPr>
    </w:p>
    <w:p>
      <w:pPr>
        <w:ind w:right="260" w:firstLine="589"/>
        <w:spacing w:after="0" w:line="342" w:lineRule="auto"/>
        <w:rPr>
          <w:sz w:val="20"/>
          <w:szCs w:val="20"/>
          <w:color w:val="auto"/>
        </w:rPr>
      </w:pPr>
      <w:r>
        <w:rPr>
          <w:rFonts w:ascii="Arial" w:cs="Arial" w:eastAsia="Arial" w:hAnsi="Arial"/>
          <w:sz w:val="16"/>
          <w:szCs w:val="16"/>
          <w:color w:val="auto"/>
        </w:rPr>
        <w:t>Any delay in obtaining, or inability to obtain, approval through the Accelerated Approval Program would delay or prevent commercialization of our products, and would materially adversely affect our business, financial condition, results of operations, cash flows and prospects.</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76"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62"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firstLine="589"/>
        <w:spacing w:after="0" w:line="284" w:lineRule="auto"/>
        <w:rPr>
          <w:sz w:val="20"/>
          <w:szCs w:val="20"/>
          <w:color w:val="auto"/>
        </w:rPr>
      </w:pPr>
      <w:r>
        <w:rPr>
          <w:rFonts w:ascii="Arial" w:cs="Arial" w:eastAsia="Arial" w:hAnsi="Arial"/>
          <w:sz w:val="16"/>
          <w:szCs w:val="16"/>
          <w:color w:val="auto"/>
        </w:rPr>
        <w:t>The United Kingdom’s (UK) exit from the European Union (EU) continues to create political and economic uncertainty, particularly in the UK and the EU. The UK is now being treated as a ‘third country’ by the EU and new UK legislation has taken effect. This means that some regulatory activities, such as batch testing and Qualified Person certification conducted in Great Britain is no longer recognized in the EU.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to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 - adding an extra layer of regulatory complexity. As companies now need to comply with a separate UK regulatory legal framework in order to commercialize medicinal products in Great Britain (namely, England, Wales and Scotland, as EU law continues to apply in Northern Ireland). The UK government is currently trying to renegotiate fundamental aspects of the NIP so this is an unpredictable area for companies in the near future.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below). If we fail to comply with the regulatory requirements in international markets and thus receive applicable marketing approvals, our target market will be reduced, our ability to realize the full market potential of our drug candidates will be harmed and our business will be adversely affected. We may not obtain foreign regulatory approvals on a timely basis, if at all. Our failure to obtain approval of any of our drug candidates by regulatory authorities in another country may significantly diminish the commercial prospects of that drug candidate and our business prospects could decline.</w:t>
      </w:r>
    </w:p>
    <w:p>
      <w:pPr>
        <w:spacing w:after="0" w:line="17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16"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0"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to monitor and ensure compliance with cGMPs.</w:t>
      </w:r>
    </w:p>
    <w:p>
      <w:pPr>
        <w:spacing w:after="0" w:line="80"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firstLine="589"/>
        <w:spacing w:after="0" w:line="259" w:lineRule="auto"/>
        <w:rPr>
          <w:sz w:val="20"/>
          <w:szCs w:val="20"/>
          <w:color w:val="auto"/>
        </w:rPr>
      </w:pPr>
      <w:r>
        <w:rPr>
          <w:rFonts w:ascii="Arial" w:cs="Arial" w:eastAsia="Arial" w:hAnsi="Arial"/>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5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and other regulatory authorities (such as the Medicines and Healthcare products Regulatory Agency (MHRA), the UK regulatory authority).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7" w:lineRule="exact"/>
        <w:rPr>
          <w:sz w:val="20"/>
          <w:szCs w:val="20"/>
          <w:color w:val="auto"/>
        </w:rPr>
      </w:pPr>
    </w:p>
    <w:p>
      <w:pPr>
        <w:ind w:right="220" w:firstLine="589"/>
        <w:spacing w:after="0" w:line="275" w:lineRule="auto"/>
        <w:rPr>
          <w:sz w:val="20"/>
          <w:szCs w:val="20"/>
          <w:color w:val="auto"/>
        </w:rPr>
      </w:pPr>
      <w:r>
        <w:rPr>
          <w:rFonts w:ascii="Arial" w:cs="Arial" w:eastAsia="Arial" w:hAnsi="Arial"/>
          <w:sz w:val="17"/>
          <w:szCs w:val="17"/>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68"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drug or seize the drug;</w:t>
      </w:r>
    </w:p>
    <w:p>
      <w:pPr>
        <w:spacing w:after="0" w:line="117" w:lineRule="exact"/>
        <w:rPr>
          <w:rFonts w:ascii="Arial" w:cs="Arial" w:eastAsia="Arial" w:hAnsi="Arial"/>
          <w:sz w:val="18"/>
          <w:szCs w:val="18"/>
          <w:color w:val="auto"/>
        </w:rPr>
      </w:pPr>
    </w:p>
    <w:p>
      <w:pPr>
        <w:ind w:left="1160" w:right="14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drug, change the way the drug is administered or conduct additional clinical trials;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drug;</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Medication Guide outlining the risks of the previously unidentified side effects for distribution to patients;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drug may become less competitive in the marketplace;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Any of these events could have a material and adverse effect on our operations and business and could adversely impact our stock price.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85" w:name="page86"/>
    <w:bookmarkEnd w:id="85"/>
    <w:p>
      <w:pPr>
        <w:ind w:firstLine="589"/>
        <w:spacing w:after="0" w:line="291" w:lineRule="auto"/>
        <w:rPr>
          <w:sz w:val="20"/>
          <w:szCs w:val="20"/>
          <w:color w:val="auto"/>
        </w:rPr>
      </w:pPr>
      <w:r>
        <w:rPr>
          <w:rFonts w:ascii="Arial" w:cs="Arial" w:eastAsia="Arial" w:hAnsi="Arial"/>
          <w:sz w:val="16"/>
          <w:szCs w:val="16"/>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58"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2" w:lineRule="exact"/>
        <w:rPr>
          <w:sz w:val="20"/>
          <w:szCs w:val="20"/>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17"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Non-compliance with EU requirements regarding safety monitoring or pharmacovigilance, and with requirements related to the development of products for the pediatric population (as explained further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7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86" w:name="page87"/>
    <w:bookmarkEnd w:id="86"/>
    <w:p>
      <w:pPr>
        <w:ind w:right="80"/>
        <w:spacing w:after="0" w:line="308" w:lineRule="auto"/>
        <w:rPr>
          <w:sz w:val="20"/>
          <w:szCs w:val="20"/>
          <w:color w:val="auto"/>
        </w:rPr>
      </w:pPr>
      <w:r>
        <w:rPr>
          <w:rFonts w:ascii="Arial" w:cs="Arial" w:eastAsia="Arial" w:hAnsi="Arial"/>
          <w:sz w:val="17"/>
          <w:szCs w:val="17"/>
          <w:b w:val="1"/>
          <w:bCs w:val="1"/>
          <w:i w:val="1"/>
          <w:iCs w:val="1"/>
          <w:color w:val="auto"/>
        </w:rPr>
        <w:t>If we decide to seek Orphan Drug Designation for any of our current or future drug candidates, we may be unsuccessful or may be unable to maintain the benefits associated with Orphan Drug Designation, including the potential for supplemental market exclusivity.</w:t>
      </w:r>
    </w:p>
    <w:p>
      <w:pPr>
        <w:spacing w:after="0" w:line="38" w:lineRule="exact"/>
        <w:rPr>
          <w:sz w:val="20"/>
          <w:szCs w:val="20"/>
          <w:color w:val="auto"/>
        </w:rPr>
      </w:pPr>
    </w:p>
    <w:p>
      <w:pPr>
        <w:ind w:right="80" w:firstLine="589"/>
        <w:spacing w:after="0" w:line="270" w:lineRule="auto"/>
        <w:rPr>
          <w:sz w:val="20"/>
          <w:szCs w:val="20"/>
          <w:color w:val="auto"/>
        </w:rPr>
      </w:pPr>
      <w:r>
        <w:rPr>
          <w:rFonts w:ascii="Arial" w:cs="Arial" w:eastAsia="Arial" w:hAnsi="Arial"/>
          <w:sz w:val="17"/>
          <w:szCs w:val="17"/>
          <w:color w:val="auto"/>
        </w:rPr>
        <w:t>We may seek Orphan Drug Designation for one or more of our current or future drug candidates. Regulatory authorities in some jurisdictions, including the United States and Europe,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73"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or licensure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84"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16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76" w:lineRule="exact"/>
        <w:rPr>
          <w:sz w:val="20"/>
          <w:szCs w:val="20"/>
          <w:color w:val="auto"/>
        </w:rPr>
      </w:pPr>
    </w:p>
    <w:p>
      <w:pPr>
        <w:ind w:firstLine="714"/>
        <w:spacing w:after="0" w:line="270" w:lineRule="auto"/>
        <w:rPr>
          <w:sz w:val="20"/>
          <w:szCs w:val="20"/>
          <w:color w:val="auto"/>
        </w:rPr>
      </w:pPr>
      <w:r>
        <w:rPr>
          <w:rFonts w:ascii="Arial" w:cs="Arial" w:eastAsia="Arial" w:hAnsi="Arial"/>
          <w:sz w:val="17"/>
          <w:szCs w:val="17"/>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ind w:firstLine="714"/>
        <w:spacing w:after="0" w:line="287" w:lineRule="auto"/>
        <w:rPr>
          <w:sz w:val="20"/>
          <w:szCs w:val="20"/>
          <w:color w:val="auto"/>
        </w:rPr>
      </w:pPr>
      <w:r>
        <w:rPr>
          <w:rFonts w:ascii="Arial" w:cs="Arial" w:eastAsia="Arial" w:hAnsi="Arial"/>
          <w:sz w:val="16"/>
          <w:szCs w:val="16"/>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60" w:lineRule="exact"/>
        <w:rPr>
          <w:sz w:val="20"/>
          <w:szCs w:val="20"/>
          <w:color w:val="auto"/>
        </w:rPr>
      </w:pPr>
    </w:p>
    <w:p>
      <w:pPr>
        <w:ind w:right="60" w:firstLine="714"/>
        <w:spacing w:after="0" w:line="290" w:lineRule="auto"/>
        <w:rPr>
          <w:sz w:val="20"/>
          <w:szCs w:val="20"/>
          <w:color w:val="auto"/>
        </w:rPr>
      </w:pPr>
      <w:r>
        <w:rPr>
          <w:rFonts w:ascii="Arial" w:cs="Arial" w:eastAsia="Arial" w:hAnsi="Arial"/>
          <w:sz w:val="16"/>
          <w:szCs w:val="16"/>
          <w:color w:val="auto"/>
        </w:rPr>
        <w:t>In the EU and the UK, innovative medicinal products are authorized based on a full marketing authorization application (as opposed to an application for marketing authorization that relies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(and where applicable the result of the pediatric studies unless a waiver or a deferral has been obtained – as described further below). In the EU, these applications must be made pursuant to either Directive 2001/83/EC (for the decentralised procedure or the mutual recognition procedure) or Regulation 726/2004(for the centralised procedure). In the UK, there are various procedures available under the new regulatory legal framework to pharmaceutical products, including the possibility of a recognized assessment conducted by the European authorities under certain circumstance or by applying directly to the UK regulatory authority (the MHRA).</w:t>
      </w:r>
    </w:p>
    <w:p>
      <w:pPr>
        <w:spacing w:after="0" w:line="57" w:lineRule="exact"/>
        <w:rPr>
          <w:sz w:val="20"/>
          <w:szCs w:val="20"/>
          <w:color w:val="auto"/>
        </w:rPr>
      </w:pPr>
    </w:p>
    <w:p>
      <w:pPr>
        <w:ind w:right="20" w:firstLine="714"/>
        <w:spacing w:after="0" w:line="285" w:lineRule="auto"/>
        <w:rPr>
          <w:sz w:val="20"/>
          <w:szCs w:val="20"/>
          <w:color w:val="auto"/>
        </w:rPr>
      </w:pPr>
      <w:r>
        <w:rPr>
          <w:rFonts w:ascii="Arial" w:cs="Arial" w:eastAsia="Arial" w:hAnsi="Arial"/>
          <w:sz w:val="16"/>
          <w:szCs w:val="16"/>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European Economic Area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marketing authorization application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8" w:name="page89"/>
    <w:bookmarkEnd w:id="88"/>
    <w:p>
      <w:pPr>
        <w:ind w:right="40" w:firstLine="714"/>
        <w:spacing w:after="0" w:line="270" w:lineRule="auto"/>
        <w:rPr>
          <w:sz w:val="20"/>
          <w:szCs w:val="20"/>
          <w:color w:val="auto"/>
        </w:rPr>
      </w:pPr>
      <w:r>
        <w:rPr>
          <w:rFonts w:ascii="Arial" w:cs="Arial" w:eastAsia="Arial" w:hAnsi="Arial"/>
          <w:sz w:val="17"/>
          <w:szCs w:val="17"/>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73" w:lineRule="exact"/>
        <w:rPr>
          <w:sz w:val="20"/>
          <w:szCs w:val="20"/>
          <w:color w:val="auto"/>
        </w:rPr>
      </w:pPr>
    </w:p>
    <w:p>
      <w:pPr>
        <w:ind w:firstLine="714"/>
        <w:spacing w:after="0" w:line="272" w:lineRule="auto"/>
        <w:rPr>
          <w:sz w:val="20"/>
          <w:szCs w:val="20"/>
          <w:color w:val="auto"/>
        </w:rPr>
      </w:pPr>
      <w:r>
        <w:rPr>
          <w:rFonts w:ascii="Arial" w:cs="Arial" w:eastAsia="Arial" w:hAnsi="Arial"/>
          <w:sz w:val="17"/>
          <w:szCs w:val="17"/>
          <w:color w:val="auto"/>
        </w:rPr>
        <w:t>In order to obtain orphan designation in the EEA, the product must fulfill certain challenging criteria. Under Article 3 of Regulation (EC) 141/2000, a medicinal product may be designated as an orphan medicinal product if it meets the following criteria: (1) is intended for the diagnosis, prevention or treatment of a life-threatening or chronically debilitating condition; and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69" w:lineRule="exact"/>
        <w:rPr>
          <w:sz w:val="20"/>
          <w:szCs w:val="20"/>
          <w:color w:val="auto"/>
        </w:rPr>
      </w:pPr>
    </w:p>
    <w:p>
      <w:pPr>
        <w:ind w:right="80" w:firstLine="714"/>
        <w:spacing w:after="0" w:line="253" w:lineRule="auto"/>
        <w:rPr>
          <w:sz w:val="20"/>
          <w:szCs w:val="20"/>
          <w:color w:val="auto"/>
        </w:rPr>
      </w:pPr>
      <w:r>
        <w:rPr>
          <w:rFonts w:ascii="Arial" w:cs="Arial" w:eastAsia="Arial" w:hAnsi="Arial"/>
          <w:sz w:val="18"/>
          <w:szCs w:val="18"/>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88" w:lineRule="exact"/>
        <w:rPr>
          <w:sz w:val="20"/>
          <w:szCs w:val="20"/>
          <w:color w:val="auto"/>
        </w:rPr>
      </w:pPr>
    </w:p>
    <w:p>
      <w:pPr>
        <w:ind w:right="40" w:firstLine="714"/>
        <w:spacing w:after="0" w:line="277" w:lineRule="auto"/>
        <w:rPr>
          <w:sz w:val="20"/>
          <w:szCs w:val="20"/>
          <w:color w:val="auto"/>
        </w:rPr>
      </w:pPr>
      <w:r>
        <w:rPr>
          <w:rFonts w:ascii="Arial" w:cs="Arial" w:eastAsia="Arial" w:hAnsi="Arial"/>
          <w:sz w:val="18"/>
          <w:szCs w:val="18"/>
          <w:color w:val="auto"/>
        </w:rPr>
        <w:t>There are also three exceptions to the orphan market exclusivity principle. Marketing authorization may be granted to a similar medicinal product for the same orphan therapeutic indication if:</w:t>
      </w:r>
    </w:p>
    <w:p>
      <w:pPr>
        <w:spacing w:after="0" w:line="62" w:lineRule="exact"/>
        <w:rPr>
          <w:sz w:val="20"/>
          <w:szCs w:val="20"/>
          <w:color w:val="auto"/>
        </w:rPr>
      </w:pPr>
    </w:p>
    <w:p>
      <w:pPr>
        <w:ind w:left="1160" w:right="26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62" w:lineRule="exact"/>
        <w:rPr>
          <w:sz w:val="20"/>
          <w:szCs w:val="20"/>
          <w:color w:val="auto"/>
        </w:rPr>
      </w:pPr>
    </w:p>
    <w:p>
      <w:pPr>
        <w:ind w:right="200" w:firstLine="714"/>
        <w:spacing w:after="0" w:line="259" w:lineRule="auto"/>
        <w:rPr>
          <w:sz w:val="20"/>
          <w:szCs w:val="20"/>
          <w:color w:val="auto"/>
        </w:rPr>
      </w:pPr>
      <w:r>
        <w:rPr>
          <w:rFonts w:ascii="Arial" w:cs="Arial" w:eastAsia="Arial" w:hAnsi="Arial"/>
          <w:sz w:val="18"/>
          <w:szCs w:val="18"/>
          <w:color w:val="auto"/>
        </w:rPr>
        <w:t>An orphan product can also obtain an additional two years of orphan market exclusivity in the EU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79" w:lineRule="exact"/>
        <w:rPr>
          <w:sz w:val="20"/>
          <w:szCs w:val="20"/>
          <w:color w:val="auto"/>
        </w:rPr>
      </w:pPr>
    </w:p>
    <w:p>
      <w:pPr>
        <w:ind w:right="360" w:firstLine="714"/>
        <w:spacing w:after="0" w:line="277" w:lineRule="auto"/>
        <w:rPr>
          <w:sz w:val="20"/>
          <w:szCs w:val="20"/>
          <w:color w:val="auto"/>
        </w:rPr>
      </w:pPr>
      <w:r>
        <w:rPr>
          <w:rFonts w:ascii="Arial" w:cs="Arial" w:eastAsia="Arial" w:hAnsi="Arial"/>
          <w:sz w:val="18"/>
          <w:szCs w:val="18"/>
          <w:color w:val="auto"/>
        </w:rPr>
        <w:t>The UK’s regulatory legal framework provides for similar periods of protection (namely regulatory data protection, marketing protection and market exclusivity).</w:t>
      </w:r>
    </w:p>
    <w:p>
      <w:pPr>
        <w:spacing w:after="0" w:line="62" w:lineRule="exact"/>
        <w:rPr>
          <w:sz w:val="20"/>
          <w:szCs w:val="20"/>
          <w:color w:val="auto"/>
        </w:rPr>
      </w:pPr>
    </w:p>
    <w:p>
      <w:pPr>
        <w:ind w:right="100" w:firstLine="714"/>
        <w:spacing w:after="0" w:line="263" w:lineRule="auto"/>
        <w:rPr>
          <w:sz w:val="20"/>
          <w:szCs w:val="20"/>
          <w:color w:val="auto"/>
        </w:rPr>
      </w:pPr>
      <w:r>
        <w:rPr>
          <w:rFonts w:ascii="Arial" w:cs="Arial" w:eastAsia="Arial" w:hAnsi="Arial"/>
          <w:sz w:val="18"/>
          <w:szCs w:val="18"/>
          <w:color w:val="auto"/>
        </w:rPr>
        <w:t>It is important to note that the regulatory protection afforded to medicinal product such as data exclusivity, marketing protection, market exclusivity for orphan indications and pediatric extension are currently under review at EU level. It is expected that the protection currently afforded in the EU will be reduced in the years to come.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9" w:name="page90"/>
    <w:bookmarkEnd w:id="89"/>
    <w:p>
      <w:pPr>
        <w:ind w:right="180" w:firstLine="589"/>
        <w:spacing w:after="0" w:line="257" w:lineRule="auto"/>
        <w:rPr>
          <w:sz w:val="20"/>
          <w:szCs w:val="20"/>
          <w:color w:val="auto"/>
        </w:rPr>
      </w:pPr>
      <w:r>
        <w:rPr>
          <w:rFonts w:ascii="Arial" w:cs="Arial" w:eastAsia="Arial" w:hAnsi="Arial"/>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4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Applicable U.S. federal and state healthcare laws and regulations include the following:</w:t>
      </w:r>
    </w:p>
    <w:p>
      <w:pPr>
        <w:spacing w:after="0" w:line="117" w:lineRule="exact"/>
        <w:rPr>
          <w:sz w:val="20"/>
          <w:szCs w:val="20"/>
          <w:color w:val="auto"/>
        </w:rPr>
      </w:pPr>
    </w:p>
    <w:p>
      <w:pPr>
        <w:ind w:left="1160" w:right="20" w:hanging="572"/>
        <w:spacing w:after="0" w:line="254"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86" w:lineRule="exact"/>
        <w:rPr>
          <w:rFonts w:ascii="Arial" w:cs="Arial" w:eastAsia="Arial" w:hAnsi="Arial"/>
          <w:sz w:val="18"/>
          <w:szCs w:val="18"/>
          <w:color w:val="auto"/>
        </w:rPr>
      </w:pPr>
    </w:p>
    <w:p>
      <w:pPr>
        <w:ind w:left="1160" w:hanging="572"/>
        <w:spacing w:after="0" w:line="254"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federal civil False Claims Act, which may be enforced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83" w:lineRule="exact"/>
        <w:rPr>
          <w:rFonts w:ascii="Arial" w:cs="Arial" w:eastAsia="Arial" w:hAnsi="Arial"/>
          <w:sz w:val="18"/>
          <w:szCs w:val="18"/>
          <w:color w:val="auto"/>
        </w:rPr>
      </w:pPr>
    </w:p>
    <w:p>
      <w:pPr>
        <w:ind w:left="1160" w:hanging="572"/>
        <w:spacing w:after="0" w:line="275" w:lineRule="auto"/>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68" w:lineRule="exact"/>
        <w:rPr>
          <w:rFonts w:ascii="Arial" w:cs="Arial" w:eastAsia="Arial" w:hAnsi="Arial"/>
          <w:sz w:val="17"/>
          <w:szCs w:val="17"/>
          <w:color w:val="auto"/>
        </w:rPr>
      </w:pPr>
    </w:p>
    <w:p>
      <w:pPr>
        <w:ind w:left="1160" w:right="100" w:hanging="572"/>
        <w:spacing w:after="0" w:line="279" w:lineRule="auto"/>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63" w:lineRule="exact"/>
        <w:rPr>
          <w:rFonts w:ascii="Arial" w:cs="Arial" w:eastAsia="Arial" w:hAnsi="Arial"/>
          <w:sz w:val="17"/>
          <w:szCs w:val="17"/>
          <w:color w:val="auto"/>
        </w:rPr>
      </w:pPr>
    </w:p>
    <w:p>
      <w:pPr>
        <w:ind w:left="1160" w:right="20" w:hanging="572"/>
        <w:spacing w:after="0" w:line="263"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0" w:name="page91"/>
    <w:bookmarkEnd w:id="90"/>
    <w:p>
      <w:pPr>
        <w:ind w:left="1160" w:right="440" w:hanging="572"/>
        <w:spacing w:after="0" w:line="342"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federal Food, Drug, and Cosmetic Act which among other things, strictly regulates drug marketing, prohibits manufacturers from marketing such products for off-label use or misbranding or adulterating their products, and regulates the distribution of samples;</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75" w:lineRule="exact"/>
        <w:rPr>
          <w:rFonts w:ascii="Arial" w:cs="Arial" w:eastAsia="Arial" w:hAnsi="Arial"/>
          <w:sz w:val="18"/>
          <w:szCs w:val="18"/>
          <w:color w:val="auto"/>
        </w:rPr>
      </w:pPr>
    </w:p>
    <w:p>
      <w:pPr>
        <w:ind w:left="1160" w:right="20" w:hanging="572"/>
        <w:spacing w:after="0" w:line="255"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and teaching hospitals, and for reports submitted on or after January 1, 2022, physician assistants, nurse practitioners, clinical nurse specialists, certified nurse anesthetists, anesthesiologist assistants, and certified nurse-midwives as well as certain ownership and investment interests held by physicians and their immediate families;</w:t>
      </w:r>
    </w:p>
    <w:p>
      <w:pPr>
        <w:spacing w:after="0" w:line="84" w:lineRule="exact"/>
        <w:rPr>
          <w:rFonts w:ascii="Arial" w:cs="Arial" w:eastAsia="Arial" w:hAnsi="Arial"/>
          <w:sz w:val="18"/>
          <w:szCs w:val="18"/>
          <w:color w:val="auto"/>
        </w:rPr>
      </w:pPr>
    </w:p>
    <w:p>
      <w:pPr>
        <w:ind w:left="1160" w:right="640" w:hanging="572"/>
        <w:spacing w:after="0" w:line="263"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7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62"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marketing expenditures;</w:t>
      </w:r>
    </w:p>
    <w:p>
      <w:pPr>
        <w:spacing w:after="0" w:line="62" w:lineRule="exact"/>
        <w:rPr>
          <w:rFonts w:ascii="Arial" w:cs="Arial" w:eastAsia="Arial" w:hAnsi="Arial"/>
          <w:sz w:val="18"/>
          <w:szCs w:val="18"/>
          <w:color w:val="auto"/>
        </w:rPr>
      </w:pPr>
    </w:p>
    <w:p>
      <w:pPr>
        <w:ind w:left="1160" w:right="260" w:hanging="572"/>
        <w:spacing w:after="0" w:line="311" w:lineRule="auto"/>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40" w:lineRule="exact"/>
        <w:rPr>
          <w:rFonts w:ascii="Arial" w:cs="Arial" w:eastAsia="Arial" w:hAnsi="Arial"/>
          <w:sz w:val="16"/>
          <w:szCs w:val="16"/>
          <w:color w:val="auto"/>
        </w:rPr>
      </w:pPr>
    </w:p>
    <w:p>
      <w:pPr>
        <w:ind w:left="1160" w:right="180" w:hanging="572"/>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62"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91" w:name="page92"/>
    <w:bookmarkEnd w:id="91"/>
    <w:p>
      <w:pPr>
        <w:ind w:firstLine="589"/>
        <w:spacing w:after="0" w:line="291" w:lineRule="auto"/>
        <w:rPr>
          <w:sz w:val="20"/>
          <w:szCs w:val="20"/>
          <w:color w:val="auto"/>
        </w:rPr>
      </w:pPr>
      <w:r>
        <w:rPr>
          <w:rFonts w:ascii="Arial" w:cs="Arial" w:eastAsia="Arial" w:hAnsi="Arial"/>
          <w:sz w:val="16"/>
          <w:szCs w:val="16"/>
          <w:color w:val="auto"/>
        </w:rPr>
        <w:t>Providing benefits or advantages to induce or reward improper performance generally to induce or encourage the prescription, recommendation, endorsement, purchase, supply, order or use of medicinal products is prohibited in the EU.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5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62"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62"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53"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92" w:name="page93"/>
    <w:bookmarkEnd w:id="92"/>
    <w:p>
      <w:pPr>
        <w:ind w:right="20" w:firstLine="589"/>
        <w:spacing w:after="0" w:line="286" w:lineRule="auto"/>
        <w:rPr>
          <w:sz w:val="20"/>
          <w:szCs w:val="20"/>
          <w:color w:val="auto"/>
        </w:rPr>
      </w:pPr>
      <w:r>
        <w:rPr>
          <w:rFonts w:ascii="Arial" w:cs="Arial" w:eastAsia="Arial" w:hAnsi="Arial"/>
          <w:sz w:val="16"/>
          <w:szCs w:val="16"/>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Additionally, both Congress and the Biden administration have each indicated that it will continue to seek new legislative and/or administrative measures to address prescription drug costs. For example, on July 9, 2021, President Biden issued an Executive Order to promote competition in the U.S. economy that included several initiatives addressing prescription drugs. Among other provisions, the Executive Order stated that the Biden administration will “support aggressive legislative reforms that would lower prescription drug prices, including by allowing Medicare to negotiate drug prices, by imposing inflation caps, and through other related reforms.” In response to the Executive Order, on September 9, 2021, the Department of Health and Human Services issued a Comprehensive Plan for Addressing High Drug Prices that identified potential legislative policies and administrative tools that Congress and the agency can pursue in order to make drug prices more affordable and equitable, improve and promote competition throughout the prescription drug industry, and foster scientific innovation. Congress has also continued to conduct inquiries into the prescription drug industry’s pricing practices.</w:t>
      </w:r>
    </w:p>
    <w:p>
      <w:pPr>
        <w:spacing w:after="0" w:line="63"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56"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of the United States tend to impose strict price controls, which may adversely affect our revenues from the sales of drugs, if any.</w:t>
      </w:r>
    </w:p>
    <w:p>
      <w:pPr>
        <w:spacing w:after="0" w:line="152"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 Health Technology Appraisal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Risks Related to Employees, Managing our Growth and Other Legal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may adversely affect our business and the market price of our common stock.</w:t>
      </w:r>
    </w:p>
    <w:p>
      <w:pPr>
        <w:spacing w:after="0" w:line="117" w:lineRule="exact"/>
        <w:rPr>
          <w:sz w:val="20"/>
          <w:szCs w:val="20"/>
          <w:color w:val="auto"/>
        </w:rPr>
      </w:pPr>
    </w:p>
    <w:p>
      <w:pPr>
        <w:ind w:firstLine="589"/>
        <w:spacing w:after="0" w:line="284" w:lineRule="auto"/>
        <w:rPr>
          <w:sz w:val="20"/>
          <w:szCs w:val="20"/>
          <w:color w:val="auto"/>
        </w:rPr>
      </w:pPr>
      <w:r>
        <w:rPr>
          <w:rFonts w:ascii="Arial" w:cs="Arial" w:eastAsia="Arial" w:hAnsi="Arial"/>
          <w:sz w:val="16"/>
          <w:szCs w:val="16"/>
          <w:color w:val="auto"/>
        </w:rPr>
        <w:t>The ongoing global pandemic of COVID-19, including the resurgence of cases relating to the spread of the Delta and Omicron variants,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and published an updated form of this guidance on May 17, 2021. Additionally, on April 14,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It is unclear how the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288"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COVID-19 outbreak and mitigation measures also may have an adverse impact on global economic conditions, which could adversely impact our business, financial condition or results of operations. Additionally, the COVID-19 outbreak has resulted in significant financial market volatility and uncertainty. A continuation or worsening of the levels of market disruption and volatility seen in the recent past as a result of the COVID-19 outbreak could have an adverse effect on our ability to access capital and on the market price of our common stock. It is currently not possible to predict how long the COVID-19 outbreak will last or the time that it will take for economic activity to return to prior levels. The extent to which the COVID-19 outbreak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4" w:name="page95"/>
    <w:bookmarkEnd w:id="94"/>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62" w:lineRule="exact"/>
        <w:rPr>
          <w:sz w:val="20"/>
          <w:szCs w:val="20"/>
          <w:color w:val="auto"/>
        </w:rPr>
      </w:pPr>
    </w:p>
    <w:p>
      <w:pPr>
        <w:ind w:right="40" w:firstLine="589"/>
        <w:spacing w:after="0" w:line="253" w:lineRule="auto"/>
        <w:rPr>
          <w:sz w:val="20"/>
          <w:szCs w:val="20"/>
          <w:color w:val="auto"/>
        </w:rPr>
      </w:pPr>
      <w:r>
        <w:rPr>
          <w:rFonts w:ascii="Arial" w:cs="Arial" w:eastAsia="Arial" w:hAnsi="Arial"/>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our Chief Scientific Officer, Gwenn Hansen, Ph.D., and our Chief Operating Officer and Executive Vice President of Product Development, Stefani A. Wolff. The loss of the services of Drs. Sands and Hansen or Ms. Wolff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88"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49" w:lineRule="exact"/>
        <w:rPr>
          <w:sz w:val="20"/>
          <w:szCs w:val="20"/>
          <w:color w:val="auto"/>
        </w:rPr>
      </w:pPr>
    </w:p>
    <w:p>
      <w:pPr>
        <w:ind w:right="180" w:firstLine="589"/>
        <w:spacing w:after="0" w:line="291" w:lineRule="auto"/>
        <w:rPr>
          <w:sz w:val="20"/>
          <w:szCs w:val="20"/>
          <w:color w:val="auto"/>
        </w:rPr>
      </w:pPr>
      <w:r>
        <w:rPr>
          <w:rFonts w:ascii="Arial" w:cs="Arial" w:eastAsia="Arial" w:hAnsi="Arial"/>
          <w:sz w:val="16"/>
          <w:szCs w:val="16"/>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58"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our organization, and we may experience difficulties in managing this growth, which could disrupt our operations.</w:t>
      </w:r>
    </w:p>
    <w:p>
      <w:pPr>
        <w:spacing w:after="0" w:line="129" w:lineRule="exact"/>
        <w:rPr>
          <w:sz w:val="20"/>
          <w:szCs w:val="20"/>
          <w:color w:val="auto"/>
        </w:rPr>
      </w:pPr>
    </w:p>
    <w:p>
      <w:pPr>
        <w:ind w:right="80" w:firstLine="589"/>
        <w:spacing w:after="0" w:line="288" w:lineRule="auto"/>
        <w:rPr>
          <w:sz w:val="20"/>
          <w:szCs w:val="20"/>
          <w:color w:val="auto"/>
        </w:rPr>
      </w:pPr>
      <w:r>
        <w:rPr>
          <w:rFonts w:ascii="Arial" w:cs="Arial" w:eastAsia="Arial" w:hAnsi="Arial"/>
          <w:sz w:val="16"/>
          <w:szCs w:val="16"/>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we received regulatory clearance to initiate human clinical trials for our four lead drug candidates in 2021, and we anticipate that our lead drug candidates will advance towards Phase 1b clinical trials in 2022.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5" w:name="page96"/>
    <w:bookmarkEnd w:id="95"/>
    <w:p>
      <w:pPr>
        <w:ind w:right="7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38"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62" w:lineRule="exact"/>
        <w:rPr>
          <w:sz w:val="20"/>
          <w:szCs w:val="20"/>
          <w:color w:val="auto"/>
        </w:rPr>
      </w:pPr>
    </w:p>
    <w:p>
      <w:pPr>
        <w:ind w:left="1160" w:right="32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intentional, reckless or negligent conduct or disclosure to us of unauthorized activities that violate the regulations of the FDA or similar foreign regulatory authorities;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healthcare fraud and abuse in violation of U.S. and foreign laws and regulations;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violations of U.S. federal securities laws relating to trading in our common stock;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failures to report financial information or data accurately.</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181"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49"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84"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ind w:right="20" w:firstLine="589"/>
        <w:spacing w:after="0" w:line="268" w:lineRule="auto"/>
        <w:rPr>
          <w:sz w:val="20"/>
          <w:szCs w:val="20"/>
          <w:color w:val="auto"/>
        </w:rPr>
      </w:pPr>
      <w:r>
        <w:rPr>
          <w:rFonts w:ascii="Arial" w:cs="Arial" w:eastAsia="Arial" w:hAnsi="Arial"/>
          <w:sz w:val="17"/>
          <w:szCs w:val="17"/>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74"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results of operations, prospects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7" w:name="page98"/>
    <w:bookmarkEnd w:id="97"/>
    <w:p>
      <w:pPr>
        <w:ind w:right="140"/>
        <w:spacing w:after="0" w:line="286" w:lineRule="auto"/>
        <w:rPr>
          <w:sz w:val="20"/>
          <w:szCs w:val="20"/>
          <w:color w:val="auto"/>
        </w:rPr>
      </w:pPr>
      <w:r>
        <w:rPr>
          <w:rFonts w:ascii="Arial" w:cs="Arial" w:eastAsia="Arial" w:hAnsi="Arial"/>
          <w:sz w:val="17"/>
          <w:szCs w:val="17"/>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w:t>
      </w:r>
    </w:p>
    <w:p>
      <w:pPr>
        <w:spacing w:after="0" w:line="5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4" w:lineRule="exact"/>
        <w:rPr>
          <w:sz w:val="20"/>
          <w:szCs w:val="20"/>
          <w:color w:val="auto"/>
        </w:rPr>
      </w:pPr>
    </w:p>
    <w:p>
      <w:pPr>
        <w:ind w:right="40" w:firstLine="589"/>
        <w:spacing w:after="0" w:line="286" w:lineRule="auto"/>
        <w:rPr>
          <w:sz w:val="20"/>
          <w:szCs w:val="20"/>
          <w:color w:val="auto"/>
        </w:rPr>
      </w:pPr>
      <w:r>
        <w:rPr>
          <w:rFonts w:ascii="Arial" w:cs="Arial" w:eastAsia="Arial" w:hAnsi="Arial"/>
          <w:sz w:val="16"/>
          <w:szCs w:val="16"/>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U.S. Department of Health and Human Services (HHS) has the discretion to impose penalties without attempting to first resolve violations.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59"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 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8" w:name="page99"/>
    <w:bookmarkEnd w:id="98"/>
    <w:p>
      <w:pPr>
        <w:ind w:right="120" w:firstLine="589"/>
        <w:spacing w:after="0" w:line="253" w:lineRule="auto"/>
        <w:rPr>
          <w:sz w:val="20"/>
          <w:szCs w:val="20"/>
          <w:color w:val="auto"/>
        </w:rPr>
      </w:pPr>
      <w:r>
        <w:rPr>
          <w:rFonts w:ascii="Arial" w:cs="Arial" w:eastAsia="Arial" w:hAnsi="Arial"/>
          <w:sz w:val="18"/>
          <w:szCs w:val="18"/>
          <w:color w:val="auto"/>
        </w:rPr>
        <w:t>The CCPA has prompted a number of proposals for new federal and state-level privacy legislation. Additional states have passed privacy laws, such as the Virginia Consumer Data Protection Act and the Colorado Privacy Act, both of which are similar to the CCPA.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86" w:lineRule="exact"/>
        <w:rPr>
          <w:sz w:val="20"/>
          <w:szCs w:val="20"/>
          <w:color w:val="auto"/>
        </w:rPr>
      </w:pPr>
    </w:p>
    <w:p>
      <w:pPr>
        <w:ind w:right="20" w:firstLine="589"/>
        <w:spacing w:after="0" w:line="284" w:lineRule="auto"/>
        <w:rPr>
          <w:sz w:val="20"/>
          <w:szCs w:val="20"/>
          <w:color w:val="auto"/>
        </w:rPr>
      </w:pPr>
      <w:r>
        <w:rPr>
          <w:rFonts w:ascii="Arial" w:cs="Arial" w:eastAsia="Arial" w:hAnsi="Arial"/>
          <w:sz w:val="16"/>
          <w:szCs w:val="16"/>
          <w:color w:val="auto"/>
        </w:rPr>
        <w:t xml:space="preserve">In addition, in May 2018, the EU General Data Protection Regulation (EU GDPR) took effect in the EEA. The EU GDPR governs the collection, use, disclosure, transfer or other processing of personal data, replacing data protection laws issued by each EU member state based on the Directive 95/46/EC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the United States and other jurisdictions that the European Commission does not recognize as having “adequate” data protection laws. In particular, on July 16, 2020, the Court of Justice of the EU (Court of Justice) in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international transfers which may require us to implement additional safeguards to further enhance the security of data transferred out of the EEA, which could increase our compliance costs, expose us to further regulatory scrutiny and liability, and adversely affect our business. Further, the European Commission published new versions of the Standard Contractual Clauses in June 2021 which place onerous obligations on the parties. The EU GDPR imposes substantial fines for breaches and violations (up to the greater of €20 million or 4% of our global turnover). The EU GDPR allows data subjects and consumer associations to lodge complaints with supervisory authorities, seek judicial remedies and obtain compensation for damages resulting from violations of the EU GDPR.</w:t>
      </w:r>
    </w:p>
    <w:p>
      <w:pPr>
        <w:spacing w:after="0" w:line="69"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 xml:space="preserve">Further, following the end of the Brexit Transition Period (on December 31, 2020) the EU GDPR has been implemented in the UK (as the UK GDPR)—non-compliance with which may lead to similar compliance and operational costs as the EU GDPR with potential fines of up to £17 million or 4% of global turnover. The UK GDPR sits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 – the requirements of which are (at this time) largely aligned with those under the EU GDPR. However, the UK has not formally acknowledged the new EU Standard Contractual Clauses and on August 11, 2020, the UK Information Commissioner’s Office (ICO) launched a public consultation on its own form of Standard Contractual Clauses and issued a UK addendum that can be used with the new EU Standard Contractual Clauses. The ICO is also consulting on its own form of UK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data transfer impact assessment. These developments may in turn, require us to develop separate approaches to international transfer from the EEA and the UK.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9" w:name="page100"/>
    <w:bookmarkEnd w:id="99"/>
    <w:p>
      <w:pPr>
        <w:jc w:val="both"/>
        <w:ind w:right="40" w:firstLine="589"/>
        <w:spacing w:after="0" w:line="301" w:lineRule="auto"/>
        <w:rPr>
          <w:sz w:val="20"/>
          <w:szCs w:val="20"/>
          <w:color w:val="auto"/>
        </w:rPr>
      </w:pPr>
      <w:r>
        <w:rPr>
          <w:rFonts w:ascii="Arial" w:cs="Arial" w:eastAsia="Arial" w:hAnsi="Arial"/>
          <w:sz w:val="16"/>
          <w:szCs w:val="16"/>
          <w:color w:val="auto"/>
        </w:rPr>
        <w:t>Some countries also are considering or have passed legislation requiring local storage and processing of data, or similar requirements, which could increase the cost and complexity for conducting preclinical testing and clinical trials or delivering future our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49"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regulators and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and changes in other tax laws could adversely affect us.</w:t>
      </w:r>
    </w:p>
    <w:p>
      <w:pPr>
        <w:spacing w:after="0" w:line="117" w:lineRule="exact"/>
        <w:rPr>
          <w:sz w:val="20"/>
          <w:szCs w:val="20"/>
          <w:color w:val="auto"/>
        </w:rPr>
      </w:pPr>
    </w:p>
    <w:p>
      <w:pPr>
        <w:ind w:right="360" w:firstLine="589"/>
        <w:spacing w:after="0" w:line="279" w:lineRule="auto"/>
        <w:rPr>
          <w:sz w:val="20"/>
          <w:szCs w:val="20"/>
          <w:color w:val="auto"/>
        </w:rPr>
      </w:pPr>
      <w:r>
        <w:rPr>
          <w:rFonts w:ascii="Arial" w:cs="Arial" w:eastAsia="Arial" w:hAnsi="Arial"/>
          <w:sz w:val="17"/>
          <w:szCs w:val="17"/>
          <w:color w:val="auto"/>
        </w:rPr>
        <w:t>In December 2017, U.S. federal tax legislation commonly referred to as the TCJA was signed into law, significantly reforming the Internal Revenue Code of 1986, as amended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63" w:lineRule="exact"/>
        <w:rPr>
          <w:sz w:val="20"/>
          <w:szCs w:val="20"/>
          <w:color w:val="auto"/>
        </w:rPr>
      </w:pPr>
    </w:p>
    <w:p>
      <w:pPr>
        <w:jc w:val="both"/>
        <w:ind w:right="380" w:firstLine="589"/>
        <w:spacing w:after="0" w:line="311" w:lineRule="auto"/>
        <w:rPr>
          <w:sz w:val="20"/>
          <w:szCs w:val="20"/>
          <w:color w:val="auto"/>
        </w:rPr>
      </w:pPr>
      <w:r>
        <w:rPr>
          <w:rFonts w:ascii="Arial" w:cs="Arial" w:eastAsia="Arial" w:hAnsi="Arial"/>
          <w:sz w:val="16"/>
          <w:szCs w:val="16"/>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41" w:lineRule="exact"/>
        <w:rPr>
          <w:sz w:val="20"/>
          <w:szCs w:val="20"/>
          <w:color w:val="auto"/>
        </w:rPr>
      </w:pPr>
    </w:p>
    <w:p>
      <w:pPr>
        <w:ind w:right="60" w:firstLine="589"/>
        <w:spacing w:after="0" w:line="293" w:lineRule="auto"/>
        <w:rPr>
          <w:sz w:val="20"/>
          <w:szCs w:val="20"/>
          <w:color w:val="auto"/>
        </w:rPr>
      </w:pPr>
      <w:r>
        <w:rPr>
          <w:rFonts w:ascii="Arial" w:cs="Arial" w:eastAsia="Arial" w:hAnsi="Arial"/>
          <w:sz w:val="16"/>
          <w:szCs w:val="16"/>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United States, ongoing tax effects of the TCJA, as modified by the CARES Act, are not expected to materially change our effective tax rate in future periods.</w:t>
      </w:r>
    </w:p>
    <w:p>
      <w:pPr>
        <w:spacing w:after="0" w:line="56" w:lineRule="exact"/>
        <w:rPr>
          <w:sz w:val="20"/>
          <w:szCs w:val="20"/>
          <w:color w:val="auto"/>
        </w:rPr>
      </w:pPr>
    </w:p>
    <w:p>
      <w:pPr>
        <w:jc w:val="both"/>
        <w:ind w:right="60" w:firstLine="589"/>
        <w:spacing w:after="0" w:line="301" w:lineRule="auto"/>
        <w:rPr>
          <w:sz w:val="20"/>
          <w:szCs w:val="20"/>
          <w:color w:val="auto"/>
        </w:rPr>
      </w:pPr>
      <w:r>
        <w:rPr>
          <w:rFonts w:ascii="Arial" w:cs="Arial" w:eastAsia="Arial" w:hAnsi="Arial"/>
          <w:sz w:val="16"/>
          <w:szCs w:val="16"/>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may be subject to limitations.</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We have incurred substantial losses during our history, do not expect to become profitable in the near future and may never achieve profitability. As of November 30, 2021, we had federal and state net operating loss (NOL) carryforwards of approximately $116.4 million and $192.1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74" w:lineRule="exact"/>
        <w:rPr>
          <w:sz w:val="20"/>
          <w:szCs w:val="20"/>
          <w:color w:val="auto"/>
        </w:rPr>
      </w:pPr>
    </w:p>
    <w:p>
      <w:pPr>
        <w:ind w:right="80" w:firstLine="589"/>
        <w:spacing w:after="0" w:line="289" w:lineRule="auto"/>
        <w:rPr>
          <w:sz w:val="20"/>
          <w:szCs w:val="20"/>
          <w:color w:val="auto"/>
        </w:rPr>
      </w:pPr>
      <w:r>
        <w:rPr>
          <w:rFonts w:ascii="Arial" w:cs="Arial" w:eastAsia="Arial" w:hAnsi="Arial"/>
          <w:sz w:val="16"/>
          <w:szCs w:val="16"/>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62"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0"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coordination of research and development efforts;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retention of key employees from the acquired company;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relationships with strategic partners as a result of product acquisitions or strategic positioning resulting from the acquisition;</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at a business that prior to the acquisition may have lacked sufficiently effective controls, procedures and policies;</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1" w:name="page102"/>
    <w:bookmarkEnd w:id="101"/>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write-offs or charges; and</w:t>
      </w:r>
    </w:p>
    <w:p>
      <w:pPr>
        <w:spacing w:after="0" w:line="117" w:lineRule="exact"/>
        <w:rPr>
          <w:rFonts w:ascii="Arial" w:cs="Arial" w:eastAsia="Arial" w:hAnsi="Arial"/>
          <w:sz w:val="18"/>
          <w:szCs w:val="18"/>
          <w:color w:val="auto"/>
        </w:rPr>
      </w:pPr>
    </w:p>
    <w:p>
      <w:pPr>
        <w:ind w:left="1160" w:right="560" w:hanging="572"/>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18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7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operations are subject to anti-corruption laws, including the Foreign Corrupt Practices Act (FCPA), the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58"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76"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62"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2" w:name="page103"/>
    <w:bookmarkEnd w:id="102"/>
    <w:p>
      <w:pPr>
        <w:ind w:right="20" w:firstLine="589"/>
        <w:spacing w:after="0" w:line="273" w:lineRule="auto"/>
        <w:rPr>
          <w:sz w:val="20"/>
          <w:szCs w:val="20"/>
          <w:color w:val="auto"/>
        </w:rPr>
      </w:pPr>
      <w:r>
        <w:rPr>
          <w:rFonts w:ascii="Arial" w:cs="Arial" w:eastAsia="Arial" w:hAnsi="Arial"/>
          <w:sz w:val="17"/>
          <w:szCs w:val="17"/>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adversely affect our business, financial condition, stock price and results of operations.</w:t>
      </w:r>
    </w:p>
    <w:p>
      <w:pPr>
        <w:spacing w:after="0" w:line="129"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recent volatility associated with the COVID-19 outbreak has caused significant instability and disruptions in the capital and credit markets.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78" w:lineRule="exact"/>
        <w:rPr>
          <w:sz w:val="20"/>
          <w:szCs w:val="20"/>
          <w:color w:val="auto"/>
        </w:rPr>
      </w:pPr>
    </w:p>
    <w:p>
      <w:pPr>
        <w:ind w:right="940"/>
        <w:spacing w:after="0" w:line="375" w:lineRule="auto"/>
        <w:rPr>
          <w:sz w:val="20"/>
          <w:szCs w:val="20"/>
          <w:color w:val="auto"/>
        </w:rPr>
      </w:pPr>
      <w:r>
        <w:rPr>
          <w:rFonts w:ascii="Arial" w:cs="Arial" w:eastAsia="Arial" w:hAnsi="Arial"/>
          <w:sz w:val="15"/>
          <w:szCs w:val="15"/>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1" w:lineRule="exact"/>
        <w:rPr>
          <w:sz w:val="20"/>
          <w:szCs w:val="20"/>
          <w:color w:val="auto"/>
        </w:rPr>
      </w:pPr>
    </w:p>
    <w:p>
      <w:pPr>
        <w:ind w:firstLine="589"/>
        <w:spacing w:after="0" w:line="285" w:lineRule="auto"/>
        <w:rPr>
          <w:sz w:val="20"/>
          <w:szCs w:val="20"/>
          <w:color w:val="auto"/>
        </w:rPr>
      </w:pPr>
      <w:r>
        <w:rPr>
          <w:rFonts w:ascii="Arial" w:cs="Arial" w:eastAsia="Arial" w:hAnsi="Arial"/>
          <w:sz w:val="16"/>
          <w:szCs w:val="16"/>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160" w:right="72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drug candidates, DELigase platform, DeTIL or future development programs;</w:t>
      </w:r>
    </w:p>
    <w:p>
      <w:pPr>
        <w:spacing w:after="0" w:line="62" w:lineRule="exact"/>
        <w:rPr>
          <w:rFonts w:ascii="Arial" w:cs="Arial" w:eastAsia="Arial" w:hAnsi="Arial"/>
          <w:sz w:val="18"/>
          <w:szCs w:val="18"/>
          <w:color w:val="auto"/>
        </w:rPr>
      </w:pPr>
    </w:p>
    <w:p>
      <w:pPr>
        <w:ind w:left="1160" w:right="42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preclinical and clinical trials, or the addition or termination of clinical trials or funding support by us or by existing or future collaborators or licensing partners;</w:t>
      </w:r>
    </w:p>
    <w:p>
      <w:pPr>
        <w:spacing w:after="0" w:line="62"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160" w:right="10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of our drug candidates receives regulatory approval, the terms of such approval and market acceptance and demand for such drug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developments affecting our drug candidates or those of our competitors;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117"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could lose all or part of your investment.</w:t>
      </w:r>
    </w:p>
    <w:p>
      <w:pPr>
        <w:spacing w:after="0" w:line="117" w:lineRule="exact"/>
        <w:rPr>
          <w:sz w:val="20"/>
          <w:szCs w:val="20"/>
          <w:color w:val="auto"/>
        </w:rPr>
      </w:pPr>
    </w:p>
    <w:p>
      <w:pPr>
        <w:jc w:val="both"/>
        <w:ind w:right="220" w:firstLine="589"/>
        <w:spacing w:after="0" w:line="286"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57" w:lineRule="exact"/>
        <w:rPr>
          <w:sz w:val="20"/>
          <w:szCs w:val="20"/>
          <w:color w:val="auto"/>
        </w:rPr>
      </w:pPr>
    </w:p>
    <w:p>
      <w:pPr>
        <w:ind w:left="1160" w:hanging="572"/>
        <w:spacing w:after="0"/>
        <w:tabs>
          <w:tab w:leader="none" w:pos="11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results of preclinical studies and clinical trials of our drug candidates, or those of our competitors or our existing or future collaborators;</w:t>
      </w:r>
    </w:p>
    <w:p>
      <w:pPr>
        <w:spacing w:after="0" w:line="140" w:lineRule="exact"/>
        <w:rPr>
          <w:rFonts w:ascii="Arial" w:cs="Arial" w:eastAsia="Arial" w:hAnsi="Arial"/>
          <w:sz w:val="16"/>
          <w:szCs w:val="16"/>
          <w:color w:val="auto"/>
        </w:rPr>
      </w:pPr>
    </w:p>
    <w:p>
      <w:pPr>
        <w:ind w:left="1160" w:right="16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drug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160" w:right="92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drug candidates, clinical studies, manufacturing process or sales and marketing terms;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in those of companies that are perceived to be similar to us;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drug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ind w:left="1160" w:right="12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concerning our current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160" w:right="4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drug candidates and products;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failure or the failure of our competitors to meet analysts’ projections or guidance that we or our competitors may provide to the market;</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effects of public health crises, pandemics and epidemics, such as COVID-19;</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17"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5" w:name="page106"/>
    <w:bookmarkEnd w:id="105"/>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Based on the beneficial ownership of our common stock as of November 30, 2021, our executive officers, directors and affiliates beneficially owned a substantial percentage of our outstanding voting stock. As a result, these stockholders, if acting together, could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17" w:lineRule="exact"/>
        <w:rPr>
          <w:sz w:val="20"/>
          <w:szCs w:val="20"/>
          <w:color w:val="auto"/>
        </w:rPr>
      </w:pPr>
    </w:p>
    <w:p>
      <w:pPr>
        <w:jc w:val="both"/>
        <w:ind w:right="140" w:firstLine="589"/>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76" w:lineRule="exact"/>
        <w:rPr>
          <w:sz w:val="20"/>
          <w:szCs w:val="20"/>
          <w:color w:val="auto"/>
        </w:rPr>
      </w:pPr>
    </w:p>
    <w:p>
      <w:pPr>
        <w:ind w:right="160" w:firstLine="589"/>
        <w:spacing w:after="0" w:line="286"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5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The future sale and issuance of equity or of debt securities that are convertible into equity will dilute our share capital.</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74"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76"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our board;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 and only with the approval of two-thirds of our stockholders;</w:t>
      </w:r>
    </w:p>
    <w:p>
      <w:pPr>
        <w:spacing w:after="0" w:line="117" w:lineRule="exact"/>
        <w:rPr>
          <w:rFonts w:ascii="Arial" w:cs="Arial" w:eastAsia="Arial" w:hAnsi="Arial"/>
          <w:sz w:val="18"/>
          <w:szCs w:val="18"/>
          <w:color w:val="auto"/>
        </w:rPr>
      </w:pPr>
    </w:p>
    <w:p>
      <w:pPr>
        <w:ind w:left="1160" w:right="540" w:hanging="572"/>
        <w:spacing w:after="0" w:line="342" w:lineRule="auto"/>
        <w:tabs>
          <w:tab w:leader="none" w:pos="11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15" w:lineRule="exact"/>
        <w:rPr>
          <w:rFonts w:ascii="Arial" w:cs="Arial" w:eastAsia="Arial" w:hAnsi="Arial"/>
          <w:sz w:val="16"/>
          <w:szCs w:val="16"/>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62"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07" w:name="page108"/>
    <w:bookmarkEnd w:id="107"/>
    <w:p>
      <w:pPr>
        <w:ind w:right="760"/>
        <w:spacing w:after="0" w:line="342" w:lineRule="auto"/>
        <w:rPr>
          <w:sz w:val="20"/>
          <w:szCs w:val="20"/>
          <w:color w:val="auto"/>
        </w:rPr>
      </w:pPr>
      <w:r>
        <w:rPr>
          <w:rFonts w:ascii="Arial" w:cs="Arial" w:eastAsia="Arial" w:hAnsi="Arial"/>
          <w:sz w:val="16"/>
          <w:szCs w:val="16"/>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16"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79"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60" w:lineRule="exact"/>
        <w:rPr>
          <w:sz w:val="20"/>
          <w:szCs w:val="20"/>
          <w:color w:val="auto"/>
        </w:rPr>
      </w:pPr>
    </w:p>
    <w:p>
      <w:pPr>
        <w:ind w:right="60" w:firstLine="589"/>
        <w:spacing w:after="0" w:line="273"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the Nasdaq Global Market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w:t>
      </w:r>
    </w:p>
    <w:p>
      <w:pPr>
        <w:spacing w:after="0" w:line="8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8" w:name="page109"/>
    <w:bookmarkEnd w:id="108"/>
    <w:p>
      <w:pPr>
        <w:ind w:right="540"/>
        <w:spacing w:after="0" w:line="342" w:lineRule="auto"/>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16"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70"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reporting on our assessment of the effectiveness of our internal control over financial reporting needs to include disclosure of any material weaknesses identified in our internal control over financial reporting, as well as a statement that our independent registered public accounting firm has audited the effectiveness of our internal control over financial reporting. Because we are no longer an emerging growth company as of November 30, 2021, our independent registered public accounting firm is required to annually audit the effectiveness of our internal control over financial reporting commencing with the year ended November 30, 2021, which has, and will continue to, require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7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As discussed in Item 9A of this Annual Report on Form 10-K, in the course of preparing our financial statements, we identified material weaknesses in our internal control over financial reporting related to controls over segregation of duties in our journal entry and account reconciliation processes, and certain information technology general controls. As a result of the identified material weaknesses, our management concluded that our internal control over financial reporting was not effective as of November 30, 2021.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in Item 9A of this Annual Report on Form 10-K did not result in any misstatement of our financial statements. We have designed and have begun implementing a remediation plan for these material weaknesses. However, our remediation efforts may be inadequate, or we may in the future discover material weaknesses in other areas of our internal control over financial reporting that require remediation.</w:t>
      </w:r>
    </w:p>
    <w:p>
      <w:pPr>
        <w:spacing w:after="0" w:line="73" w:lineRule="exact"/>
        <w:rPr>
          <w:sz w:val="20"/>
          <w:szCs w:val="20"/>
          <w:color w:val="auto"/>
        </w:rPr>
      </w:pPr>
    </w:p>
    <w:p>
      <w:pPr>
        <w:ind w:right="220" w:firstLine="589"/>
        <w:spacing w:after="0" w:line="271" w:lineRule="auto"/>
        <w:rPr>
          <w:sz w:val="20"/>
          <w:szCs w:val="20"/>
          <w:color w:val="auto"/>
        </w:rPr>
      </w:pPr>
      <w:r>
        <w:rPr>
          <w:rFonts w:ascii="Arial" w:cs="Arial" w:eastAsia="Arial" w:hAnsi="Arial"/>
          <w:sz w:val="17"/>
          <w:szCs w:val="17"/>
          <w:color w:val="auto"/>
        </w:rPr>
        <w:t>We cannot assure you that the measures we have taken to date, and actions we may take in the future, will be sufficient to remediate the control deficiencies that led to the material weaknesses in our internal control over financial reporting or that they will prevent or avoid potential future material weaknesses. 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 and Facilities</w:t>
      </w:r>
    </w:p>
    <w:p>
      <w:pPr>
        <w:spacing w:after="0" w:line="121" w:lineRule="exact"/>
        <w:rPr>
          <w:sz w:val="20"/>
          <w:szCs w:val="20"/>
          <w:color w:val="auto"/>
        </w:rPr>
      </w:pPr>
    </w:p>
    <w:p>
      <w:pPr>
        <w:jc w:val="both"/>
        <w:ind w:right="140" w:firstLine="589"/>
        <w:spacing w:after="0" w:line="257" w:lineRule="auto"/>
        <w:rPr>
          <w:sz w:val="20"/>
          <w:szCs w:val="20"/>
          <w:color w:val="auto"/>
        </w:rPr>
      </w:pPr>
      <w:r>
        <w:rPr>
          <w:rFonts w:ascii="Arial" w:cs="Arial" w:eastAsia="Arial" w:hAnsi="Arial"/>
          <w:sz w:val="18"/>
          <w:szCs w:val="18"/>
          <w:color w:val="auto"/>
        </w:rPr>
        <w:t>Our principal executive office is located in San Francisco, California, where we lease a total of 57,902 square feet of office and laboratory space that we use for our administrative, research and development and other activities. The lease expires in April 2025. Additionally, we have a sublease for a total of 2,500 square feet of laboratory space in Pittsburgh, Pennsylvania that expires in May 2022. In July 2021, we entered into a new lease for a total of 19,320 square feet of office and laboratory space in San Francisco, California that expires in June 2024. We believe that our existing facilities are suitable and adequate for our current requirements and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consolidated financial statements. Regardless of outcome, litigation can have an adverse impact on us due to defense and settlement costs, diversion of management resources, negative publicity and reputational harm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1" w:name="page112"/>
    <w:bookmarkEnd w:id="111"/>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 for Common Stock</w:t>
      </w:r>
    </w:p>
    <w:p>
      <w:pPr>
        <w:ind w:right="260" w:firstLine="589"/>
        <w:spacing w:after="0" w:line="277" w:lineRule="auto"/>
        <w:rPr>
          <w:sz w:val="20"/>
          <w:szCs w:val="20"/>
          <w:color w:val="auto"/>
        </w:rPr>
      </w:pPr>
      <w:r>
        <w:rPr>
          <w:rFonts w:ascii="Arial" w:cs="Arial" w:eastAsia="Arial" w:hAnsi="Arial"/>
          <w:sz w:val="18"/>
          <w:szCs w:val="18"/>
          <w:color w:val="auto"/>
        </w:rPr>
        <w:t>Our common stock has been listed on the Nasdaq Global Market under the symbol “NRIX” since July 24, 2020. Prior to that date, there was no public trading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right="200" w:firstLine="589"/>
        <w:spacing w:after="0" w:line="311" w:lineRule="auto"/>
        <w:rPr>
          <w:sz w:val="20"/>
          <w:szCs w:val="20"/>
          <w:color w:val="auto"/>
        </w:rPr>
      </w:pPr>
      <w:r>
        <w:rPr>
          <w:rFonts w:ascii="Arial" w:cs="Arial" w:eastAsia="Arial" w:hAnsi="Arial"/>
          <w:sz w:val="16"/>
          <w:szCs w:val="16"/>
          <w:color w:val="auto"/>
        </w:rPr>
        <w:t>As of close of business on January 21, 2022, there were 21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finance the growth and development of our business, and we do not anticipate paying any cash dividends in the foreseeable future. Any future determination regarding the declaration and payment of dividends will fall within the discretion of our Board of Directors, and will depend on various factors, including our operating results, financial condition, and capital requirements, restrictions that may be imposed by applicable law, and other factors deemed relevant by our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The following performance graph and related information shall not be deemed “filed” for purposes of Section 18 of the Exchange Act or incorporated by reference into any other filings under the Exchange Act or the Securities Act, except as shall be expressly set forth by specific reference in such filing.</w:t>
      </w:r>
    </w:p>
    <w:p>
      <w:pPr>
        <w:spacing w:after="0" w:line="76"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The graph below compares the cumulative total stockholder return on $100 invested in our common stock with the cumulative total return of $100 invested in the Nasdaq Composite Index and the Nasdaq Biotechnology Index from the close of market on July 24, 2020, which was our initial trading day, through November 30, 2021, assuming the reinvestment of dividends, if any.</w:t>
      </w:r>
    </w:p>
    <w:p>
      <w:pPr>
        <w:spacing w:after="0" w:line="76"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The comparisons shown in the graph below are based upon historical data and are not necessarily indicative of, nor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48895</wp:posOffset>
            </wp:positionV>
            <wp:extent cx="3960495" cy="23914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6049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$100 investment in stock or index</w:t>
            </w:r>
          </w:p>
        </w:tc>
        <w:tc>
          <w:tcPr>
            <w:tcW w:w="1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7/24/2020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8/31/2020</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11/30/2020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2/28/2021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5/31/2021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8/31/2021</w:t>
            </w:r>
          </w:p>
        </w:tc>
        <w:tc>
          <w:tcPr>
            <w:tcW w:w="12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11/30/2021</w:t>
            </w:r>
          </w:p>
        </w:tc>
        <w:tc>
          <w:tcPr>
            <w:tcW w:w="100" w:type="dxa"/>
            <w:vAlign w:val="bottom"/>
          </w:tcPr>
          <w:p>
            <w:pPr>
              <w:spacing w:after="0"/>
              <w:rPr>
                <w:sz w:val="20"/>
                <w:szCs w:val="20"/>
                <w:color w:val="auto"/>
              </w:rPr>
            </w:pPr>
          </w:p>
        </w:tc>
      </w:tr>
      <w:tr>
        <w:trPr>
          <w:trHeight w:val="223"/>
        </w:trPr>
        <w:tc>
          <w:tcPr>
            <w:tcW w:w="2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Nurix Therapeutics, Inc.</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146.76</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169.33</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920" w:type="dxa"/>
            <w:vAlign w:val="bottom"/>
            <w:gridSpan w:val="2"/>
          </w:tcPr>
          <w:p>
            <w:pPr>
              <w:spacing w:after="0"/>
              <w:rPr>
                <w:sz w:val="20"/>
                <w:szCs w:val="20"/>
                <w:color w:val="auto"/>
              </w:rPr>
            </w:pPr>
            <w:r>
              <w:rPr>
                <w:rFonts w:ascii="Arial" w:cs="Arial" w:eastAsia="Arial" w:hAnsi="Arial"/>
                <w:sz w:val="18"/>
                <w:szCs w:val="18"/>
                <w:color w:val="auto"/>
              </w:rPr>
              <w:t>NASDAQ Composite Index</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113.76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127.90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133.54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148.44</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151.38</w:t>
            </w:r>
          </w:p>
        </w:tc>
        <w:tc>
          <w:tcPr>
            <w:tcW w:w="100" w:type="dxa"/>
            <w:vAlign w:val="bottom"/>
          </w:tcPr>
          <w:p>
            <w:pPr>
              <w:spacing w:after="0"/>
              <w:rPr>
                <w:sz w:val="19"/>
                <w:szCs w:val="19"/>
                <w:color w:val="auto"/>
              </w:rPr>
            </w:pPr>
          </w:p>
        </w:tc>
      </w:tr>
      <w:tr>
        <w:trPr>
          <w:trHeight w:val="229"/>
        </w:trPr>
        <w:tc>
          <w:tcPr>
            <w:tcW w:w="2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NASDAQ Biotechnology Index</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125.66</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112.76</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jc w:val="both"/>
        <w:ind w:right="80" w:firstLine="777"/>
        <w:spacing w:after="0" w:line="263" w:lineRule="auto"/>
        <w:rPr>
          <w:sz w:val="20"/>
          <w:szCs w:val="20"/>
          <w:color w:val="auto"/>
        </w:rPr>
      </w:pPr>
      <w:r>
        <w:rPr>
          <w:rFonts w:ascii="Arial" w:cs="Arial" w:eastAsia="Arial" w:hAnsi="Arial"/>
          <w:sz w:val="18"/>
          <w:szCs w:val="18"/>
          <w:color w:val="auto"/>
        </w:rPr>
        <w:t>On July 23, 2020, our registration statement on Form S-1, as amended (File No. 333-239651), was declared effective by the SEC in connection with the initial public offering (IPO) of our common stock. There has been no material change in the planned use of proceeds from our IPO as described in the final prospectus filed with the SEC pursuant to Rule 424(b)(4) under the Securities Act on July 24,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Information regarding our equity compensation plans and the securities authorized for issuance thereunder is set forth in Part III, Item 12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Issuers and Affiliated Purchasers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89"/>
        <w:spacing w:after="0" w:line="219" w:lineRule="exact"/>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appearing elsewhere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89"/>
        <w:spacing w:after="0" w:line="217" w:lineRule="exact"/>
        <w:rPr>
          <w:sz w:val="20"/>
          <w:szCs w:val="20"/>
          <w:color w:val="auto"/>
        </w:rPr>
      </w:pPr>
      <w:r>
        <w:rPr>
          <w:rFonts w:ascii="Arial" w:cs="Arial" w:eastAsia="Arial" w:hAnsi="Arial"/>
          <w:sz w:val="16"/>
          <w:szCs w:val="16"/>
          <w:color w:val="auto"/>
        </w:rPr>
        <w:t>We are a clinical stage biopharmaceutical company focused on the discovery, development and commercialization of small molecule therapies designed to modulate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Our drug discovery approach is to either harness or inhibit the natural function of E3 ligases within the ubiquitin-proteasome system to selectively decrease or increase cellular protein levels. Our wholly owned pipeline comprises four clinical stage drug candidates including targeted protein degraders of Bruton’s tyrosine kinase (BTK), a B-cell signaling protein, and inhibitors of Casitas B-lineage lymphoma proto-oncogene B (CBL-B), an E3 ligase that regulates T-cell activation. Our lead drug candidate from our protein degradation portfolio, NX-2127, is an orally bioavailable BTK degrader for the treatment of relapsed or refractory B-cell malignancies. We are currently enrolling patients in the Phase 1a portion of a Phase 1a/1b dose-escalation and cohort expansion study in patients with relapsed or refractory B-cell malignancies. Our second drug candidate from our protein degradation portfolio, NX-5948, is also an orally bioavailable BTK degrader for the treatment of relapsed or refractory B-cell malignancies and potentially autoimmune diseases. We anticipate enrolling our first patient in the first half of 2022 in the Phase 1a portion of a Phase 1a/1b dose-escalation and cohort expansion study in patients with relapsed or refractory B-cell malignancies. Our lead drug candidate from our E3 ligase inhibitor portfolio, NX-1607, is an orally bioavailable CBL-B inhibitor for immuno-oncology indications. We are currently enrolling patients in the Phase 1a portion of a Phase 1a/1b dose-escalation and cohort expansion study in patients with solid tumors and lymphomas. We are also advancing the development of a CBL-B inhibitor, NX-0255, for ex vivo use to enhance adoptive T-cell therapy. We are currently recruiting patients in a Phase 1 clinical trial for our first cell therapy candidate, DeTIL</w:t>
      </w:r>
      <w:r>
        <w:rPr>
          <w:rFonts w:ascii="MS PGothic" w:cs="MS PGothic" w:eastAsia="MS PGothic" w:hAnsi="MS PGothic"/>
          <w:sz w:val="16"/>
          <w:szCs w:val="16"/>
          <w:color w:val="auto"/>
        </w:rPr>
        <w:t>‑</w:t>
      </w:r>
      <w:r>
        <w:rPr>
          <w:rFonts w:ascii="Arial" w:cs="Arial" w:eastAsia="Arial" w:hAnsi="Arial"/>
          <w:sz w:val="16"/>
          <w:szCs w:val="16"/>
          <w:color w:val="auto"/>
        </w:rPr>
        <w:t>0255, in patients with gynecologic cancers including ovarian, endometrial, and cervical cancer. Beyond these clinical candidates, we are advancing additional wholly owned, preclinical programs that may expand our therapeutic areas beyond oncology and autoimmune disease to viral diseases, including COVID-19. Our therapeutic areas may be further expanded through our established strategic collaborations with Sanofi and Gilead.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Collaboration and License Agreement</w:t>
      </w:r>
    </w:p>
    <w:p>
      <w:pPr>
        <w:spacing w:after="0" w:line="117" w:lineRule="exact"/>
        <w:rPr>
          <w:sz w:val="20"/>
          <w:szCs w:val="20"/>
          <w:color w:val="auto"/>
        </w:rPr>
      </w:pPr>
    </w:p>
    <w:p>
      <w:pPr>
        <w:ind w:right="40" w:firstLine="594"/>
        <w:spacing w:after="0" w:line="272" w:lineRule="auto"/>
        <w:rPr>
          <w:sz w:val="20"/>
          <w:szCs w:val="20"/>
          <w:color w:val="auto"/>
        </w:rPr>
      </w:pPr>
      <w:r>
        <w:rPr>
          <w:rFonts w:ascii="Arial" w:cs="Arial" w:eastAsia="Arial" w:hAnsi="Arial"/>
          <w:sz w:val="17"/>
          <w:szCs w:val="17"/>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$22.0 million to exercise its option to expand the number of targets in the collaboration agreement from three to a total of five targets. Over time and subject to certain limitations, Sanofi may elect to replace the drug targets with other reserved targets. We also entered into the First Sanofi Amendment to the collaboration agreement with Sanofi in January 2021 to modify the research term on all targets.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4" w:name="page115"/>
    <w:bookmarkEnd w:id="114"/>
    <w:p>
      <w:pPr>
        <w:ind w:right="20" w:firstLine="594"/>
        <w:spacing w:after="0" w:line="257" w:lineRule="auto"/>
        <w:rPr>
          <w:sz w:val="20"/>
          <w:szCs w:val="20"/>
          <w:color w:val="auto"/>
        </w:rPr>
      </w:pPr>
      <w:r>
        <w:rPr>
          <w:rFonts w:ascii="Arial" w:cs="Arial" w:eastAsia="Arial" w:hAnsi="Arial"/>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100" w:firstLine="594"/>
        <w:spacing w:after="0" w:line="254" w:lineRule="auto"/>
        <w:rPr>
          <w:sz w:val="20"/>
          <w:szCs w:val="20"/>
          <w:color w:val="auto"/>
        </w:rPr>
      </w:pPr>
      <w:r>
        <w:rPr>
          <w:rFonts w:ascii="Arial" w:cs="Arial" w:eastAsia="Arial" w:hAnsi="Arial"/>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chimeric targeting molecules (CTMs)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and the parties will split U.S. profits and losses evenly, and we will be eligible to receive royalties on ex-U.S. net sales and reduced milestone payments on such optioned products.</w:t>
      </w:r>
    </w:p>
    <w:p>
      <w:pPr>
        <w:spacing w:after="0" w:line="84"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From the signing of the Sanofi Agreement to November 30, 2021, we received a payment of $1.0 million for research milestones. As of November 30, 2021, we are eligible to receive up to approximately $2.5 billion in total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69"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We recognized collaboration revenue from the Sanofi Agreement of $13.2 million and $5.7 million during the year ended November 30, 2021 and 2020. We recognized no collaboration revenue from the Sanofi Agreement during the year ended November 30, 2019. As of November 30, 2021, there was $59.2 million of deferred revenue related to payments received by us under the Sanofi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 Collaboration, Option and License Agreement</w:t>
      </w:r>
    </w:p>
    <w:p>
      <w:pPr>
        <w:spacing w:after="0" w:line="117"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w:t>
      </w:r>
    </w:p>
    <w:p>
      <w:pPr>
        <w:spacing w:after="0" w:line="5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0"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ex-U.S. net sales and reduced milestone payments.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5" w:name="page116"/>
    <w:bookmarkEnd w:id="115"/>
    <w:p>
      <w:pPr>
        <w:ind w:right="20" w:firstLine="589"/>
        <w:spacing w:after="0" w:line="271" w:lineRule="auto"/>
        <w:rPr>
          <w:sz w:val="20"/>
          <w:szCs w:val="20"/>
          <w:color w:val="auto"/>
        </w:rPr>
      </w:pPr>
      <w:r>
        <w:rPr>
          <w:rFonts w:ascii="Arial" w:cs="Arial" w:eastAsia="Arial" w:hAnsi="Arial"/>
          <w:sz w:val="17"/>
          <w:szCs w:val="17"/>
          <w:color w:val="auto"/>
        </w:rPr>
        <w:t>Upon signing the Gilead Agreement, Gilead paid us an upfront payment of $45.0 million, plus $3.0 million in additional fees. From the signing of the Gilead Agreement to November 30, 2021, we received payments of $18.5 million for research milestones and additional payments, including $5.0 million, which was received in the fourth quarter of 2021. Additionally, in November 2021, we recognized a research milestone and received a payment of $6.0 million in the first quarter of 2022. As of November 30, 2021,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70"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recognized collaboration revenue from the Gilead Agreement of $16.6 million, $12.1 million and $2.7 million during the years ended November 30, 2021, 2020 and 2019, respectively. As of November 30, 2021, there was $41.1 million of deferred revenue related to payments received by us under the Gilead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Research and Collaboration Agreement</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In September 2015, we entered into a strategic collaboration with Celgene Corporation (the Celgene Agreement and Celgene, respectively), with an initial research term of four years pursuant to which we received an upfront payment of $150.0 million. In addition, in September 2015, Celgene purchased 1,622,222 shares of our Series C redeemable convertible preferred stock at a price of $10.50 per share, resulting in net proceeds of $17.0 million. In January 2019, Celgene and Bristol-Myers Squibb Company (BMS) entered into a definitive merger agreement pursuant to which Celgene agreed to be acquired by BMS. Based on our request for notification of the future disposition of our agreement, in June 2019, Celgene notified us that it was terminating the Celgene Agreement. Upon termination of the Celgene Agreement in June 2019, any rights that Celgene had under the agreement reverted to us and no termination payments were due or payable.</w:t>
      </w:r>
    </w:p>
    <w:p>
      <w:pPr>
        <w:spacing w:after="0" w:line="69"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We recognized no collaboration revenue from the Celgene Agreement during the years ended November 30, 2021 and 2020. During the year ended November 30, 2019, we recognized $28.4 million in collaboration revenue under the Celgene Agreement. As of November 30, 2021, there was no deferred revenue related to payments received by us under the Celgene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and the issuance and sale of common and redeemable convertible preferred stock. We do not expect to generate product revenue unless and until we successfully develop and obtain approval for the commercialization of a drug candidate, and we cannot assure you that we will ever generate significant revenue or profits.</w:t>
      </w:r>
    </w:p>
    <w:p>
      <w:pPr>
        <w:spacing w:after="0" w:line="84"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Since inception, we have generally incurred significant losses and negative cash flows from operations. We incurred net losses of $117.2 million, $43.2 million and $21.7 million during the years ended November 30, 2021, 2020 and 2019, respectively. As of November 30, 2021, we had an accumulated deficit of $220.9 million. These losses have resulted primarily from costs incurred in connection with research and development activities and general and administrative costs associated with our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6" w:name="page117"/>
    <w:bookmarkEnd w:id="116"/>
    <w:p>
      <w:pPr>
        <w:ind w:right="40" w:firstLine="589"/>
        <w:spacing w:after="0" w:line="270" w:lineRule="auto"/>
        <w:rPr>
          <w:sz w:val="20"/>
          <w:szCs w:val="20"/>
          <w:color w:val="auto"/>
        </w:rPr>
      </w:pPr>
      <w:r>
        <w:rPr>
          <w:rFonts w:ascii="Arial" w:cs="Arial" w:eastAsia="Arial" w:hAnsi="Arial"/>
          <w:sz w:val="17"/>
          <w:szCs w:val="17"/>
          <w:color w:val="auto"/>
        </w:rPr>
        <w:t>We do not expect to generate any revenue from commercial product sales unless and until we successfully complete development and obtain regulatory approval for one or more of our drug candidates, which we expect will take a number of years. We expect our expenses will increase substantially as we advance our drug candidates through preclinical and into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73"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9" w:lineRule="exact"/>
        <w:rPr>
          <w:sz w:val="20"/>
          <w:szCs w:val="20"/>
          <w:color w:val="auto"/>
        </w:rPr>
      </w:pPr>
    </w:p>
    <w:p>
      <w:pPr>
        <w:ind w:right="20" w:firstLine="589"/>
        <w:spacing w:after="0" w:line="268" w:lineRule="auto"/>
        <w:rPr>
          <w:sz w:val="20"/>
          <w:szCs w:val="20"/>
          <w:color w:val="auto"/>
        </w:rPr>
      </w:pPr>
      <w:r>
        <w:rPr>
          <w:rFonts w:ascii="Arial" w:cs="Arial" w:eastAsia="Arial" w:hAnsi="Arial"/>
          <w:sz w:val="17"/>
          <w:szCs w:val="17"/>
          <w:color w:val="auto"/>
        </w:rPr>
        <w:t>As of November 30, 2021, we had $432.9 million in cash, cash equivalents and investments. 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$150.2 million, after deducting underwriting discounts and commissions of $9.6 million and expenses of $0.6 million. We expect that our existing cash, cash equivalents and investments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78" w:lineRule="exact"/>
        <w:rPr>
          <w:sz w:val="20"/>
          <w:szCs w:val="20"/>
          <w:color w:val="auto"/>
        </w:rPr>
      </w:pPr>
    </w:p>
    <w:p>
      <w:pPr>
        <w:ind w:right="100" w:firstLine="589"/>
        <w:spacing w:after="0" w:line="254" w:lineRule="auto"/>
        <w:rPr>
          <w:sz w:val="20"/>
          <w:szCs w:val="20"/>
          <w:color w:val="auto"/>
        </w:rPr>
      </w:pPr>
      <w:r>
        <w:rPr>
          <w:rFonts w:ascii="Arial" w:cs="Arial" w:eastAsia="Arial" w:hAnsi="Arial"/>
          <w:sz w:val="18"/>
          <w:szCs w:val="18"/>
          <w:color w:val="auto"/>
        </w:rPr>
        <w:t>We are subject to risks and uncertainties as a result of the current COVID-19 pandemic. The COVID-19 pandemic, including the resurgence of cases relating to the spread of the Delta and Omicron variants,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COVID-19 pandemic to our current operations has been minimal as we have only recently commenced clinical development of our four lead drug candidates, the extent to which the COVID-19 pandemic will impact our business, financial condition, liquidity and results of operations in the future will depend on future developments that are highly uncertain and cannot be predicted at this time.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We have no products approved for commercial sale and to date have not generated any revenue and do not expect to generate any revenue from the sale of products in the near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7" w:name="page118"/>
    <w:bookmarkEnd w:id="117"/>
    <w:p>
      <w:pPr>
        <w:ind w:firstLine="589"/>
        <w:spacing w:after="0" w:line="268" w:lineRule="auto"/>
        <w:rPr>
          <w:sz w:val="20"/>
          <w:szCs w:val="20"/>
          <w:color w:val="auto"/>
        </w:rPr>
      </w:pPr>
      <w:r>
        <w:rPr>
          <w:rFonts w:ascii="Arial" w:cs="Arial" w:eastAsia="Arial" w:hAnsi="Arial"/>
          <w:sz w:val="17"/>
          <w:szCs w:val="17"/>
          <w:color w:val="auto"/>
        </w:rPr>
        <w:t xml:space="preserve">Our revenue to date has been generated from payments received pursuant to collaboration and license arrangements with strategic partners. Collaboration revenue consists of revenue received from upfront, milestone and contingent payments received from our collaborators. Prior to December 1, 2019, we recognized revenue from upfront payments over the term of our estimated period of performance using either a straight-line or input/proportional performance approach, depending on the agreement, in accordance with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Revenue related to the upfront payment received pursuant to the Celgene Agreement was recognized using a straight-line basis. Effective December 1, 2019, we began recognizing revenue from upfront payments over the contract term using a cost-based input method under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Revenue related to the upfront payments received pursuant to the Gilead Agreement was recognized using the input/proportional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prior to December 1, 2019 and the cost-based input method beginning December 1, 2019. There would have been no difference between the revenue recognized under Topic 606 and the revenue recognized under ASC 605 for the Gilead Agreement. Revenue related to the upfront payment received pursuant to the Sanofi Agreement was recognized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78"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76" w:lineRule="exact"/>
        <w:rPr>
          <w:sz w:val="20"/>
          <w:szCs w:val="20"/>
          <w:color w:val="auto"/>
        </w:rPr>
      </w:pPr>
    </w:p>
    <w:p>
      <w:pPr>
        <w:ind w:right="280" w:firstLine="589"/>
        <w:spacing w:after="0" w:line="263" w:lineRule="auto"/>
        <w:rPr>
          <w:sz w:val="20"/>
          <w:szCs w:val="20"/>
          <w:color w:val="auto"/>
        </w:rPr>
      </w:pPr>
      <w:r>
        <w:rPr>
          <w:rFonts w:ascii="Arial" w:cs="Arial" w:eastAsia="Arial" w:hAnsi="Arial"/>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Internal research and development costs include:</w:t>
      </w:r>
    </w:p>
    <w:p>
      <w:pPr>
        <w:spacing w:after="0" w:line="117" w:lineRule="exact"/>
        <w:rPr>
          <w:sz w:val="20"/>
          <w:szCs w:val="20"/>
          <w:color w:val="auto"/>
        </w:rPr>
      </w:pPr>
    </w:p>
    <w:p>
      <w:pPr>
        <w:ind w:left="1160" w:right="460" w:hanging="572"/>
        <w:spacing w:after="0" w:line="27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payroll and personnel expenses, including benefits, stock-based compensation and travel expenses, for our research and development functions;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depreciation of research and development equipment, allocated overhead and facilities-related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External research and development expenses consist primarily of costs incurred for the development of our drug candidates and may include:</w:t>
      </w:r>
    </w:p>
    <w:p>
      <w:pPr>
        <w:spacing w:after="0" w:line="140" w:lineRule="exact"/>
        <w:rPr>
          <w:sz w:val="20"/>
          <w:szCs w:val="20"/>
          <w:color w:val="auto"/>
        </w:rPr>
      </w:pPr>
    </w:p>
    <w:p>
      <w:pPr>
        <w:ind w:left="1160" w:right="2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paid to third parties such as consultants, contractors and contract research organizations to conduct our discovery programs, preclinical studies and clinical trials;</w:t>
      </w:r>
    </w:p>
    <w:p>
      <w:pPr>
        <w:spacing w:after="0" w:line="62" w:lineRule="exact"/>
        <w:rPr>
          <w:rFonts w:ascii="Arial" w:cs="Arial" w:eastAsia="Arial" w:hAnsi="Arial"/>
          <w:sz w:val="18"/>
          <w:szCs w:val="18"/>
          <w:color w:val="auto"/>
        </w:rPr>
      </w:pPr>
    </w:p>
    <w:p>
      <w:pPr>
        <w:ind w:left="1160" w:right="380" w:hanging="572"/>
        <w:spacing w:after="0" w:line="277"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to acquire, develop and manufacture supplies for preclinical studies and clinical trials, including fees paid to third parties such as CMOs; and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expenses related to laboratory supplies and services.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8" w:name="page119"/>
    <w:bookmarkEnd w:id="118"/>
    <w:p>
      <w:pPr>
        <w:ind w:right="100" w:firstLine="589"/>
        <w:spacing w:after="0" w:line="270"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to advance our drug candidates into and through our preclinical studies and clinical trials, pursue regulatory approval of our drug candidates and expand our drug candidate pipeline. The process of conducting the necessary preclinical and clinical research to obtain regulatory approval is costly and time-consuming. To the extent that our drug candidates advance and continue to advance into clinical trials, our expenses will increase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89"/>
        <w:spacing w:after="0" w:line="273" w:lineRule="auto"/>
        <w:rPr>
          <w:sz w:val="20"/>
          <w:szCs w:val="20"/>
          <w:color w:val="auto"/>
        </w:rPr>
      </w:pPr>
      <w:r>
        <w:rPr>
          <w:rFonts w:ascii="Arial" w:cs="Arial" w:eastAsia="Arial" w:hAnsi="Arial"/>
          <w:sz w:val="17"/>
          <w:szCs w:val="17"/>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substantially for the foreseeable future as we continue to build our infrastructure, increase our headcount and operate as a public company. This may include expenses related to compliance with the rules and regulations of the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jc w:val="both"/>
        <w:ind w:right="320" w:firstLine="589"/>
        <w:spacing w:after="0" w:line="263" w:lineRule="auto"/>
        <w:rPr>
          <w:sz w:val="20"/>
          <w:szCs w:val="20"/>
          <w:color w:val="auto"/>
        </w:rPr>
      </w:pPr>
      <w:r>
        <w:rPr>
          <w:rFonts w:ascii="Arial" w:cs="Arial" w:eastAsia="Arial" w:hAnsi="Arial"/>
          <w:sz w:val="18"/>
          <w:szCs w:val="18"/>
          <w:color w:val="auto"/>
        </w:rPr>
        <w:t>Interest and other income, net primarily consists of interest earned on our cash, cash equivalents and investments. We expect interest income to vary each reporting period depending on our average bank deposit, money market fund, and investment balances during the period and market interest rates.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The provision for income taxes primarily consists of reserves for unrecognized tax benefits and state taxes. The benefit for income taxes consists of a discrete tax benefit from an adjustment to the net operating loss (NOL) deferred tax asset and valuation allowance. We have generated NOLs since inception and have established a full valuation allowance against our deferred tax assets due to the uncertainty surrounding the realization of such assets.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589"/>
        <w:spacing w:after="0" w:line="342" w:lineRule="auto"/>
        <w:rPr>
          <w:sz w:val="20"/>
          <w:szCs w:val="20"/>
          <w:color w:val="auto"/>
        </w:rPr>
      </w:pPr>
      <w:r>
        <w:rPr>
          <w:rFonts w:ascii="Arial" w:cs="Arial" w:eastAsia="Arial" w:hAnsi="Arial"/>
          <w:sz w:val="16"/>
          <w:szCs w:val="16"/>
          <w:color w:val="auto"/>
        </w:rPr>
        <w:t xml:space="preserve">Prior to December 1, 2019, we recognized revenue in accordance with the Financial Accounting Standards Board’s (FASB)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Accordingly, revenue is recognized for each unit of accounting when all of the following criteria are met:</w:t>
      </w:r>
    </w:p>
    <w:p>
      <w:pPr>
        <w:spacing w:after="0" w:line="16" w:lineRule="exact"/>
        <w:rPr>
          <w:sz w:val="20"/>
          <w:szCs w:val="20"/>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color w:val="auto"/>
        </w:rPr>
        <w:t>We evaluate multiple element arrangements to determine if each deliverable represents a separate unit of accounting based on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criteria:</w:t>
      </w:r>
    </w:p>
    <w:p>
      <w:pPr>
        <w:spacing w:after="0" w:line="103" w:lineRule="exact"/>
        <w:rPr>
          <w:sz w:val="20"/>
          <w:szCs w:val="20"/>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Delivered item or items have value to the customer on a standalone basis, and</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 or items, delivery or performance of the undelivered item or items is considered probable and substantially in our control.</w:t>
      </w:r>
    </w:p>
    <w:p>
      <w:pPr>
        <w:spacing w:after="0" w:line="62"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The arrangement’s consideration that is fixed or determinable is then allocated to each separate unit of accounting based on the relative selling price methodology in accordance with the selling price hierarchy, which includes vendor-specific objective evidence (VSOE) of selling price, if available, or third-party evidence of selling price if VSOE is not available, or the best estimate of selling price, if neither VSOE nor third-party evidence is available. The provisions of ASC 605 are then applied to each unit of accounting to determine the appropriate revenue recognition. In the event that a deliverable of a multiple element arrangement does not represent a separate unit of accounting, primarily because a deliverable does not provide value on a standalone basis, we recognize revenue from the combined unit of accounting using the input/proportional performance approach as research is delivered or on a straight-line basis over the estimated period of performance when there is no discernable pattern of performance.</w:t>
      </w:r>
    </w:p>
    <w:p>
      <w:pPr>
        <w:spacing w:after="0" w:line="58"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 xml:space="preserve">We evaluate potential milestone payments associated with research and development arrangements in accordance with ASC 605-28, </w:t>
      </w:r>
      <w:r>
        <w:rPr>
          <w:rFonts w:ascii="Arial" w:cs="Arial" w:eastAsia="Arial" w:hAnsi="Arial"/>
          <w:sz w:val="17"/>
          <w:szCs w:val="17"/>
          <w:i w:val="1"/>
          <w:iCs w:val="1"/>
          <w:color w:val="auto"/>
        </w:rPr>
        <w:t>Milestone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w:t>
      </w:r>
      <w:r>
        <w:rPr>
          <w:rFonts w:ascii="Arial" w:cs="Arial" w:eastAsia="Arial" w:hAnsi="Arial"/>
          <w:sz w:val="17"/>
          <w:szCs w:val="17"/>
          <w:color w:val="auto"/>
        </w:rPr>
        <w:t>Under the milestone method, we may recognize revenue contingent upon the achievement of a milestone in its entirety in the period in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is achieved, only if the milestone meets all the criteria within the guidance to be considered a substantive milestone. We evaluate each contingent payment on an individual basis to determine whether they are considered substantive milestones, specifically reviewing factors such as the degree of certainty in achieving the milestone, the research and development risk and other risks that must be overcome to achieve the milestone, as well as the level of effort and investment required and whether the milestone consideration is reasonable relative to all deliverables and payment terms in the arrangement. This evaluation includes an assessment of whether (a) the consideration is commensurate with either (1) 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Revenues from milestones, if they are nonrefundable and deemed substantive, are recognized upon achievement of the milestones.</w:t>
      </w:r>
    </w:p>
    <w:p>
      <w:pPr>
        <w:spacing w:after="0" w:line="74" w:lineRule="exact"/>
        <w:rPr>
          <w:sz w:val="20"/>
          <w:szCs w:val="20"/>
          <w:color w:val="auto"/>
        </w:rPr>
      </w:pPr>
    </w:p>
    <w:p>
      <w:pPr>
        <w:jc w:val="both"/>
        <w:ind w:right="180" w:firstLine="589"/>
        <w:spacing w:after="0" w:line="301" w:lineRule="auto"/>
        <w:rPr>
          <w:sz w:val="20"/>
          <w:szCs w:val="20"/>
          <w:color w:val="auto"/>
        </w:rPr>
      </w:pPr>
      <w:r>
        <w:rPr>
          <w:rFonts w:ascii="Arial" w:cs="Arial" w:eastAsia="Arial" w:hAnsi="Arial"/>
          <w:sz w:val="16"/>
          <w:szCs w:val="16"/>
          <w:color w:val="auto"/>
        </w:rPr>
        <w:t>To the extent that non-substantive milestones are achieved, and we have remaining deliverables, milestone payments are deferred and recognized as revenue over the estimated remaining performance period using the appropriate measure of progress as determined for each agreement. We recognize revenue associated with the non-substantive milestones upon achievement of the milestone if we have no remaining deliverables. During the year ended November 30, 2019, no milestone payments were received, no milestone revenues were recognized and no milestones were considered substantive.</w:t>
      </w:r>
    </w:p>
    <w:p>
      <w:pPr>
        <w:spacing w:after="0" w:line="49"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 xml:space="preserve">Effective December 1, 2019, we adopted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using the modified retrospective method, which was only applied to contracts that were not completed as of the adoption date. As of the adoption date, we had only one contract, a collaboration agreement with Gilead, not completed. Under Topic 606, we recognize revenue when its customer obtains control of promised goods or services, in an amount that reflects the consideration which we expect to receive in exchange for those goods or services. To determine revenue recognition for arrangements that we determine are within the scope of Topic 606, we perform the following five steps:</w:t>
      </w:r>
    </w:p>
    <w:p>
      <w:pPr>
        <w:spacing w:after="0" w:line="68" w:lineRule="exact"/>
        <w:rPr>
          <w:sz w:val="20"/>
          <w:szCs w:val="20"/>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recognize revenue when (or as) we satisfy a performance obligation.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0" w:name="page121"/>
    <w:bookmarkEnd w:id="120"/>
    <w:p>
      <w:pPr>
        <w:ind w:right="460" w:firstLine="589"/>
        <w:spacing w:after="0" w:line="263" w:lineRule="auto"/>
        <w:rPr>
          <w:sz w:val="20"/>
          <w:szCs w:val="20"/>
          <w:color w:val="auto"/>
        </w:rPr>
      </w:pPr>
      <w:r>
        <w:rPr>
          <w:rFonts w:ascii="Arial" w:cs="Arial" w:eastAsia="Arial" w:hAnsi="Arial"/>
          <w:sz w:val="18"/>
          <w:szCs w:val="18"/>
          <w:color w:val="auto"/>
        </w:rPr>
        <w:t>At contract inception, we assess the goods or services promised within each contract, whether each promised good or service is distinct, and determines those that are performance obligations. We then recognize as revenue the amount of the transaction price that is allocated to the respective performance obligation when or as the performance obligation is satisfied.</w:t>
      </w:r>
    </w:p>
    <w:p>
      <w:pPr>
        <w:spacing w:after="0" w:line="76"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We enter into collaboration agreements under which we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We assess these promises within the context of the agreements to determine the performance obligations.</w:t>
      </w:r>
    </w:p>
    <w:p>
      <w:pPr>
        <w:spacing w:after="0" w:line="49" w:lineRule="exact"/>
        <w:rPr>
          <w:sz w:val="20"/>
          <w:szCs w:val="20"/>
          <w:color w:val="auto"/>
        </w:rPr>
      </w:pPr>
    </w:p>
    <w:p>
      <w:pPr>
        <w:ind w:right="120" w:firstLine="589"/>
        <w:spacing w:after="0" w:line="289" w:lineRule="auto"/>
        <w:rPr>
          <w:sz w:val="20"/>
          <w:szCs w:val="20"/>
          <w:color w:val="auto"/>
        </w:rPr>
      </w:pPr>
      <w:r>
        <w:rPr>
          <w:rFonts w:ascii="Arial" w:cs="Arial" w:eastAsia="Arial" w:hAnsi="Arial"/>
          <w:sz w:val="16"/>
          <w:szCs w:val="16"/>
          <w:i w:val="1"/>
          <w:iCs w:val="1"/>
          <w:color w:val="auto"/>
        </w:rPr>
        <w:t>Research and collaboration licenses</w:t>
      </w:r>
      <w:r>
        <w:rPr>
          <w:rFonts w:ascii="Arial" w:cs="Arial" w:eastAsia="Arial" w:hAnsi="Arial"/>
          <w:sz w:val="16"/>
          <w:szCs w:val="16"/>
          <w:color w:val="auto"/>
        </w:rPr>
        <w:t>: If a license is determined to be distinct from the other promises identified in the arrangement, we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upfront payments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We evaluate the measure of proportional performance each reporting period and, if necessary, adjusts the measure of performance and related revenue recognition. To measure the proportional performance, we are required to make our best estimates of forecasted expenditures and development timelines, which are subject to uncertainties associated with pharmaceutical product development. Forecasted total expenditures are driven primarily by the number of full-time employees, and the number may change based on the progress of our product development and requires significant management judgement.</w:t>
      </w:r>
    </w:p>
    <w:p>
      <w:pPr>
        <w:spacing w:after="0" w:line="58" w:lineRule="exact"/>
        <w:rPr>
          <w:sz w:val="20"/>
          <w:szCs w:val="20"/>
          <w:color w:val="auto"/>
        </w:rPr>
      </w:pPr>
    </w:p>
    <w:p>
      <w:pPr>
        <w:ind w:right="220" w:firstLine="589"/>
        <w:spacing w:after="0" w:line="257"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At the inception of each arrangement that includes research, development, or regulatory milestone payments, we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milestones are considered probable of being reached and estimates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0"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i w:val="1"/>
          <w:iCs w:val="1"/>
          <w:color w:val="auto"/>
        </w:rPr>
        <w:t>Sales-based milestones and royalties</w:t>
      </w:r>
      <w:r>
        <w:rPr>
          <w:rFonts w:ascii="Arial" w:cs="Arial" w:eastAsia="Arial" w:hAnsi="Arial"/>
          <w:sz w:val="17"/>
          <w:szCs w:val="17"/>
          <w:color w:val="auto"/>
        </w:rPr>
        <w:t>: 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sales-based milestone or royalty revenue resulting from our collaboration arrangements.</w:t>
      </w:r>
    </w:p>
    <w:p>
      <w:pPr>
        <w:spacing w:after="0" w:line="63"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i w:val="1"/>
          <w:iCs w:val="1"/>
          <w:color w:val="auto"/>
        </w:rPr>
        <w:t>Customer options</w:t>
      </w:r>
      <w:r>
        <w:rPr>
          <w:rFonts w:ascii="Arial" w:cs="Arial" w:eastAsia="Arial" w:hAnsi="Arial"/>
          <w:sz w:val="16"/>
          <w:szCs w:val="16"/>
          <w:color w:val="auto"/>
        </w:rPr>
        <w:t>: Customer options, such as options granted to allow a licensee to extend a license or research term, to select additional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we allocate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57" w:lineRule="exact"/>
        <w:rPr>
          <w:sz w:val="20"/>
          <w:szCs w:val="20"/>
          <w:color w:val="auto"/>
        </w:rPr>
      </w:pPr>
    </w:p>
    <w:p>
      <w:pPr>
        <w:ind w:right="80" w:firstLine="589"/>
        <w:spacing w:after="0" w:line="301" w:lineRule="auto"/>
        <w:rPr>
          <w:sz w:val="20"/>
          <w:szCs w:val="20"/>
          <w:color w:val="auto"/>
        </w:rPr>
      </w:pPr>
      <w:r>
        <w:rPr>
          <w:rFonts w:ascii="Arial" w:cs="Arial" w:eastAsia="Arial" w:hAnsi="Arial"/>
          <w:sz w:val="16"/>
          <w:szCs w:val="16"/>
          <w:color w:val="auto"/>
        </w:rPr>
        <w:t>Deferred revenue, which is a contract liability, represents amounts received by us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revenue was derived from customers located in the United States during the years ended November 30, 2021, 2020 and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November 30, 2021,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8"/>
          </w:tcPr>
          <w:p>
            <w:pPr>
              <w:jc w:val="right"/>
              <w:spacing w:after="0"/>
              <w:rPr>
                <w:sz w:val="20"/>
                <w:szCs w:val="20"/>
                <w:color w:val="auto"/>
              </w:rPr>
            </w:pPr>
            <w:r>
              <w:rPr>
                <w:rFonts w:ascii="Arial" w:cs="Arial" w:eastAsia="Arial" w:hAnsi="Arial"/>
                <w:sz w:val="14"/>
                <w:szCs w:val="14"/>
                <w:b w:val="1"/>
                <w:bCs w:val="1"/>
                <w:color w:val="auto"/>
              </w:rPr>
              <w:t>Year ended November 30,</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2021 vs 2020</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156"/>
        </w:trPr>
        <w:tc>
          <w:tcPr>
            <w:tcW w:w="4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r>
              <w:rPr>
                <w:rFonts w:ascii="Arial" w:cs="Arial" w:eastAsia="Arial" w:hAnsi="Arial"/>
                <w:sz w:val="15"/>
                <w:szCs w:val="15"/>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(13,295)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116,434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147,636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64,833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29,452</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(117,886)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(64,983)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(22,236)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(52,903)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(42,747)</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income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(117,063)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(63,777)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(21,460)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(53,286)</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(42,317)</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(20,535)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20,666</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(100.6)%</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(20,774)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(8,692.1)%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(117,194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(43,242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(21,699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(73,952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(21,543</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Collaboration revenue for the years ended November 30, 2021, 2020 and 2019 includes related party revenue of $0, $0 and $28.4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collaboration revenue for the years ended November 30, 2021, 2020 and 2019 is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November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8"/>
              </w:rPr>
              <w:t>2021 vs 2020</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2020 vs 2019</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Celgene</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(28,420)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(100.0)%</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Gilead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9,454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Sanofi</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17,820</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(13,295</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589"/>
        <w:spacing w:after="0" w:line="301" w:lineRule="auto"/>
        <w:rPr>
          <w:sz w:val="20"/>
          <w:szCs w:val="20"/>
          <w:color w:val="auto"/>
        </w:rPr>
      </w:pPr>
      <w:r>
        <w:rPr>
          <w:rFonts w:ascii="Arial" w:cs="Arial" w:eastAsia="Arial" w:hAnsi="Arial"/>
          <w:sz w:val="16"/>
          <w:szCs w:val="16"/>
          <w:color w:val="auto"/>
        </w:rPr>
        <w:t>Our collaboration revenue increased by $11.9 million for the year ended November 30, 2021 compared with the year ended November 30, 2020. The increase was primarily due to the continued scale up of internal resources and external spending for our collaborations with Sanofi and Gilead as compared to the prior year, resulting in a higher percentage of completion in the current year. The increase was also due to partial revenue recognized during the year ended November 30, 2021 for the achievement of certain preclinical milestones under our collaborations with Gilead and Sanofi.</w:t>
      </w:r>
    </w:p>
    <w:p>
      <w:pPr>
        <w:spacing w:after="0" w:line="49"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Our collaboration revenue decreased by $13.3 million for the year ended November 30, 2020 compared with the year ended November 30, 2019. The decrease in collaboration revenue was primarily attributable to the termination of the Celgene Agreement in June 2019, offset by an increase in revenue recognized related to the Gilead Agreement and the revenue related to the Sanofi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research and development expenses for the years ended November 30, 2021, 2020 and 2019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Year ended November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1"/>
              </w:rPr>
              <w:t>2021 vs 2020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1"/>
              </w:rPr>
              <w:t>2020 vs 2019</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Compensation and related</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personnel costs</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22,218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16,372</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17,322</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78.0%</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5,846</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Supplies and contract research</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36,809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11,868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47.6%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7,845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5"/>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Preclinical activities and</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contract manufacturing</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13,838</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7,934</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3,533</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5,904</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74.4%</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4,401</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Clinical costs</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643.3%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Facility and other costs</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7,717</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8"/>
                <w:szCs w:val="18"/>
                <w:color w:val="auto"/>
              </w:rPr>
              <w:t>35.0%</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research and development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116,434</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49,940</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75.1%</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Our research and development expense increased by $49.9 million, or 75.1%, during the year ended November 30, 2021 compared with the year ended November 30, 2020. The increase was primarily related to an increase of $17.3 million in compensation and related personnel costs attributable to an increase in headcount. There was an increase of $11.9 million in supplies and contract research and $5.9 million in preclinical activities and contract manufacturing attributable to an increase in our preclinical development activities and drug discovery research and preparation for upcoming clinical programs for our lead drug candidates. There was an increase of $5.4 million in clinical costs due to ongoing clinical trial startup and patient enrollment. There was also an increase of $6.4 million in non-cash stock-based compensation expense and an increase of $3.1 million in facility and other costs primarily due to expansion of leased premises and investments in information technology.</w:t>
      </w:r>
    </w:p>
    <w:p>
      <w:pPr>
        <w:spacing w:after="0" w:line="69" w:lineRule="exact"/>
        <w:rPr>
          <w:sz w:val="20"/>
          <w:szCs w:val="20"/>
          <w:color w:val="auto"/>
        </w:rPr>
      </w:pPr>
    </w:p>
    <w:p>
      <w:pPr>
        <w:ind w:right="100" w:firstLine="589"/>
        <w:spacing w:after="0" w:line="296" w:lineRule="auto"/>
        <w:rPr>
          <w:sz w:val="20"/>
          <w:szCs w:val="20"/>
          <w:color w:val="auto"/>
        </w:rPr>
      </w:pPr>
      <w:r>
        <w:rPr>
          <w:rFonts w:ascii="Arial" w:cs="Arial" w:eastAsia="Arial" w:hAnsi="Arial"/>
          <w:sz w:val="16"/>
          <w:szCs w:val="16"/>
          <w:color w:val="auto"/>
        </w:rPr>
        <w:t>Our research and development expenses increased by $21.5 million, or 47.7%, during the year ended November 30, 2020, compared to the year ended November 30, 2019. The increase was primarily related to an increase of $7.8 million in supplies and contract research attributable to increases in our preclinical development activities and drug discovery research. There was also an increase of $5.8 million in compensation and related personnel costs attributable to an increase in headcount and an increase of $1.4 million in non-cash stock-based compensation expense. Preclinical activities and contract manufacturing costs increased by $4.4 million primarily due to preparation for upcoming clinical programs for our lead drug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Our general and administrative expenses increased by $14.9 million, or 91.3%, during the year ended November 30, 2021, compared to the year ended November 30, 2020. The increase was primarily related to an increase of $5.1 million in non-cash stock-based compensation expense and an increase of $4.6 million in compensation related expenses attributable to higher headcount. There was also an increase of $3.7 million in consultant and other professional services primarily related to becoming a public company.</w:t>
      </w:r>
    </w:p>
    <w:p>
      <w:pPr>
        <w:spacing w:after="0" w:line="79"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Our general and administrative expenses increased by $8.0 million, or 95.9%, during the year ended November 30, 2020, compared to the year ended November 30, 2019. The increase was primarily related to an increase of $2.4 million in non-cash stock-based compensation expense and an increase of $1.7 million in compensation related expenses attributable to a higher headcount. We also had an increase of $1.8 million in legal and accounting expenses mainly related to external audit and legal fees and an increase of $1.9 million in consultant, insurance and other professional service expenses primarily related to becoming a public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Interest and other income, net</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Interest and other income, net was $0.8 million, $1.2 million and $0.8 million for the years ended November 30, 2021, 2020 and 2019, respectively. The decrease during the year ended November 30, 2021, compared to the year ended November 30, 2020, and the increase during the year ended November 30, 2020, compared to the year ended November 30, 2019, was primarily related to interest received in fiscal 2020 related to the tax refund for a carryback claim that we filed in April 2020 in connection with the Coronavirus Aid, Relief, and Economic Security Act (CARES Act). Other than the interest earned on tax refund, interest and other income, net in all periods is mainly related to interest earned on our deposits, money market funds and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1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The provision for income taxes was an expense of $0.1 million, a benefit of $20.5 million and an expense of $0.2 million during the years ended November 30, 2021, 2020 and 2019, respectively. The increase during the year ended November 30, 2021, compared to the year ended November 30, 2020, and the decrease during the year ended November 30, 2020, compared to the year ended November 30, 2019, was primarily related to a discrete tax benefit in fiscal 2020, which consists of carryback claims and the reversal of the uncertain tax liability related to research and development tax credits as a result of the CARES Act that was enacted on March 27, 2020 in response to the COVID-19 pandemic.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On July 23, 2020, our registration statement on Form S-1 (File No. 333-239651) relating to our IPO of common stock became effective. The IPO closed on July 28, 2020 at which time we issued 11,000,000 shares of our common stock at a price to the public of $19.00 per share. In addition, the underwriters exercised their option to purchase an additional 1,550,000 shares of our common stock on July 31, 2020, and this transaction closed on August 4, 2020. Net proceeds from the IPO and the transaction with the underwriters were approximately $218.1 million, after deducting underwriting discounts and commissions of $16.7 million and expenses of $3.6 million. In March 2021, we completed a follow-on offering and issued 5,175,000 shares of our common stock (including the exercise by the underwriters of their option to purchase an additional 675,000 shares of common stock) at a price to the public of $31.00 per share for net proceeds of approximately $150.2 million, after deducting underwriting discounts and commissions of $9.6 million and expenses of $0.6 million.</w:t>
      </w:r>
    </w:p>
    <w:p>
      <w:pPr>
        <w:spacing w:after="0" w:line="84" w:lineRule="exact"/>
        <w:rPr>
          <w:sz w:val="20"/>
          <w:szCs w:val="20"/>
          <w:color w:val="auto"/>
        </w:rPr>
      </w:pPr>
    </w:p>
    <w:p>
      <w:pPr>
        <w:ind w:right="640" w:firstLine="589"/>
        <w:spacing w:after="0" w:line="263" w:lineRule="auto"/>
        <w:rPr>
          <w:sz w:val="20"/>
          <w:szCs w:val="20"/>
          <w:color w:val="auto"/>
        </w:rPr>
      </w:pPr>
      <w:r>
        <w:rPr>
          <w:rFonts w:ascii="Arial" w:cs="Arial" w:eastAsia="Arial" w:hAnsi="Arial"/>
          <w:sz w:val="18"/>
          <w:szCs w:val="18"/>
          <w:color w:val="auto"/>
        </w:rPr>
        <w:t>To date, our operations have primarily been funded through the net proceeds from equity offerings of $536.4 million and proceeds from collaborations of $300.5 million. We do not have any products approved for sale, and we have not generated any revenue from product sales. As of November 30, 2021, we had $432.9 million in cash, cash equivalents and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20" w:firstLine="589"/>
        <w:spacing w:after="0" w:line="218" w:lineRule="exact"/>
        <w:rPr>
          <w:sz w:val="20"/>
          <w:szCs w:val="20"/>
          <w:color w:val="auto"/>
        </w:rPr>
      </w:pPr>
      <w:r>
        <w:rPr>
          <w:rFonts w:ascii="Arial" w:cs="Arial" w:eastAsia="Arial" w:hAnsi="Arial"/>
          <w:sz w:val="17"/>
          <w:szCs w:val="17"/>
          <w:color w:val="auto"/>
        </w:rPr>
        <w:t>We expect that our existing cash, cash equivalents and investments are sufficient to meet our cash requirements and continue operating activities, including the clinical trials of our drug candidates NX</w:t>
      </w:r>
      <w:r>
        <w:rPr>
          <w:rFonts w:ascii="MS PGothic" w:cs="MS PGothic" w:eastAsia="MS PGothic" w:hAnsi="MS PGothic"/>
          <w:sz w:val="17"/>
          <w:szCs w:val="17"/>
          <w:color w:val="auto"/>
        </w:rPr>
        <w:t>‑</w:t>
      </w:r>
      <w:r>
        <w:rPr>
          <w:rFonts w:ascii="Arial" w:cs="Arial" w:eastAsia="Arial" w:hAnsi="Arial"/>
          <w:sz w:val="17"/>
          <w:szCs w:val="17"/>
          <w:color w:val="auto"/>
        </w:rPr>
        <w:t>2127, NX</w:t>
      </w:r>
      <w:r>
        <w:rPr>
          <w:rFonts w:ascii="MS PGothic" w:cs="MS PGothic" w:eastAsia="MS PGothic" w:hAnsi="MS PGothic"/>
          <w:sz w:val="17"/>
          <w:szCs w:val="17"/>
          <w:color w:val="auto"/>
        </w:rPr>
        <w:t>‑</w:t>
      </w:r>
      <w:r>
        <w:rPr>
          <w:rFonts w:ascii="Arial" w:cs="Arial" w:eastAsia="Arial" w:hAnsi="Arial"/>
          <w:sz w:val="17"/>
          <w:szCs w:val="17"/>
          <w:color w:val="auto"/>
        </w:rPr>
        <w:t>1607, NX</w:t>
      </w:r>
      <w:r>
        <w:rPr>
          <w:rFonts w:ascii="MS PGothic" w:cs="MS PGothic" w:eastAsia="MS PGothic" w:hAnsi="MS PGothic"/>
          <w:sz w:val="17"/>
          <w:szCs w:val="17"/>
          <w:color w:val="auto"/>
        </w:rPr>
        <w:t>‑</w:t>
      </w:r>
      <w:r>
        <w:rPr>
          <w:rFonts w:ascii="Arial" w:cs="Arial" w:eastAsia="Arial" w:hAnsi="Arial"/>
          <w:sz w:val="17"/>
          <w:szCs w:val="17"/>
          <w:color w:val="auto"/>
        </w:rPr>
        <w:t>5948 and DeTIL</w:t>
      </w:r>
      <w:r>
        <w:rPr>
          <w:rFonts w:ascii="MS PGothic" w:cs="MS PGothic" w:eastAsia="MS PGothic" w:hAnsi="MS PGothic"/>
          <w:sz w:val="17"/>
          <w:szCs w:val="17"/>
          <w:color w:val="auto"/>
        </w:rPr>
        <w:t>‑</w:t>
      </w:r>
      <w:r>
        <w:rPr>
          <w:rFonts w:ascii="Arial" w:cs="Arial" w:eastAsia="Arial" w:hAnsi="Arial"/>
          <w:sz w:val="17"/>
          <w:szCs w:val="17"/>
          <w:color w:val="auto"/>
        </w:rPr>
        <w:t>0255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4" w:name="page125"/>
    <w:bookmarkEnd w:id="124"/>
    <w:p>
      <w:pPr>
        <w:ind w:firstLine="589"/>
        <w:spacing w:after="0" w:line="290" w:lineRule="auto"/>
        <w:rPr>
          <w:sz w:val="20"/>
          <w:szCs w:val="20"/>
          <w:color w:val="auto"/>
        </w:rPr>
      </w:pPr>
      <w:r>
        <w:rPr>
          <w:rFonts w:ascii="Arial" w:cs="Arial" w:eastAsia="Arial" w:hAnsi="Arial"/>
          <w:sz w:val="16"/>
          <w:szCs w:val="16"/>
          <w:color w:val="auto"/>
        </w:rPr>
        <w:t>We have a shelf registration statement on Form S-3 on file with the SEC. This shelf registration statement, which includes a base prospectus, allows us at any time to offer and sell registered common stock, preferred stock, debt securities, warrants, subscriptions rights and or units or any combination of securities described in the prospectus in one or more offerings. In addition,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As of November 30, 2021, we have not sold any shares of common stock pursuant to the Equity Distribution Agreement and $150.0 million in shares remained available under the Equity Distribution Agreement.</w:t>
      </w:r>
    </w:p>
    <w:p>
      <w:pPr>
        <w:spacing w:after="0" w:line="57" w:lineRule="exact"/>
        <w:rPr>
          <w:sz w:val="20"/>
          <w:szCs w:val="20"/>
          <w:color w:val="auto"/>
        </w:rPr>
      </w:pPr>
    </w:p>
    <w:p>
      <w:pPr>
        <w:ind w:right="160" w:firstLine="589"/>
        <w:spacing w:after="0" w:line="255" w:lineRule="auto"/>
        <w:rPr>
          <w:sz w:val="20"/>
          <w:szCs w:val="20"/>
          <w:color w:val="auto"/>
        </w:rPr>
      </w:pPr>
      <w:r>
        <w:rPr>
          <w:rFonts w:ascii="Arial" w:cs="Arial" w:eastAsia="Arial" w:hAnsi="Arial"/>
          <w:sz w:val="18"/>
          <w:szCs w:val="18"/>
          <w:color w:val="auto"/>
        </w:rPr>
        <w:t>Unless otherwise specified in a prospectus supplement accompanying the base prospectus, we intend to use the net proceeds from the sale of any securities offered pursuant to the shelf registration statement for general corporate purposes, which may include funding research, clinical and process development, increasing our working capital, reducing indebtedness, acquisitions or investments in businesses, products or technologies that are complementary to our own and capital expenditures. Pending such uses, we may invest the net proceeds in marketable securities that may include investment-grade interest-bearing securities, money market accounts, certificates of deposit, commercial paper and guaranteed obligations of the U.S. government.</w:t>
      </w:r>
    </w:p>
    <w:p>
      <w:pPr>
        <w:spacing w:after="0" w:line="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117" w:lineRule="exact"/>
        <w:rPr>
          <w:sz w:val="20"/>
          <w:szCs w:val="20"/>
          <w:color w:val="auto"/>
        </w:rPr>
      </w:pPr>
    </w:p>
    <w:p>
      <w:pPr>
        <w:ind w:left="1160" w:right="28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progress, costs and results of our planned and ongoing Phase 1 clinical trials for our lead drug candidates NX-2127, NX-1607, NX-5948 and DeTIL-0255, and any future clinical development of such drug candidates;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scope, progress, costs and results of preclinical and clinical development for our other drug candidates and development programs;</w:t>
      </w:r>
    </w:p>
    <w:p>
      <w:pPr>
        <w:spacing w:after="0" w:line="140" w:lineRule="exact"/>
        <w:rPr>
          <w:rFonts w:ascii="Arial" w:cs="Arial" w:eastAsia="Arial" w:hAnsi="Arial"/>
          <w:sz w:val="16"/>
          <w:szCs w:val="16"/>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and development requirements of other drug candidates that we pursue;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scope of, and costs associated with, future advancements to our DELigase platform;</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success of our collaborations with Sanofi, Gilead and any other collaborations we may establish;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160" w:right="12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drug candidates for which we receive marketing approval;</w:t>
      </w:r>
    </w:p>
    <w:p>
      <w:pPr>
        <w:spacing w:after="0" w:line="117"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2" w:lineRule="exact"/>
        <w:rPr>
          <w:rFonts w:ascii="Arial" w:cs="Arial" w:eastAsia="Arial" w:hAnsi="Arial"/>
          <w:sz w:val="18"/>
          <w:szCs w:val="18"/>
          <w:color w:val="auto"/>
        </w:rPr>
      </w:pPr>
    </w:p>
    <w:p>
      <w:pPr>
        <w:ind w:left="1160" w:right="40" w:hanging="572"/>
        <w:spacing w:after="0" w:line="277"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62"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cash flows during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November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operating activities</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(84,365)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(108,251)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(254,404)</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153,882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339,024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20"/>
                <w:szCs w:val="20"/>
                <w:color w:val="auto"/>
              </w:rPr>
            </w:pPr>
            <w:r>
              <w:rPr>
                <w:rFonts w:ascii="Arial" w:cs="Arial" w:eastAsia="Arial" w:hAnsi="Arial"/>
                <w:sz w:val="18"/>
                <w:szCs w:val="18"/>
                <w:color w:val="auto"/>
              </w:rPr>
              <w:t>Net (decrease) increase in cash, cash equivalents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80"/>
              <w:spacing w:after="0"/>
              <w:rPr>
                <w:sz w:val="20"/>
                <w:szCs w:val="20"/>
                <w:color w:val="auto"/>
              </w:rPr>
            </w:pPr>
            <w:r>
              <w:rPr>
                <w:rFonts w:ascii="Arial" w:cs="Arial" w:eastAsia="Arial" w:hAnsi="Arial"/>
                <w:sz w:val="18"/>
                <w:szCs w:val="18"/>
                <w:color w:val="auto"/>
              </w:rPr>
              <w:t>and restricted cash</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(38,734)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84,540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Net cash used in operating activities was $84.4 million for the year ended November 30, 2021 and consisted of a decrease in net assets of $9.1 million and non-cash adjustments of $23.7 million, offset by our net loss of $117.2 million. The decrease in net assets consisted primarily of a decrease in contract assets of $7.5 million related to proceeds received for Gilead milestones, an increase in deferred revenue of $6.8 million primarily related to proceeds received pursuant to the Sanofi agreement, an increase in accrued expenses and other liabilities of $6.2 million primarily related to an increase in accrued compensation from higher incentive compensation and an increase in accrued contract research and lab supplies due to the growth in clinical development for our lead drug candidates and a decrease in income tax receivable of $3.6 million related to the collection of the NOL carryback claims as a result of the CARES Act. The decrease in net assets was offset by an increase in accounts receivable of $6.0 million related to a Gilead research milestone, an increase in prepaid expenses and other assets of $5.4 million primarily related to an increase in prepaid clinical costs and a decrease in operating lease liabilities of $5.1 million due to payments made on operating leases. Non-cash adjustments primarily consisted of stock-based compensation expenses of $15.8 million, amortization of operating lease right-of-use assets of $3.3 million and depreciation and amortization expenses of $2.8 million.</w:t>
      </w:r>
    </w:p>
    <w:p>
      <w:pPr>
        <w:spacing w:after="0" w:line="60"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Net cash used in operating activities was $0.1 million for the year ended November 30, 2020 and consisted of a decrease in net assets of $36.4 million and non-cash adjustments of $6.8 million, offset by our net loss of $43.2 million. The decrease in net assets consisted primarily of an increase in deferred revenue of $48.2 million related to proceeds received pursuant to the Sanofi Agreement and offset by revenue recognized pursuant to the Sanofi Agreement and the Gilead Agreement. The decrease in net assets was offset by an increase in contract assets of $7.5 million related to unbilled revenue for Gilead milestones and an increase in income tax receivables of $3.9 million related to NOL carryback claims as a result of the CARES Act. Non-cash adjustments primarily consisted of stock-based compensation expenses of $4.3 million and depreciation and amortization expenses of $2.2 million.</w:t>
      </w:r>
    </w:p>
    <w:p>
      <w:pPr>
        <w:spacing w:after="0" w:line="56"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Net cash provided by operating activities was $0.6 million for the year ended November 30, 2019 and consisted of a decrease in net assets of $19.5 million and non-cash adjustments of $2.8 million, offset by our net loss of $21.7 million. The decrease in net assets consisted primarily of an increase in deferred revenue of $16.9 million related to $48.0 million in proceeds received pursuant to the Gilead Agreement and offset by $31.1 million in revenue recognized pursuant to the Celgene Agreement and the Gilead Agreement and an increase in accrued expenses and other liabilities of $2.4 million primarily related to an increase in accrued compensation from higher incentive compensation. Non-cash adjustments primarily consisted of depreciation and amortization expenses of $2.4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Net cash used in investing activities was $108.3 million for the year ended November 30, 2021 and consisted of the purchase of investments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$348.5 million and purchases of property and equipment of $5.7 million, offset by the maturity of investments of $238.9 million and the sale of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$7.0 million.</w:t>
      </w:r>
    </w:p>
    <w:p>
      <w:pPr>
        <w:spacing w:after="0" w:line="103" w:lineRule="exact"/>
        <w:rPr>
          <w:sz w:val="20"/>
          <w:szCs w:val="20"/>
          <w:color w:val="auto"/>
        </w:rPr>
      </w:pPr>
    </w:p>
    <w:p>
      <w:pPr>
        <w:ind w:right="340" w:firstLine="589"/>
        <w:spacing w:after="0" w:line="308" w:lineRule="auto"/>
        <w:rPr>
          <w:sz w:val="20"/>
          <w:szCs w:val="20"/>
          <w:color w:val="auto"/>
        </w:rPr>
      </w:pPr>
      <w:r>
        <w:rPr>
          <w:rFonts w:ascii="Arial" w:cs="Arial" w:eastAsia="Arial" w:hAnsi="Arial"/>
          <w:sz w:val="17"/>
          <w:szCs w:val="17"/>
          <w:color w:val="auto"/>
        </w:rPr>
        <w:t>Net cash used in investing activities was $254.4 million for the year ended November 30, 2020 and consisted of the purchase of investments of $275.2 million and purchases of property and equipment of $4.6 million, offset by the maturity of investments of $25.4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6" w:name="page127"/>
    <w:bookmarkEnd w:id="126"/>
    <w:p>
      <w:pPr>
        <w:ind w:right="740" w:firstLine="589"/>
        <w:spacing w:after="0" w:line="277" w:lineRule="auto"/>
        <w:rPr>
          <w:sz w:val="20"/>
          <w:szCs w:val="20"/>
          <w:color w:val="auto"/>
        </w:rPr>
      </w:pPr>
      <w:r>
        <w:rPr>
          <w:rFonts w:ascii="Arial" w:cs="Arial" w:eastAsia="Arial" w:hAnsi="Arial"/>
          <w:sz w:val="18"/>
          <w:szCs w:val="18"/>
          <w:color w:val="auto"/>
        </w:rPr>
        <w:t>Net cash provided by investing activities was $8.5 million for the year ended November 30, 2019 and consisted primarily of maturities of investments of $19.5 million, offset by the purchase of investments of $9.4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Net cash provided by financing activities was $153.9 million for the year ended November 30, 2021 and consisted primarily of proceeds from the issuance of common stock from the follow-on offering in March 2021.</w:t>
      </w:r>
    </w:p>
    <w:p>
      <w:pPr>
        <w:spacing w:after="0" w:line="62" w:lineRule="exact"/>
        <w:rPr>
          <w:sz w:val="20"/>
          <w:szCs w:val="20"/>
          <w:color w:val="auto"/>
        </w:rPr>
      </w:pPr>
    </w:p>
    <w:p>
      <w:pPr>
        <w:jc w:val="both"/>
        <w:ind w:right="140" w:firstLine="589"/>
        <w:spacing w:after="0" w:line="342" w:lineRule="auto"/>
        <w:rPr>
          <w:sz w:val="20"/>
          <w:szCs w:val="20"/>
          <w:color w:val="auto"/>
        </w:rPr>
      </w:pPr>
      <w:r>
        <w:rPr>
          <w:rFonts w:ascii="Arial" w:cs="Arial" w:eastAsia="Arial" w:hAnsi="Arial"/>
          <w:sz w:val="16"/>
          <w:szCs w:val="16"/>
          <w:color w:val="auto"/>
        </w:rPr>
        <w:t>Net cash provided by financing activities was $339.0 million for the year ended November 30, 2020 and consisted primarily of net proceeds from issuance of common stock in July and August 2020 related to our IPO and the sale of our Series D redeemable convertible preferred stock in March 2020.</w:t>
      </w:r>
    </w:p>
    <w:p>
      <w:pPr>
        <w:spacing w:after="0" w:line="16"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Net cash provided by financing activities was $0.1 million for the year ended November 30, 2019 and consisted primarily of proceeds from the exercise of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as of November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4"/>
                <w:szCs w:val="14"/>
                <w:b w:val="1"/>
                <w:bCs w:val="1"/>
                <w:color w:val="auto"/>
                <w:w w:val="90"/>
              </w:rPr>
              <w:t>Payments due by period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9"/>
              <w:spacing w:after="0" w:line="133" w:lineRule="exact"/>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0"/>
              </w:rPr>
              <w:t>1 to 3 years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3 to 5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More than</w:t>
            </w:r>
          </w:p>
        </w:tc>
        <w:tc>
          <w:tcPr>
            <w:tcW w:w="22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5 years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10,623</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Segments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currently operate in a single business segment. See additional information in our financial statements contained in Part II, Item 8 of this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exposed to market risks in the ordinary course of our business. Our primary exposure to market risk is interest rate sensitivity.</w:t>
      </w:r>
    </w:p>
    <w:p>
      <w:pPr>
        <w:spacing w:after="0" w:line="117" w:lineRule="exact"/>
        <w:rPr>
          <w:sz w:val="20"/>
          <w:szCs w:val="20"/>
          <w:color w:val="auto"/>
        </w:rPr>
      </w:pPr>
    </w:p>
    <w:p>
      <w:pPr>
        <w:ind w:right="120" w:firstLine="589"/>
        <w:spacing w:after="0" w:line="273" w:lineRule="auto"/>
        <w:rPr>
          <w:sz w:val="20"/>
          <w:szCs w:val="20"/>
          <w:color w:val="auto"/>
        </w:rPr>
      </w:pPr>
      <w:r>
        <w:rPr>
          <w:rFonts w:ascii="Arial" w:cs="Arial" w:eastAsia="Arial" w:hAnsi="Arial"/>
          <w:sz w:val="17"/>
          <w:szCs w:val="17"/>
          <w:color w:val="auto"/>
        </w:rPr>
        <w:t>As of November 30, 2021, we had cash, cash equivalents and investments of $432.9 million. We have invested primarily in money market funds, U.S. treasury securities, corporate debt securities, U.S. government agency securities, commercial papers and municipal securities. To reduce the volatility relating to these exposures, we have put investment and risk management policies and procedures in place. The securities in our investment portfolio are not leveraged and are classified as available-for-sale. We currently do not engage in hedging activities. As of November 30, 2021 and 2020, we have estimated that a hypothetical 100 basis point increase in interest rates would decrease the fair market value of our investment portfolio by $2.9 million and $1.8 million, respectively. Such losses would only be realized if we sold the investments prior to maturity.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924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0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00" w:type="dxa"/>
            <w:vAlign w:val="bottom"/>
            <w:gridSpan w:val="3"/>
          </w:tcPr>
          <w:p>
            <w:pPr>
              <w:ind w:left="480"/>
              <w:spacing w:after="0"/>
              <w:rPr>
                <w:sz w:val="20"/>
                <w:szCs w:val="20"/>
                <w:color w:val="auto"/>
              </w:rPr>
            </w:pPr>
            <w:r>
              <w:rPr>
                <w:rFonts w:ascii="Arial" w:cs="Arial" w:eastAsia="Arial" w:hAnsi="Arial"/>
                <w:sz w:val="18"/>
                <w:szCs w:val="18"/>
                <w:b w:val="1"/>
                <w:bCs w:val="1"/>
                <w:color w:val="auto"/>
              </w:rPr>
              <w:t>INDEX TO FINANCIAL STATEMENTS</w:t>
            </w:r>
          </w:p>
        </w:tc>
        <w:tc>
          <w:tcPr>
            <w:tcW w:w="2000" w:type="dxa"/>
            <w:vAlign w:val="bottom"/>
          </w:tcPr>
          <w:p>
            <w:pPr>
              <w:spacing w:after="0"/>
              <w:rPr>
                <w:sz w:val="24"/>
                <w:szCs w:val="24"/>
                <w:color w:val="auto"/>
              </w:rPr>
            </w:pPr>
          </w:p>
        </w:tc>
      </w:tr>
      <w:tr>
        <w:trPr>
          <w:trHeight w:val="405"/>
        </w:trPr>
        <w:tc>
          <w:tcPr>
            <w:tcW w:w="9240" w:type="dxa"/>
            <w:vAlign w:val="bottom"/>
            <w:gridSpan w:val="8"/>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Report of Independent Registered Public Accounting Firm</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39"/>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13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5020" w:type="dxa"/>
            <w:vAlign w:val="bottom"/>
            <w:gridSpan w:val="2"/>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39"/>
        </w:trPr>
        <w:tc>
          <w:tcPr>
            <w:tcW w:w="9240" w:type="dxa"/>
            <w:vAlign w:val="bottom"/>
            <w:gridSpan w:val="8"/>
          </w:tcPr>
          <w:p>
            <w:pPr>
              <w:spacing w:after="0"/>
              <w:rPr>
                <w:rFonts w:ascii="Arial" w:cs="Arial" w:eastAsia="Arial" w:hAnsi="Arial"/>
                <w:sz w:val="18"/>
                <w:szCs w:val="18"/>
                <w:color w:val="0000EE"/>
              </w:rPr>
            </w:pPr>
            <w:hyperlink w:anchor="page133">
              <w:r>
                <w:rPr>
                  <w:rFonts w:ascii="Arial" w:cs="Arial" w:eastAsia="Arial" w:hAnsi="Arial"/>
                  <w:sz w:val="18"/>
                  <w:szCs w:val="18"/>
                  <w:color w:val="0000EE"/>
                </w:rPr>
                <w:t>Consolidated Statements of Operations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39"/>
        </w:trPr>
        <w:tc>
          <w:tcPr>
            <w:tcW w:w="9240" w:type="dxa"/>
            <w:vAlign w:val="bottom"/>
            <w:gridSpan w:val="8"/>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Consolidated Statements of Comprehensive Loss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39"/>
        </w:trPr>
        <w:tc>
          <w:tcPr>
            <w:tcW w:w="9240" w:type="dxa"/>
            <w:vAlign w:val="bottom"/>
            <w:gridSpan w:val="8"/>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Redeemable Convertible Preferred Stock and Stockholders’ Equity (Deficit)</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9"/>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37">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4"/>
          </w:tcPr>
          <w:p>
            <w:pPr>
              <w:spacing w:after="0"/>
              <w:rPr>
                <w:sz w:val="24"/>
                <w:szCs w:val="24"/>
                <w:color w:val="auto"/>
              </w:rPr>
            </w:pPr>
          </w:p>
        </w:tc>
        <w:tc>
          <w:tcPr>
            <w:tcW w:w="17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39"/>
        </w:trPr>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39">
              <w:r>
                <w:rPr>
                  <w:rFonts w:ascii="Arial" w:cs="Arial" w:eastAsia="Arial" w:hAnsi="Arial"/>
                  <w:sz w:val="18"/>
                  <w:szCs w:val="18"/>
                  <w:color w:val="0000EE"/>
                  <w:w w:val="89"/>
                </w:rPr>
                <w:t>Notes to Consolidated Financial Statements</w:t>
              </w:r>
            </w:hyperlink>
          </w:p>
        </w:tc>
        <w:tc>
          <w:tcPr>
            <w:tcW w:w="6080" w:type="dxa"/>
            <w:vAlign w:val="bottom"/>
            <w:gridSpan w:val="4"/>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898"/>
        </w:trPr>
        <w:tc>
          <w:tcPr>
            <w:tcW w:w="7520" w:type="dxa"/>
            <w:vAlign w:val="bottom"/>
            <w:gridSpan w:val="7"/>
          </w:tcPr>
          <w:p>
            <w:pPr>
              <w:ind w:left="5480"/>
              <w:spacing w:after="0"/>
              <w:rPr>
                <w:sz w:val="20"/>
                <w:szCs w:val="20"/>
                <w:color w:val="auto"/>
              </w:rPr>
            </w:pPr>
            <w:r>
              <w:rPr>
                <w:rFonts w:ascii="Arial" w:cs="Arial" w:eastAsia="Arial" w:hAnsi="Arial"/>
                <w:sz w:val="18"/>
                <w:szCs w:val="18"/>
                <w:color w:val="auto"/>
              </w:rPr>
              <w:t>126</w:t>
            </w:r>
          </w:p>
        </w:tc>
        <w:tc>
          <w:tcPr>
            <w:tcW w:w="1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Nurix Therapeutics,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Nurix Therapeutics, Inc. and its subsidiaries (the “Company”) as of November 30, 2021 and 2020, and the related consolidated statements of operations, of comprehensive loss, of redeemable convertible preferred stock and stockholders’ equity (deficit) and of cash flows for each of the three years in the period ended November 30, 2021, including the related notes (collectively referred to as the “consolidated financial statements”). We also have audited the Company's internal control over financial reporting as of November 30,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November 30, 2021 and 2020, and the results of its operations and its cash flows for each of the three years in the period ended November 30, 2021 in conformity with accounting principles generally accepted in the United States of America. Also in our opinion, the Company did not maintain, in all material respects, effective internal control over financial reporting as of November 30,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COSO because material weaknesses in internal control over financial reporting existed as of that date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not designing and maintaining effective (a) controls over certain information technology general controls, and (b) segregation of duty controls over the review and approval of account reconciliations and manual journal entries.</w:t>
      </w:r>
    </w:p>
    <w:p>
      <w:pPr>
        <w:spacing w:after="0" w:line="13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Report on Internal Control over Financial Reporting appearing under Item 9A. We considered these material weaknesses in determining the nature, timing, and extent of audit tests applied in our audit of the 2021 consolidated financial statements, and our opinion regarding the effectiveness of the Company’s internal control over financial reporting does not affect our opinion on those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on December 1,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9" w:name="page130"/>
    <w:bookmarkEnd w:id="129"/>
    <w:p>
      <w:pPr>
        <w:ind w:right="120"/>
        <w:spacing w:after="0" w:line="296" w:lineRule="auto"/>
        <w:rPr>
          <w:sz w:val="20"/>
          <w:szCs w:val="20"/>
          <w:color w:val="auto"/>
        </w:rPr>
      </w:pPr>
      <w:r>
        <w:rPr>
          <w:rFonts w:ascii="Arial" w:cs="Arial" w:eastAsia="Arial" w:hAnsi="Arial"/>
          <w:sz w:val="16"/>
          <w:szCs w:val="16"/>
          <w:color w:val="auto"/>
        </w:rPr>
        <w:t>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Estimated Costs of Internal Full-Time Employees (FTEs)</w:t>
      </w:r>
    </w:p>
    <w:p>
      <w:pPr>
        <w:spacing w:after="0" w:line="19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3 to the consolidated financial statements, the Company’s consolidated revenue was $29.8 million for the year ended November 30, 2021 and was generated from the Company’s collaboration agreements. During the contract term, management uses a cost-based input method to recognize revenue based on the actual costs incurred as a percentage of total estimated costs as the Company completes its performance obligation under the contract. Costs consist primarily of internal FTE and third-party contract costs related to the collaboration agreements.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revenue recognition - estimated costs of internal FTEs is a critical audit matter are (i) the high degree of auditor judgment and subjectivity in performing procedures relating to the estimated costs of internal FTEs due to the significant judgment by management when determining the estimate and (ii) the significant audit effort in evaluating the significant assumption related to the number of estimated FTEs.</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related to the revenue recognition process, including controls over the determination of the estimated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0" w:name="page131"/>
    <w:bookmarkEnd w:id="130"/>
    <w:p>
      <w:pPr>
        <w:spacing w:after="0" w:line="275" w:lineRule="auto"/>
        <w:rPr>
          <w:sz w:val="20"/>
          <w:szCs w:val="20"/>
          <w:color w:val="auto"/>
        </w:rPr>
      </w:pPr>
      <w:r>
        <w:rPr>
          <w:rFonts w:ascii="Arial" w:cs="Arial" w:eastAsia="Arial" w:hAnsi="Arial"/>
          <w:sz w:val="17"/>
          <w:szCs w:val="17"/>
          <w:color w:val="auto"/>
        </w:rPr>
        <w:t>of internal FTEs. These procedures also included, among others, evaluating and testing management’s process for determining the estimated costs of internal FTEs, which included evaluating the reasonableness of the significant assumption related to the number of estimated FTEs, by (i) performing a comparison of management’s estimated costs of internal FTEs to the actual internal FTE costs; (ii) testing the completeness and accuracy of the data used by management in the estimate; (iii) evaluating management’s timely identification of changes in estimated costs of internal FTEs; and (iv) evaluating whether the estimate and assumption were consistent with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28,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7" w:right="5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November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80,506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215,214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Contract assets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receivable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311,118</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137,189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11,340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476,771</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6,650</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Operating lease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41,212</w:t>
            </w:r>
          </w:p>
        </w:tc>
        <w:tc>
          <w:tcPr>
            <w:tcW w:w="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long-term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59,022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134,469</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and contingencies (Note 6)</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 10,000,000 shares authorized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0 shares issued and outstanding as of November 30, 2021</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November 30, 2020</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$0.001 par value— 500,000,000 shares authorized as of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November 30, 2021 and November 30, 2020; 44,664,371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38,864,872 shares issued and outstanding as of November 30, 2021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and November 30, 2020,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paid-in-capital</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563,757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(608)</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(220,892)</w:t>
            </w: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(103,698)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342,302</w:t>
            </w:r>
          </w:p>
        </w:tc>
        <w:tc>
          <w:tcPr>
            <w:tcW w:w="28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290,269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476,771</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November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r>
              <w:rPr>
                <w:rFonts w:ascii="Arial" w:cs="Arial" w:eastAsia="Arial" w:hAnsi="Arial"/>
                <w:sz w:val="15"/>
                <w:szCs w:val="15"/>
                <w:color w:val="auto"/>
              </w:rPr>
              <w:t>(1)</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116,434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31,202</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147,636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82,803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Loss from operations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(117,886)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income, net</w:t>
            </w:r>
          </w:p>
        </w:tc>
        <w:tc>
          <w:tcPr>
            <w:tcW w:w="15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(63,777)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(20,535)</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5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(117,194)</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(43,242)</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w:t>
            </w: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42,895,383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15,673,424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3,292,514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720" w:hanging="572"/>
        <w:spacing w:after="0" w:line="277"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 revenue for the years ended November 30, 2021, 2020 and 2019 includes related party revenue of $0, $0 and $28.4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November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(43,242)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(21,699)</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available-for-sale investments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(43,153)</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(21,697)</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2180" w:type="dxa"/>
            <w:vAlign w:val="bottom"/>
            <w:tcBorders>
              <w:right w:val="single" w:sz="8" w:color="auto"/>
            </w:tcBorders>
            <w:gridSpan w:val="6"/>
            <w:vMerge w:val="restart"/>
          </w:tcPr>
          <w:p>
            <w:pPr>
              <w:ind w:left="220"/>
              <w:spacing w:after="0"/>
              <w:rPr>
                <w:sz w:val="20"/>
                <w:szCs w:val="20"/>
                <w:color w:val="auto"/>
              </w:rPr>
            </w:pPr>
            <w:r>
              <w:rPr>
                <w:rFonts w:ascii="Arial" w:cs="Arial" w:eastAsia="Arial" w:hAnsi="Arial"/>
                <w:sz w:val="14"/>
                <w:szCs w:val="14"/>
                <w:b w:val="1"/>
                <w:bCs w:val="1"/>
                <w:color w:val="auto"/>
              </w:rPr>
              <w:t>Redeemable convertible</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180" w:type="dxa"/>
            <w:vAlign w:val="bottom"/>
            <w:tcBorders>
              <w:right w:val="single" w:sz="8" w:color="auto"/>
            </w:tcBorders>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2180" w:type="dxa"/>
            <w:vAlign w:val="bottom"/>
            <w:tcBorders>
              <w:right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Pr>
          <w:p>
            <w:pPr>
              <w:spacing w:after="0"/>
              <w:rPr>
                <w:sz w:val="14"/>
                <w:szCs w:val="14"/>
                <w:color w:val="auto"/>
              </w:rPr>
            </w:pPr>
          </w:p>
        </w:tc>
        <w:tc>
          <w:tcPr>
            <w:tcW w:w="17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4"/>
              <w:spacing w:after="0"/>
              <w:rPr>
                <w:sz w:val="20"/>
                <w:szCs w:val="20"/>
                <w:color w:val="auto"/>
              </w:rPr>
            </w:pPr>
            <w:r>
              <w:rPr>
                <w:rFonts w:ascii="Arial" w:cs="Arial" w:eastAsia="Arial" w:hAnsi="Arial"/>
                <w:sz w:val="14"/>
                <w:szCs w:val="14"/>
                <w:b w:val="1"/>
                <w:bCs w:val="1"/>
                <w:color w:val="auto"/>
                <w:w w:val="95"/>
              </w:rPr>
              <w:t>paid-in</w:t>
            </w: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102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4"/>
              <w:spacing w:after="0" w:line="155" w:lineRule="exact"/>
              <w:rPr>
                <w:sz w:val="20"/>
                <w:szCs w:val="20"/>
                <w:color w:val="auto"/>
              </w:rPr>
            </w:pPr>
            <w:r>
              <w:rPr>
                <w:rFonts w:ascii="Arial" w:cs="Arial" w:eastAsia="Arial" w:hAnsi="Arial"/>
                <w:sz w:val="14"/>
                <w:szCs w:val="14"/>
                <w:b w:val="1"/>
                <w:bCs w:val="1"/>
                <w:color w:val="auto"/>
                <w:w w:val="90"/>
              </w:rPr>
              <w:t>capital</w:t>
            </w:r>
          </w:p>
        </w:tc>
        <w:tc>
          <w:tcPr>
            <w:tcW w:w="200" w:type="dxa"/>
            <w:vAlign w:val="bottom"/>
          </w:tcPr>
          <w:p>
            <w:pPr>
              <w:spacing w:after="0"/>
              <w:rPr>
                <w:sz w:val="13"/>
                <w:szCs w:val="13"/>
                <w:color w:val="auto"/>
              </w:rPr>
            </w:pPr>
          </w:p>
        </w:tc>
        <w:tc>
          <w:tcPr>
            <w:tcW w:w="106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7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56"/>
        </w:trPr>
        <w:tc>
          <w:tcPr>
            <w:tcW w:w="268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Balance as of November 30,</w:t>
            </w:r>
          </w:p>
        </w:tc>
        <w:tc>
          <w:tcPr>
            <w:tcW w:w="88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2018</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12,813,887</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48,195</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3,452,653</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28"/>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1,910</w:t>
            </w:r>
          </w:p>
        </w:tc>
        <w:tc>
          <w:tcPr>
            <w:tcW w:w="400" w:type="dxa"/>
            <w:vAlign w:val="bottom"/>
            <w:gridSpan w:val="2"/>
            <w:shd w:val="clear" w:color="auto" w:fill="CFF0FC"/>
          </w:tcPr>
          <w:p>
            <w:pPr>
              <w:jc w:val="right"/>
              <w:ind w:right="48"/>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w:t>
            </w: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(38,757)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(36,847)</w:t>
            </w:r>
          </w:p>
        </w:tc>
        <w:tc>
          <w:tcPr>
            <w:tcW w:w="0" w:type="dxa"/>
            <w:vAlign w:val="bottom"/>
          </w:tcPr>
          <w:p>
            <w:pPr>
              <w:spacing w:after="0"/>
              <w:rPr>
                <w:sz w:val="1"/>
                <w:szCs w:val="1"/>
                <w:color w:val="auto"/>
              </w:rPr>
            </w:pPr>
          </w:p>
        </w:tc>
      </w:tr>
      <w:tr>
        <w:trPr>
          <w:trHeight w:val="175"/>
        </w:trPr>
        <w:tc>
          <w:tcPr>
            <w:tcW w:w="268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158,474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Repurchase of unvested</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early exercised stock</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options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(15,793)</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Vesting of early-</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exercised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Stock-based</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compensation</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510</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Unrealized gain on</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available-for-sale</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investments</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(21,699)</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(21,699)</w:t>
            </w: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5"/>
                <w:szCs w:val="15"/>
                <w:color w:val="auto"/>
              </w:rPr>
              <w:t>Balance as of November 30,</w:t>
            </w: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120"/>
              <w:spacing w:after="0"/>
              <w:rPr>
                <w:sz w:val="20"/>
                <w:szCs w:val="20"/>
                <w:color w:val="auto"/>
              </w:rPr>
            </w:pPr>
            <w:r>
              <w:rPr>
                <w:rFonts w:ascii="Arial" w:cs="Arial" w:eastAsia="Arial" w:hAnsi="Arial"/>
                <w:sz w:val="15"/>
                <w:szCs w:val="15"/>
                <w:color w:val="auto"/>
              </w:rPr>
              <w:t>2019</w:t>
            </w:r>
          </w:p>
        </w:tc>
        <w:tc>
          <w:tcPr>
            <w:tcW w:w="880" w:type="dxa"/>
            <w:vAlign w:val="bottom"/>
          </w:tcPr>
          <w:p>
            <w:pPr>
              <w:jc w:val="right"/>
              <w:spacing w:after="0"/>
              <w:rPr>
                <w:sz w:val="20"/>
                <w:szCs w:val="20"/>
                <w:color w:val="auto"/>
              </w:rPr>
            </w:pPr>
            <w:r>
              <w:rPr>
                <w:rFonts w:ascii="Arial" w:cs="Arial" w:eastAsia="Arial" w:hAnsi="Arial"/>
                <w:sz w:val="15"/>
                <w:szCs w:val="15"/>
                <w:color w:val="auto"/>
              </w:rPr>
              <w:t>12,813,887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48,195</w:t>
            </w:r>
          </w:p>
        </w:tc>
        <w:tc>
          <w:tcPr>
            <w:tcW w:w="2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3,595,334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2,740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(60,456)</w:t>
            </w:r>
          </w:p>
        </w:tc>
        <w:tc>
          <w:tcPr>
            <w:tcW w:w="1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5"/>
                <w:szCs w:val="15"/>
                <w:color w:val="auto"/>
              </w:rPr>
              <w:t>(57,714)</w:t>
            </w: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Series D</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redeemable convertible</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preferred stock at</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$12.75 per share, net of</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issuance costs of</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$336</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9,431,364</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119,914</w:t>
            </w:r>
          </w:p>
        </w:tc>
        <w:tc>
          <w:tcPr>
            <w:tcW w:w="240" w:type="dxa"/>
            <w:vAlign w:val="bottom"/>
            <w:tcBorders>
              <w:right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Conversion of</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redeemable</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convertible</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preferred stock</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into common stock</w:t>
            </w: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(22,245,251)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(168,109)</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22,245,251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83"/>
              </w:rPr>
              <w:t>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168,087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168,109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of common</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stock upon initial</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public offering, net</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offering costs of</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$20,304</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12,550,000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3"/>
              </w:rPr>
              <w:t>13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218,134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218,147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60"/>
              <w:spacing w:after="0"/>
              <w:rPr>
                <w:sz w:val="20"/>
                <w:szCs w:val="20"/>
                <w:color w:val="auto"/>
              </w:rPr>
            </w:pPr>
            <w:r>
              <w:rPr>
                <w:rFonts w:ascii="Arial" w:cs="Arial" w:eastAsia="Arial" w:hAnsi="Arial"/>
                <w:sz w:val="15"/>
                <w:szCs w:val="15"/>
                <w:color w:val="auto"/>
              </w:rPr>
              <w:t>Exercise of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479,156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Repurchase of unvested</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early exercised stock</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options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(4,869)</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Vesting of early-</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exercised stock options</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Stock-based</w:t>
            </w: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compensation</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4,301</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4,301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260"/>
              <w:spacing w:after="0" w:line="162" w:lineRule="exact"/>
              <w:rPr>
                <w:sz w:val="20"/>
                <w:szCs w:val="20"/>
                <w:color w:val="auto"/>
              </w:rPr>
            </w:pPr>
            <w:r>
              <w:rPr>
                <w:rFonts w:ascii="Arial" w:cs="Arial" w:eastAsia="Arial" w:hAnsi="Arial"/>
                <w:sz w:val="15"/>
                <w:szCs w:val="15"/>
                <w:color w:val="auto"/>
              </w:rPr>
              <w:t>Unrealized gain on</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80" w:type="dxa"/>
            <w:vAlign w:val="bottom"/>
          </w:tcPr>
          <w:p>
            <w:pPr>
              <w:ind w:left="360"/>
              <w:spacing w:after="0" w:line="162" w:lineRule="exact"/>
              <w:rPr>
                <w:sz w:val="20"/>
                <w:szCs w:val="20"/>
                <w:color w:val="auto"/>
              </w:rPr>
            </w:pPr>
            <w:r>
              <w:rPr>
                <w:rFonts w:ascii="Arial" w:cs="Arial" w:eastAsia="Arial" w:hAnsi="Arial"/>
                <w:sz w:val="15"/>
                <w:szCs w:val="15"/>
                <w:color w:val="auto"/>
              </w:rPr>
              <w:t>available-for-sale</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360"/>
              <w:spacing w:after="0"/>
              <w:rPr>
                <w:sz w:val="20"/>
                <w:szCs w:val="20"/>
                <w:color w:val="auto"/>
              </w:rPr>
            </w:pPr>
            <w:r>
              <w:rPr>
                <w:rFonts w:ascii="Arial" w:cs="Arial" w:eastAsia="Arial" w:hAnsi="Arial"/>
                <w:sz w:val="15"/>
                <w:szCs w:val="15"/>
                <w:color w:val="auto"/>
              </w:rPr>
              <w:t>investments</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Net loss</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93"/>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(43,242)</w:t>
            </w: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(43,242)</w:t>
            </w:r>
          </w:p>
        </w:tc>
        <w:tc>
          <w:tcPr>
            <w:tcW w:w="0" w:type="dxa"/>
            <w:vAlign w:val="bottom"/>
          </w:tcPr>
          <w:p>
            <w:pPr>
              <w:spacing w:after="0"/>
              <w:rPr>
                <w:sz w:val="1"/>
                <w:szCs w:val="1"/>
                <w:color w:val="auto"/>
              </w:rPr>
            </w:pPr>
          </w:p>
        </w:tc>
      </w:tr>
      <w:tr>
        <w:trPr>
          <w:trHeight w:val="156"/>
        </w:trPr>
        <w:tc>
          <w:tcPr>
            <w:tcW w:w="2680" w:type="dxa"/>
            <w:vAlign w:val="bottom"/>
          </w:tcPr>
          <w:p>
            <w:pPr>
              <w:spacing w:after="0" w:line="156" w:lineRule="exact"/>
              <w:rPr>
                <w:sz w:val="20"/>
                <w:szCs w:val="20"/>
                <w:color w:val="auto"/>
              </w:rPr>
            </w:pPr>
            <w:r>
              <w:rPr>
                <w:rFonts w:ascii="Arial" w:cs="Arial" w:eastAsia="Arial" w:hAnsi="Arial"/>
                <w:sz w:val="15"/>
                <w:szCs w:val="15"/>
                <w:color w:val="auto"/>
              </w:rPr>
              <w:t>Balance as of November 30,</w:t>
            </w:r>
          </w:p>
        </w:tc>
        <w:tc>
          <w:tcPr>
            <w:tcW w:w="8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120"/>
              <w:spacing w:after="0"/>
              <w:rPr>
                <w:sz w:val="20"/>
                <w:szCs w:val="20"/>
                <w:color w:val="auto"/>
              </w:rPr>
            </w:pPr>
            <w:r>
              <w:rPr>
                <w:rFonts w:ascii="Arial" w:cs="Arial" w:eastAsia="Arial" w:hAnsi="Arial"/>
                <w:sz w:val="15"/>
                <w:szCs w:val="15"/>
                <w:color w:val="auto"/>
              </w:rPr>
              <w:t>2020</w:t>
            </w: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38,864,872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83"/>
              </w:rPr>
              <w:t>39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393,841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(103,698)</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290,269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7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w w:val="90"/>
              </w:rPr>
              <w:t>Redeemable convertible</w:t>
            </w:r>
          </w:p>
        </w:tc>
        <w:tc>
          <w:tcPr>
            <w:tcW w:w="2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760" w:type="dxa"/>
            <w:vAlign w:val="bottom"/>
            <w:gridSpan w:val="3"/>
            <w:vMerge w:val="restart"/>
          </w:tcPr>
          <w:p>
            <w:pPr>
              <w:jc w:val="right"/>
              <w:ind w:right="266"/>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other</w:t>
            </w: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17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bottom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paid-in</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55"/>
        </w:trPr>
        <w:tc>
          <w:tcPr>
            <w:tcW w:w="26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gridSpan w:val="2"/>
          </w:tcPr>
          <w:p>
            <w:pPr>
              <w:jc w:val="right"/>
              <w:ind w:right="10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FF0FC"/>
              <w:right w:val="single" w:sz="8" w:color="auto"/>
            </w:tcBorders>
          </w:tcPr>
          <w:p>
            <w:pPr>
              <w:spacing w:after="0"/>
              <w:rPr>
                <w:sz w:val="13"/>
                <w:szCs w:val="13"/>
                <w:color w:val="auto"/>
              </w:rPr>
            </w:pPr>
          </w:p>
        </w:tc>
        <w:tc>
          <w:tcPr>
            <w:tcW w:w="880" w:type="dxa"/>
            <w:vAlign w:val="bottom"/>
            <w:tcBorders>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5"/>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8"/>
              </w:rPr>
              <w:t>income (loss)</w:t>
            </w:r>
          </w:p>
        </w:tc>
        <w:tc>
          <w:tcPr>
            <w:tcW w:w="2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184"/>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5"/>
              <w:spacing w:after="0" w:line="155" w:lineRule="exact"/>
              <w:rPr>
                <w:sz w:val="20"/>
                <w:szCs w:val="20"/>
                <w:color w:val="auto"/>
              </w:rPr>
            </w:pPr>
            <w:r>
              <w:rPr>
                <w:rFonts w:ascii="Arial" w:cs="Arial" w:eastAsia="Arial" w:hAnsi="Arial"/>
                <w:sz w:val="14"/>
                <w:szCs w:val="14"/>
                <w:b w:val="1"/>
                <w:bCs w:val="1"/>
                <w:color w:val="auto"/>
                <w:w w:val="94"/>
              </w:rPr>
              <w:t>(deficit)</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340" w:type="dxa"/>
            <w:vAlign w:val="bottom"/>
            <w:gridSpan w:val="2"/>
            <w:shd w:val="clear" w:color="auto" w:fill="CFF0FC"/>
          </w:tcPr>
          <w:p>
            <w:pPr>
              <w:ind w:left="260"/>
              <w:spacing w:after="0" w:line="156" w:lineRule="exact"/>
              <w:rPr>
                <w:sz w:val="20"/>
                <w:szCs w:val="20"/>
                <w:color w:val="auto"/>
              </w:rPr>
            </w:pPr>
            <w:r>
              <w:rPr>
                <w:rFonts w:ascii="Arial" w:cs="Arial" w:eastAsia="Arial" w:hAnsi="Arial"/>
                <w:sz w:val="15"/>
                <w:szCs w:val="15"/>
                <w:color w:val="auto"/>
              </w:rPr>
              <w:t>Issuance of common</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 w:type="dxa"/>
            <w:vAlign w:val="bottom"/>
            <w:tcBorders>
              <w:right w:val="single" w:sz="8" w:color="auto"/>
            </w:tcBorders>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360"/>
              <w:spacing w:after="0" w:line="162" w:lineRule="exact"/>
              <w:rPr>
                <w:sz w:val="20"/>
                <w:szCs w:val="20"/>
                <w:color w:val="auto"/>
              </w:rPr>
            </w:pPr>
            <w:r>
              <w:rPr>
                <w:rFonts w:ascii="Arial" w:cs="Arial" w:eastAsia="Arial" w:hAnsi="Arial"/>
                <w:sz w:val="15"/>
                <w:szCs w:val="15"/>
                <w:color w:val="auto"/>
              </w:rPr>
              <w:t>stock in connection</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360"/>
              <w:spacing w:after="0" w:line="162" w:lineRule="exact"/>
              <w:rPr>
                <w:sz w:val="20"/>
                <w:szCs w:val="20"/>
                <w:color w:val="auto"/>
              </w:rPr>
            </w:pPr>
            <w:r>
              <w:rPr>
                <w:rFonts w:ascii="Arial" w:cs="Arial" w:eastAsia="Arial" w:hAnsi="Arial"/>
                <w:sz w:val="15"/>
                <w:szCs w:val="15"/>
                <w:color w:val="auto"/>
              </w:rPr>
              <w:t>with equity offering,</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360"/>
              <w:spacing w:after="0" w:line="162" w:lineRule="exact"/>
              <w:rPr>
                <w:sz w:val="20"/>
                <w:szCs w:val="20"/>
                <w:color w:val="auto"/>
              </w:rPr>
            </w:pPr>
            <w:r>
              <w:rPr>
                <w:rFonts w:ascii="Arial" w:cs="Arial" w:eastAsia="Arial" w:hAnsi="Arial"/>
                <w:sz w:val="15"/>
                <w:szCs w:val="15"/>
                <w:color w:val="auto"/>
              </w:rPr>
              <w:t>net of offering</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gridSpan w:val="2"/>
            <w:shd w:val="clear" w:color="auto" w:fill="CFF0FC"/>
          </w:tcPr>
          <w:p>
            <w:pPr>
              <w:ind w:left="360"/>
              <w:spacing w:after="0"/>
              <w:rPr>
                <w:sz w:val="20"/>
                <w:szCs w:val="20"/>
                <w:color w:val="auto"/>
              </w:rPr>
            </w:pPr>
            <w:r>
              <w:rPr>
                <w:rFonts w:ascii="Arial" w:cs="Arial" w:eastAsia="Arial" w:hAnsi="Arial"/>
                <w:sz w:val="15"/>
                <w:szCs w:val="15"/>
                <w:color w:val="auto"/>
              </w:rPr>
              <w:t>costs of $643</w:t>
            </w:r>
          </w:p>
        </w:tc>
        <w:tc>
          <w:tcPr>
            <w:tcW w:w="1040" w:type="dxa"/>
            <w:vAlign w:val="bottom"/>
            <w:gridSpan w:val="3"/>
            <w:shd w:val="clear" w:color="auto" w:fill="CFF0FC"/>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5,175,000</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150,152</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150,157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gridSpan w:val="2"/>
          </w:tcPr>
          <w:p>
            <w:pPr>
              <w:ind w:left="260"/>
              <w:spacing w:after="0"/>
              <w:rPr>
                <w:sz w:val="20"/>
                <w:szCs w:val="20"/>
                <w:color w:val="auto"/>
              </w:rPr>
            </w:pPr>
            <w:r>
              <w:rPr>
                <w:rFonts w:ascii="Arial" w:cs="Arial" w:eastAsia="Arial" w:hAnsi="Arial"/>
                <w:sz w:val="15"/>
                <w:szCs w:val="15"/>
                <w:color w:val="auto"/>
              </w:rPr>
              <w:t>Exercise of stock options</w:t>
            </w:r>
          </w:p>
        </w:tc>
        <w:tc>
          <w:tcPr>
            <w:tcW w:w="1040" w:type="dxa"/>
            <w:vAlign w:val="bottom"/>
            <w:gridSpan w:val="3"/>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522,006</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1,665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Repurchase of unvested</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360"/>
              <w:spacing w:after="0" w:line="162" w:lineRule="exact"/>
              <w:rPr>
                <w:sz w:val="20"/>
                <w:szCs w:val="20"/>
                <w:color w:val="auto"/>
              </w:rPr>
            </w:pPr>
            <w:r>
              <w:rPr>
                <w:rFonts w:ascii="Arial" w:cs="Arial" w:eastAsia="Arial" w:hAnsi="Arial"/>
                <w:sz w:val="15"/>
                <w:szCs w:val="15"/>
                <w:color w:val="auto"/>
              </w:rPr>
              <w:t>early exercised stock</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gridSpan w:val="2"/>
            <w:shd w:val="clear" w:color="auto" w:fill="CFF0FC"/>
          </w:tcPr>
          <w:p>
            <w:pPr>
              <w:ind w:left="360"/>
              <w:spacing w:after="0"/>
              <w:rPr>
                <w:sz w:val="20"/>
                <w:szCs w:val="20"/>
                <w:color w:val="auto"/>
              </w:rPr>
            </w:pPr>
            <w:r>
              <w:rPr>
                <w:rFonts w:ascii="Arial" w:cs="Arial" w:eastAsia="Arial" w:hAnsi="Arial"/>
                <w:sz w:val="15"/>
                <w:szCs w:val="15"/>
                <w:color w:val="auto"/>
              </w:rPr>
              <w:t>options</w:t>
            </w:r>
          </w:p>
        </w:tc>
        <w:tc>
          <w:tcPr>
            <w:tcW w:w="1040" w:type="dxa"/>
            <w:vAlign w:val="bottom"/>
            <w:gridSpan w:val="3"/>
            <w:shd w:val="clear" w:color="auto" w:fill="CFF0FC"/>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(971)</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Vesting of early-</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gridSpan w:val="2"/>
          </w:tcPr>
          <w:p>
            <w:pPr>
              <w:ind w:left="360"/>
              <w:spacing w:after="0"/>
              <w:rPr>
                <w:sz w:val="20"/>
                <w:szCs w:val="20"/>
                <w:color w:val="auto"/>
              </w:rPr>
            </w:pPr>
            <w:r>
              <w:rPr>
                <w:rFonts w:ascii="Arial" w:cs="Arial" w:eastAsia="Arial" w:hAnsi="Arial"/>
                <w:sz w:val="15"/>
                <w:szCs w:val="15"/>
                <w:color w:val="auto"/>
              </w:rPr>
              <w:t>exercised stock options</w:t>
            </w:r>
          </w:p>
        </w:tc>
        <w:tc>
          <w:tcPr>
            <w:tcW w:w="1040" w:type="dxa"/>
            <w:vAlign w:val="bottom"/>
            <w:gridSpan w:val="3"/>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239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Issuance under employee</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gridSpan w:val="2"/>
            <w:shd w:val="clear" w:color="auto" w:fill="CFF0FC"/>
          </w:tcPr>
          <w:p>
            <w:pPr>
              <w:ind w:left="360"/>
              <w:spacing w:after="0"/>
              <w:rPr>
                <w:sz w:val="20"/>
                <w:szCs w:val="20"/>
                <w:color w:val="auto"/>
              </w:rPr>
            </w:pPr>
            <w:r>
              <w:rPr>
                <w:rFonts w:ascii="Arial" w:cs="Arial" w:eastAsia="Arial" w:hAnsi="Arial"/>
                <w:sz w:val="15"/>
                <w:szCs w:val="15"/>
                <w:color w:val="auto"/>
              </w:rPr>
              <w:t>stock purchase plan</w:t>
            </w:r>
          </w:p>
        </w:tc>
        <w:tc>
          <w:tcPr>
            <w:tcW w:w="1040" w:type="dxa"/>
            <w:vAlign w:val="bottom"/>
            <w:gridSpan w:val="3"/>
            <w:shd w:val="clear" w:color="auto" w:fill="CFF0FC"/>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103,464</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Stock-based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gridSpan w:val="2"/>
          </w:tcPr>
          <w:p>
            <w:pPr>
              <w:ind w:left="360"/>
              <w:spacing w:after="0"/>
              <w:rPr>
                <w:sz w:val="20"/>
                <w:szCs w:val="20"/>
                <w:color w:val="auto"/>
              </w:rPr>
            </w:pPr>
            <w:r>
              <w:rPr>
                <w:rFonts w:ascii="Arial" w:cs="Arial" w:eastAsia="Arial" w:hAnsi="Arial"/>
                <w:sz w:val="15"/>
                <w:szCs w:val="15"/>
                <w:color w:val="auto"/>
              </w:rPr>
              <w:t>compensation</w:t>
            </w:r>
          </w:p>
        </w:tc>
        <w:tc>
          <w:tcPr>
            <w:tcW w:w="1040" w:type="dxa"/>
            <w:vAlign w:val="bottom"/>
            <w:gridSpan w:val="3"/>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15,800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260"/>
              <w:spacing w:after="0" w:line="162" w:lineRule="exact"/>
              <w:rPr>
                <w:sz w:val="20"/>
                <w:szCs w:val="20"/>
                <w:color w:val="auto"/>
              </w:rPr>
            </w:pPr>
            <w:r>
              <w:rPr>
                <w:rFonts w:ascii="Arial" w:cs="Arial" w:eastAsia="Arial" w:hAnsi="Arial"/>
                <w:sz w:val="15"/>
                <w:szCs w:val="15"/>
                <w:color w:val="auto"/>
              </w:rPr>
              <w:t>Unrealized loss on</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CFF0FC"/>
          </w:tcPr>
          <w:p>
            <w:pPr>
              <w:ind w:left="360"/>
              <w:spacing w:after="0" w:line="162" w:lineRule="exact"/>
              <w:rPr>
                <w:sz w:val="20"/>
                <w:szCs w:val="20"/>
                <w:color w:val="auto"/>
              </w:rPr>
            </w:pPr>
            <w:r>
              <w:rPr>
                <w:rFonts w:ascii="Arial" w:cs="Arial" w:eastAsia="Arial" w:hAnsi="Arial"/>
                <w:sz w:val="15"/>
                <w:szCs w:val="15"/>
                <w:color w:val="auto"/>
              </w:rPr>
              <w:t>available-for-sale</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tcBorders>
              <w:right w:val="single" w:sz="8" w:color="auto"/>
            </w:tcBorders>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gridSpan w:val="2"/>
            <w:shd w:val="clear" w:color="auto" w:fill="CFF0FC"/>
          </w:tcPr>
          <w:p>
            <w:pPr>
              <w:ind w:left="360"/>
              <w:spacing w:after="0"/>
              <w:rPr>
                <w:sz w:val="20"/>
                <w:szCs w:val="20"/>
                <w:color w:val="auto"/>
              </w:rPr>
            </w:pPr>
            <w:r>
              <w:rPr>
                <w:rFonts w:ascii="Arial" w:cs="Arial" w:eastAsia="Arial" w:hAnsi="Arial"/>
                <w:sz w:val="15"/>
                <w:szCs w:val="15"/>
                <w:color w:val="auto"/>
              </w:rPr>
              <w:t>investments</w:t>
            </w:r>
          </w:p>
        </w:tc>
        <w:tc>
          <w:tcPr>
            <w:tcW w:w="1040" w:type="dxa"/>
            <w:vAlign w:val="bottom"/>
            <w:gridSpan w:val="3"/>
            <w:shd w:val="clear" w:color="auto" w:fill="CFF0FC"/>
          </w:tcPr>
          <w:p>
            <w:pPr>
              <w:ind w:left="20"/>
              <w:spacing w:after="0"/>
              <w:rPr>
                <w:sz w:val="20"/>
                <w:szCs w:val="20"/>
                <w:color w:val="auto"/>
              </w:rPr>
            </w:pPr>
            <w:r>
              <w:rPr>
                <w:rFonts w:ascii="Arial" w:cs="Arial" w:eastAsia="Arial" w:hAnsi="Arial"/>
                <w:sz w:val="15"/>
                <w:szCs w:val="15"/>
                <w:color w:val="auto"/>
              </w:rPr>
              <w:t>—</w:t>
            </w:r>
          </w:p>
        </w:tc>
        <w:tc>
          <w:tcPr>
            <w:tcW w:w="44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3"/>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(695)</w:t>
            </w: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(695)</w:t>
            </w:r>
          </w:p>
        </w:tc>
        <w:tc>
          <w:tcPr>
            <w:tcW w:w="0" w:type="dxa"/>
            <w:vAlign w:val="bottom"/>
          </w:tcPr>
          <w:p>
            <w:pPr>
              <w:spacing w:after="0"/>
              <w:rPr>
                <w:sz w:val="1"/>
                <w:szCs w:val="1"/>
                <w:color w:val="auto"/>
              </w:rPr>
            </w:pPr>
          </w:p>
        </w:tc>
      </w:tr>
      <w:tr>
        <w:trPr>
          <w:trHeight w:val="175"/>
        </w:trPr>
        <w:tc>
          <w:tcPr>
            <w:tcW w:w="2680" w:type="dxa"/>
            <w:vAlign w:val="bottom"/>
          </w:tcPr>
          <w:p>
            <w:pPr>
              <w:ind w:left="260"/>
              <w:spacing w:after="0"/>
              <w:rPr>
                <w:sz w:val="20"/>
                <w:szCs w:val="20"/>
                <w:color w:val="auto"/>
              </w:rPr>
            </w:pPr>
            <w:r>
              <w:rPr>
                <w:rFonts w:ascii="Arial" w:cs="Arial" w:eastAsia="Arial" w:hAnsi="Arial"/>
                <w:sz w:val="15"/>
                <w:szCs w:val="15"/>
                <w:color w:val="auto"/>
              </w:rPr>
              <w:t>Net loss</w:t>
            </w:r>
          </w:p>
        </w:tc>
        <w:tc>
          <w:tcPr>
            <w:tcW w:w="66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right w:val="single" w:sz="8" w:color="auto"/>
            </w:tcBorders>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w w:val="93"/>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(117,194)</w:t>
            </w:r>
          </w:p>
        </w:tc>
        <w:tc>
          <w:tcPr>
            <w:tcW w:w="14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(117,194)</w:t>
            </w: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Balance as of November 30,</w:t>
            </w:r>
          </w:p>
        </w:tc>
        <w:tc>
          <w:tcPr>
            <w:tcW w:w="660" w:type="dxa"/>
            <w:vAlign w:val="bottom"/>
            <w:shd w:val="clear" w:color="auto" w:fill="CFF0FC"/>
          </w:tcPr>
          <w:p>
            <w:pPr>
              <w:spacing w:after="0"/>
              <w:rPr>
                <w:sz w:val="13"/>
                <w:szCs w:val="13"/>
                <w:color w:val="auto"/>
              </w:rPr>
            </w:pPr>
          </w:p>
        </w:tc>
        <w:tc>
          <w:tcPr>
            <w:tcW w:w="1040" w:type="dxa"/>
            <w:vAlign w:val="bottom"/>
            <w:gridSpan w:val="3"/>
            <w:vMerge w:val="restart"/>
            <w:shd w:val="clear" w:color="auto" w:fill="CFF0FC"/>
          </w:tcPr>
          <w:p>
            <w:pPr>
              <w:ind w:left="20"/>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w:t>
            </w:r>
          </w:p>
        </w:tc>
        <w:tc>
          <w:tcPr>
            <w:tcW w:w="44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2021</w:t>
            </w:r>
          </w:p>
        </w:tc>
        <w:tc>
          <w:tcPr>
            <w:tcW w:w="660" w:type="dxa"/>
            <w:vAlign w:val="bottom"/>
            <w:shd w:val="clear" w:color="auto" w:fill="CFF0FC"/>
          </w:tcPr>
          <w:p>
            <w:pPr>
              <w:spacing w:after="0"/>
              <w:rPr>
                <w:sz w:val="15"/>
                <w:szCs w:val="15"/>
                <w:color w:val="auto"/>
              </w:rPr>
            </w:pPr>
          </w:p>
        </w:tc>
        <w:tc>
          <w:tcPr>
            <w:tcW w:w="1040" w:type="dxa"/>
            <w:vAlign w:val="bottom"/>
            <w:gridSpan w:val="3"/>
            <w:vMerge w:val="continue"/>
            <w:shd w:val="clear" w:color="auto" w:fill="CFF0FC"/>
          </w:tcPr>
          <w:p>
            <w:pPr>
              <w:spacing w:after="0"/>
              <w:rPr>
                <w:sz w:val="15"/>
                <w:szCs w:val="15"/>
                <w:color w:val="auto"/>
              </w:rPr>
            </w:pPr>
          </w:p>
        </w:tc>
        <w:tc>
          <w:tcPr>
            <w:tcW w:w="440" w:type="dxa"/>
            <w:vAlign w:val="bottom"/>
            <w:tcBorders>
              <w:right w:val="single" w:sz="8" w:color="auto"/>
            </w:tcBorders>
            <w:gridSpan w:val="2"/>
            <w:vMerge w:val="continue"/>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44,664,371</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83"/>
              </w:rPr>
              <w:t>45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563,757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(608)</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   (220,892)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342,302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Year Ended November 30,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6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(117,194)</w:t>
            </w:r>
          </w:p>
        </w:tc>
        <w:tc>
          <w:tcPr>
            <w:tcW w:w="4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(43,242)</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(21,699)</w:t>
            </w: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provided by operating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FF0FC"/>
          </w:tcPr>
          <w:p>
            <w:pPr>
              <w:spacing w:after="0"/>
              <w:rPr>
                <w:sz w:val="19"/>
                <w:szCs w:val="19"/>
                <w:color w:val="auto"/>
              </w:rPr>
            </w:pPr>
          </w:p>
        </w:tc>
      </w:tr>
      <w:tr>
        <w:trPr>
          <w:trHeight w:val="215"/>
        </w:trPr>
        <w:tc>
          <w:tcPr>
            <w:tcW w:w="6640" w:type="dxa"/>
            <w:vAlign w:val="bottom"/>
          </w:tcPr>
          <w:p>
            <w:pPr>
              <w:ind w:left="260"/>
              <w:spacing w:after="0"/>
              <w:rPr>
                <w:sz w:val="20"/>
                <w:szCs w:val="20"/>
                <w:color w:val="auto"/>
              </w:rPr>
            </w:pPr>
            <w:r>
              <w:rPr>
                <w:rFonts w:ascii="Arial" w:cs="Arial" w:eastAsia="Arial" w:hAnsi="Arial"/>
                <w:sz w:val="18"/>
                <w:szCs w:val="18"/>
                <w:color w:val="auto"/>
              </w:rPr>
              <w:t>Net amortization (accretion) of premium (discount)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on investments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(7,500)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260"/>
              <w:spacing w:after="0"/>
              <w:rPr>
                <w:sz w:val="20"/>
                <w:szCs w:val="20"/>
                <w:color w:val="auto"/>
              </w:rPr>
            </w:pPr>
            <w:r>
              <w:rPr>
                <w:rFonts w:ascii="Arial" w:cs="Arial" w:eastAsia="Arial" w:hAnsi="Arial"/>
                <w:sz w:val="18"/>
                <w:szCs w:val="18"/>
                <w:color w:val="auto"/>
              </w:rPr>
              <w:t>Income tax receivable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(3,846)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(5,442)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(3,941)</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16,885</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(5,144)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FF0FC"/>
          </w:tcPr>
          <w:p>
            <w:pPr>
              <w:spacing w:after="0"/>
              <w:rPr>
                <w:sz w:val="19"/>
                <w:szCs w:val="19"/>
                <w:color w:val="auto"/>
              </w:rPr>
            </w:pP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(84,365)</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(348,497)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(275,224)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(9,351)</w:t>
            </w: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Sales of investments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Maturities of investments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238,913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19,500</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(5,661)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(4,553)</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(1,651)</w:t>
            </w:r>
          </w:p>
        </w:tc>
      </w:tr>
      <w:tr>
        <w:trPr>
          <w:trHeight w:val="223"/>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(108,251)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(254,404)</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8,498</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640" w:type="dxa"/>
            <w:vAlign w:val="bottom"/>
          </w:tcPr>
          <w:p>
            <w:pPr>
              <w:spacing w:after="0"/>
              <w:rPr>
                <w:sz w:val="20"/>
                <w:szCs w:val="20"/>
                <w:color w:val="auto"/>
              </w:rPr>
            </w:pPr>
            <w:r>
              <w:rPr>
                <w:rFonts w:ascii="Arial" w:cs="Arial" w:eastAsia="Arial" w:hAnsi="Arial"/>
                <w:sz w:val="18"/>
                <w:szCs w:val="18"/>
                <w:color w:val="auto"/>
              </w:rPr>
              <w:t>Proceeds from issuance of common stock, net of underwriting</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discounts and commissions and offering costs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150,157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218,147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redeemable convertible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 net of issuance costs</w:t>
            </w:r>
          </w:p>
        </w:tc>
        <w:tc>
          <w:tcPr>
            <w:tcW w:w="3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119,914</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under employee stock purchase plan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Repurchase of unvested early exercised stock options</w:t>
            </w: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6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153,882</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339,024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09"/>
        </w:trPr>
        <w:tc>
          <w:tcPr>
            <w:tcW w:w="6640" w:type="dxa"/>
            <w:vAlign w:val="bottom"/>
          </w:tcPr>
          <w:p>
            <w:pPr>
              <w:spacing w:after="0"/>
              <w:rPr>
                <w:sz w:val="20"/>
                <w:szCs w:val="20"/>
                <w:color w:val="auto"/>
              </w:rPr>
            </w:pPr>
            <w:r>
              <w:rPr>
                <w:rFonts w:ascii="Arial" w:cs="Arial" w:eastAsia="Arial" w:hAnsi="Arial"/>
                <w:sz w:val="18"/>
                <w:szCs w:val="18"/>
                <w:color w:val="auto"/>
              </w:rPr>
              <w:t>Net (decrease) increase in cash, cash equivalents and</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(38,734)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84,540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9,225</w:t>
            </w:r>
          </w:p>
        </w:tc>
        <w:tc>
          <w:tcPr>
            <w:tcW w:w="100" w:type="dxa"/>
            <w:vAlign w:val="bottom"/>
          </w:tcPr>
          <w:p>
            <w:pPr>
              <w:spacing w:after="0"/>
              <w:rPr>
                <w:sz w:val="20"/>
                <w:szCs w:val="20"/>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34,986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November 30,</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Supplementary disclosures of cash flow information:</w:t>
            </w:r>
          </w:p>
        </w:tc>
        <w:tc>
          <w:tcPr>
            <w:tcW w:w="5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3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481</w:t>
            </w:r>
          </w:p>
        </w:tc>
        <w:tc>
          <w:tcPr>
            <w:tcW w:w="540" w:type="dxa"/>
            <w:vAlign w:val="bottom"/>
            <w:gridSpan w:val="2"/>
          </w:tcPr>
          <w:p>
            <w:pPr>
              <w:jc w:val="right"/>
              <w:ind w:right="11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Supplemental disclosures of non-cash investing and financing activities:</w:t>
            </w:r>
          </w:p>
        </w:tc>
        <w:tc>
          <w:tcPr>
            <w:tcW w:w="5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80" w:type="dxa"/>
            <w:vAlign w:val="bottom"/>
          </w:tcPr>
          <w:p>
            <w:pPr>
              <w:spacing w:after="0"/>
              <w:rPr>
                <w:sz w:val="20"/>
                <w:szCs w:val="20"/>
                <w:color w:val="auto"/>
              </w:rPr>
            </w:pPr>
            <w:r>
              <w:rPr>
                <w:rFonts w:ascii="Arial" w:cs="Arial" w:eastAsia="Arial" w:hAnsi="Arial"/>
                <w:sz w:val="18"/>
                <w:szCs w:val="18"/>
                <w:color w:val="auto"/>
              </w:rPr>
              <w:t>Right-of-use assets recognized in exchange for lease obligations</w:t>
            </w:r>
          </w:p>
        </w:tc>
        <w:tc>
          <w:tcPr>
            <w:tcW w:w="13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2,371</w:t>
            </w:r>
          </w:p>
        </w:tc>
        <w:tc>
          <w:tcPr>
            <w:tcW w:w="540" w:type="dxa"/>
            <w:vAlign w:val="bottom"/>
            <w:gridSpan w:val="2"/>
          </w:tcPr>
          <w:p>
            <w:pPr>
              <w:jc w:val="right"/>
              <w:ind w:right="114"/>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0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Additions to property and equipment included in accounts</w:t>
            </w:r>
          </w:p>
        </w:tc>
        <w:tc>
          <w:tcPr>
            <w:tcW w:w="58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payable and accrued expenses and other liabilities</w:t>
            </w:r>
          </w:p>
        </w:tc>
        <w:tc>
          <w:tcPr>
            <w:tcW w:w="5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Vesting of early exercised stock options</w:t>
            </w:r>
          </w:p>
        </w:tc>
        <w:tc>
          <w:tcPr>
            <w:tcW w:w="1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FF0FC"/>
            </w:tcBorders>
            <w:vMerge w:val="continue"/>
          </w:tcPr>
          <w:p>
            <w:pPr>
              <w:spacing w:after="0"/>
              <w:rPr>
                <w:sz w:val="21"/>
                <w:szCs w:val="21"/>
                <w:color w:val="auto"/>
              </w:rPr>
            </w:pPr>
          </w:p>
        </w:tc>
        <w:tc>
          <w:tcPr>
            <w:tcW w:w="580" w:type="dxa"/>
            <w:vAlign w:val="bottom"/>
            <w:tcBorders>
              <w:bottom w:val="single" w:sz="8" w:color="CFF0FC"/>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Conversion of redeemable convertible preferred stock into</w:t>
            </w:r>
          </w:p>
        </w:tc>
        <w:tc>
          <w:tcPr>
            <w:tcW w:w="58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common stock upon closing of initial public offering</w:t>
            </w:r>
          </w:p>
        </w:tc>
        <w:tc>
          <w:tcPr>
            <w:tcW w:w="58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168,109</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3"/>
              </w:rPr>
              <w:t>As of November 30,</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234"/>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5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80,506</w:t>
            </w:r>
          </w:p>
        </w:tc>
        <w:tc>
          <w:tcPr>
            <w:tcW w:w="540" w:type="dxa"/>
            <w:vAlign w:val="bottom"/>
            <w:gridSpan w:val="2"/>
          </w:tcPr>
          <w:p>
            <w:pPr>
              <w:jc w:val="right"/>
              <w:ind w:right="114"/>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119,356</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500"/>
              <w:spacing w:after="0"/>
              <w:rPr>
                <w:sz w:val="20"/>
                <w:szCs w:val="20"/>
                <w:color w:val="auto"/>
              </w:rPr>
            </w:pPr>
            <w:r>
              <w:rPr>
                <w:rFonts w:ascii="Arial" w:cs="Arial" w:eastAsia="Arial" w:hAnsi="Arial"/>
                <w:sz w:val="18"/>
                <w:szCs w:val="18"/>
                <w:color w:val="auto"/>
              </w:rPr>
              <w:t>Cash, cash equivalents and restricted cash</w:t>
            </w:r>
          </w:p>
        </w:tc>
        <w:tc>
          <w:tcPr>
            <w:tcW w:w="580" w:type="dxa"/>
            <w:vAlign w:val="bottom"/>
          </w:tcPr>
          <w:p>
            <w:pPr>
              <w:spacing w:after="0"/>
              <w:rPr>
                <w:sz w:val="19"/>
                <w:szCs w:val="19"/>
                <w:color w:val="auto"/>
              </w:rPr>
            </w:pP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80,792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119,526</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b w:val="1"/>
          <w:bCs w:val="1"/>
          <w:color w:val="auto"/>
        </w:rPr>
        <w:t>NURIX THERAPEUTICS,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Nurix Therapeutics, Inc. (the Company) previously known as Nurix, Inc., was incorporated in the state of Delaware on August 27, 2009 and is headquartered in San Francisco, California. The Company is a clinical stage biopharmaceutical company focused on the discovery, development and commercialization of small molecule therapies designed to modulate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The Company’s drug discovery approach is to either harness or inhibit the natural function of E3 ligases within the ubiquitin-proteasome system to selectively decrease or increase cellular protein levels to treat disease.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Immediately prior to the closing of the IPO, all outstanding shares of the Company’s redeemable convertible preferred stock automatically converted into 22,245,251 shares of common stock. Net proceeds from the IPO, including the exercise of the underwriters’ option to purchase additional shares, were $218.1 million, after deducting underwriting discounts and commissions of $16.7 million and expenses of $3.6 million.</w:t>
      </w:r>
    </w:p>
    <w:p>
      <w:pPr>
        <w:spacing w:after="0" w:line="87"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Subsequent to the closing of the IPO, there were no shares of preferred stock outstanding. In connection with the closing of the IPO, the Company restated its Restated Certificate of Incorporation to change the authorized capital stock to 500,000,000 shares designated as common stock, and 10,000,000 shares designated as preferred stock, all with a par value of $0.001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400" w:firstLine="589"/>
        <w:spacing w:after="0" w:line="286" w:lineRule="auto"/>
        <w:rPr>
          <w:sz w:val="20"/>
          <w:szCs w:val="20"/>
          <w:color w:val="auto"/>
        </w:rPr>
      </w:pPr>
      <w:r>
        <w:rPr>
          <w:rFonts w:ascii="Arial" w:cs="Arial" w:eastAsia="Arial" w:hAnsi="Arial"/>
          <w:sz w:val="17"/>
          <w:szCs w:val="17"/>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approximately $150.2 million, after deducting underwriting discounts and commissions of $9.6 million and expenses of $0.6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w:t>
      </w:r>
    </w:p>
    <w:p>
      <w:pPr>
        <w:spacing w:after="0" w:line="117" w:lineRule="exact"/>
        <w:rPr>
          <w:sz w:val="20"/>
          <w:szCs w:val="20"/>
          <w:color w:val="auto"/>
        </w:rPr>
      </w:pPr>
    </w:p>
    <w:p>
      <w:pPr>
        <w:ind w:firstLine="864"/>
        <w:spacing w:after="0" w:line="296" w:lineRule="auto"/>
        <w:rPr>
          <w:sz w:val="20"/>
          <w:szCs w:val="20"/>
          <w:color w:val="auto"/>
        </w:rPr>
      </w:pPr>
      <w:r>
        <w:rPr>
          <w:rFonts w:ascii="Arial" w:cs="Arial" w:eastAsia="Arial" w:hAnsi="Arial"/>
          <w:sz w:val="16"/>
          <w:szCs w:val="16"/>
          <w:color w:val="auto"/>
        </w:rPr>
        <w:t>In August 2021, the Company filed a shelf registration statement on Form S-3 with the SEC. This shelf registration statement, which includes a base prospectus, allows the Company at any time to offer and sell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53" w:lineRule="exact"/>
        <w:rPr>
          <w:sz w:val="20"/>
          <w:szCs w:val="20"/>
          <w:color w:val="auto"/>
        </w:rPr>
      </w:pPr>
    </w:p>
    <w:p>
      <w:pPr>
        <w:ind w:firstLine="864"/>
        <w:spacing w:after="0" w:line="259" w:lineRule="auto"/>
        <w:rPr>
          <w:sz w:val="20"/>
          <w:szCs w:val="20"/>
          <w:color w:val="auto"/>
        </w:rPr>
      </w:pPr>
      <w:r>
        <w:rPr>
          <w:rFonts w:ascii="Arial" w:cs="Arial" w:eastAsia="Arial" w:hAnsi="Arial"/>
          <w:sz w:val="18"/>
          <w:szCs w:val="18"/>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As of November 30, 2021, the Company has not sold any shares of common stock pursuant to the Equity Distribution Agreement and $150.0 million in shares remained available under the Equity Distribution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i w:val="1"/>
          <w:iCs w:val="1"/>
          <w:color w:val="auto"/>
        </w:rPr>
        <w:t>Liquidity and Management Plans</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The Company’s operations have historically been financed through the issuance of common and redeemable convertible preferred stock and proceeds received under the Company’s collaboration and license agreements. Since inception, the Company has generally incurred significant losses and negative net cash flows from operations. During the year ended November 30, 2021, the Company incurred a net loss of $117.2 million and had negative net cash flows from operating activities of $84.4 million. The Company had an accumulated deficit of $220.9 million as of November 30, 2021 and will require substantial additional capital for research and development activities. The Company anticipates incurring additional losses until such time, if ever, that it can generate significant sales of its drug candidates currently in development. As of November 30, 2021, the Company had cash, cash equivalents and short-term investments of $295.7 million and working capital of $244.9 million.</w:t>
      </w:r>
    </w:p>
    <w:p>
      <w:pPr>
        <w:spacing w:after="0" w:line="7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Management believes that its cash, cash equivalents and short-term investments are sufficient to continue operating activities for at least 12 months following the issuance date of these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The Company’s consolidated financial statements include the accounts of the Company and its wholly owned subsidiaries, including DeCART Therapeutics Inc., and have been prepared in accordance with U.S. generally accepted accounting principles (U.S. GAAP). All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On July 17, 2020, the Company filed an amendment to the Company’s amended and restated certificate of incorporation to effect a reverse split of shares of the Company’s common stock and redeemable convertible preferred stock, each on a 1-for-3 basis (reverse stock split). The par value and authorized shares of the common stock and redeemable convertible preferred stock were not adjusted as a result of the reverse stock split. All issued and outstanding common stock, options to purchase common stock and per share amounts contained in the consolidated financial statements have been retroactively adjusted to give effect to the reverse stock split for all periods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The Company is subject to a number of risks similar to other clinical-stage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69"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Moreover, the current COVID-19 pandemic, which is impacting worldwide economic activity,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will impact the Company’s business will depend on future developments that are highly uncertain and cannot be predicted at this time.</w:t>
      </w:r>
    </w:p>
    <w:p>
      <w:pPr>
        <w:spacing w:after="0" w:line="79"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may directly or indirectly impact the Company’s financial statements is highly uncertain and subject to change. Management considered the potential impact of the COVID-19 pandemic on its estimates and assumptions and there was not a material impact to the Company’s consolidated financial statements as of and for the year ended November 30, 2021; however, actual results could differ from those estimates and there may be changes to management’s estimates in future periods.</w:t>
      </w:r>
    </w:p>
    <w:p>
      <w:pPr>
        <w:spacing w:after="0" w:line="84"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Company operates and manages its business as one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who reviews consolidated financial information on a company-wide basis for purposes of allocating resources and assessing financial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which consist of money market funds, are stated at fair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firstLine="589"/>
        <w:spacing w:after="0" w:line="275" w:lineRule="auto"/>
        <w:rPr>
          <w:sz w:val="20"/>
          <w:szCs w:val="20"/>
          <w:color w:val="auto"/>
        </w:rPr>
      </w:pPr>
      <w:r>
        <w:rPr>
          <w:rFonts w:ascii="Arial" w:cs="Arial" w:eastAsia="Arial" w:hAnsi="Arial"/>
          <w:sz w:val="17"/>
          <w:szCs w:val="17"/>
          <w:color w:val="auto"/>
        </w:rPr>
        <w:t>The Company had $0.3 million and $0.2 million of restricted cash recorded as a non-current asset as of November 30, 2021 and 2020, respectively. Restricted cash as of November 30, 2021 consisted of $0.1 million that serves as collateral for a business credit card account and $0.2 million for letters of credit required under operating leases. Restricted cash as of November 30, 2020 consisted of $0.1 million that serves as collateral for a business credit card account and $0.1 million for a letter of credit required under an operating lease. These balances are included within the cash, cash equivalents and restricted cash balance in the accompanying consolidated statements of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 carrying amounts of the Company’s financial instruments, including cash equivalents, accounts payable and accrued liabilities included in the Company’s consolidated financial statements approximate their fair value due to the nature of the financial instruments. Refer to Note 5 for more information regarding the fair value of the Company’s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 xml:space="preserve">The Company adopted ASU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on December 1, 2020. Investments consist of money market funds, U.S. Treasuries, corporate debt securities, U.S. government agency securities, corporate commercial paper and municipal securities. The Company’s investments are classified as available-for-sale and carried at estimated fair values and reported in cash equivalents, short-term investments or long-term investments. Management determines the appropriate classification of the investments at the time they are acquired and evaluates the appropriateness of such classifications at each consolidated balance sheet date. Investments with contractual maturities greater than 12 months are considered long-term investments.</w:t>
      </w:r>
    </w:p>
    <w:p>
      <w:pPr>
        <w:spacing w:after="0" w:line="84" w:lineRule="exact"/>
        <w:rPr>
          <w:sz w:val="20"/>
          <w:szCs w:val="20"/>
          <w:color w:val="auto"/>
        </w:rPr>
      </w:pPr>
    </w:p>
    <w:p>
      <w:pPr>
        <w:ind w:right="60" w:firstLine="589"/>
        <w:spacing w:after="0" w:line="253" w:lineRule="auto"/>
        <w:rPr>
          <w:sz w:val="20"/>
          <w:szCs w:val="20"/>
          <w:color w:val="auto"/>
        </w:rPr>
      </w:pPr>
      <w:r>
        <w:rPr>
          <w:rFonts w:ascii="Arial" w:cs="Arial" w:eastAsia="Arial" w:hAnsi="Arial"/>
          <w:sz w:val="18"/>
          <w:szCs w:val="18"/>
          <w:color w:val="auto"/>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as interest and other income, net in the consolidated statements of operations, and an allowance for credit loss is recorded on the consolidated balance sheet. In circumstances when the decline in fair value is non-credit related, the difference is reported in accumulated other comprehensive income (loss), net of tax as a separate component of stockholders’ equity (deficit).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Property and equipment are stated at cost, net of accumulated depreciation and amortization. Major improvements are capitalized, while maintenance and repairs are expensed when incurred. Depreciation is computed using the straight-line method over the estimated useful lives of the assets. The useful life of laboratory equipment, computer equipment, furniture and fixtures and software is generally three years. Tenant improvements are depreciated over the shorter of the lease term or the estimated useful life of the improvements. When assets are retired or disposed of, the cost together with related accumulated depreciation is removed from the Company’s accounts and the resulting gain or loss is reflected in the Company’s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60" w:firstLine="667"/>
        <w:spacing w:after="0" w:line="311" w:lineRule="auto"/>
        <w:rPr>
          <w:sz w:val="20"/>
          <w:szCs w:val="20"/>
          <w:color w:val="auto"/>
        </w:rPr>
      </w:pPr>
      <w:r>
        <w:rPr>
          <w:rFonts w:ascii="Arial" w:cs="Arial" w:eastAsia="Arial" w:hAnsi="Arial"/>
          <w:sz w:val="16"/>
          <w:szCs w:val="16"/>
          <w:color w:val="auto"/>
        </w:rPr>
        <w:t xml:space="preserve">The Company adopted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on December 1, 2020 using the alternative modified transition method, which applies Topic 842 as of the adoption date and therefore, the Company has not applied the standard to the comparative periods presented in the Company's consolidated financial statements. Prior period amounts continue to be reported in accordance with the historic guidance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2" w:name="page143"/>
    <w:bookmarkEnd w:id="142"/>
    <w:p>
      <w:pPr>
        <w:ind w:right="80" w:firstLine="667"/>
        <w:spacing w:after="0" w:line="289" w:lineRule="auto"/>
        <w:rPr>
          <w:sz w:val="20"/>
          <w:szCs w:val="20"/>
          <w:color w:val="auto"/>
        </w:rPr>
      </w:pPr>
      <w:r>
        <w:rPr>
          <w:rFonts w:ascii="Arial" w:cs="Arial" w:eastAsia="Arial" w:hAnsi="Arial"/>
          <w:sz w:val="16"/>
          <w:szCs w:val="16"/>
          <w:color w:val="auto"/>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spacing w:after="0" w:line="58"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 Development Costs</w:t>
      </w:r>
    </w:p>
    <w:p>
      <w:pPr>
        <w:spacing w:after="0" w:line="117"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The Company capitalizes qualifying costs incurred during the application development stage related to software developed for internal-use and amortizes them over the estimated useful life of three years. Amortization of such costs begins when the project is substantially complete and ready for its intended use. Capitalized software development costs are classified as property and equipment, net on the consolidated balance sheet. The Company expenses costs incurred related to the planning and post-implementation phases of development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November 30, 2021, 2020 and 2019.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The Company capitalizes within other assets certain legal, accounting and other third-party fees that are directly related to the Company’s in-process equity financings, including the IPO, until such financings are consummated. After consummation of an equity financing, these costs are recorded in stockholder’s equity as a reduction of additional paid-in capital generated as a result of the offering. Should a planned equity financing be abandoned, terminated or significantly delayed, the deferred offering costs are immediately written off to operating expenses. As of November 30, 2021, there was $0.5 million of deferred offering costs included in other assets on the consolidated balance sheet. There were no deferred offering costs capitalized as of November 30, 2020.</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 xml:space="preserve">Prior to December 1, 2019, the Company recognized revenue in accordance with the Financial Accounting Standards Board’s (FASB)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Accordingly, revenue is recognized for each unit of accounting when all of the following criteria are met:</w:t>
      </w:r>
    </w:p>
    <w:p>
      <w:pPr>
        <w:spacing w:after="0" w:line="76" w:lineRule="exact"/>
        <w:rPr>
          <w:sz w:val="20"/>
          <w:szCs w:val="20"/>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The Company evaluates multiple element arrangements to determine if each deliverable represents a separate unit of accounting based on the following criteria:</w:t>
      </w:r>
    </w:p>
    <w:p>
      <w:pPr>
        <w:spacing w:after="0" w:line="62" w:lineRule="exact"/>
        <w:rPr>
          <w:sz w:val="20"/>
          <w:szCs w:val="20"/>
          <w:color w:val="auto"/>
        </w:rPr>
      </w:pPr>
    </w:p>
    <w:p>
      <w:pPr>
        <w:ind w:left="1160" w:hanging="572"/>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Delivered item or items have value to the customer on a standalone basis, and</w:t>
      </w:r>
    </w:p>
    <w:p>
      <w:pPr>
        <w:spacing w:after="0" w:line="117" w:lineRule="exact"/>
        <w:rPr>
          <w:rFonts w:ascii="Arial" w:cs="Arial" w:eastAsia="Arial" w:hAnsi="Arial"/>
          <w:sz w:val="18"/>
          <w:szCs w:val="18"/>
          <w:color w:val="auto"/>
        </w:rPr>
      </w:pPr>
    </w:p>
    <w:p>
      <w:pPr>
        <w:ind w:left="1160" w:right="20" w:hanging="572"/>
        <w:spacing w:after="0" w:line="277" w:lineRule="auto"/>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 or items, delivery or performance of the undelivered item or items is considered probable and substantially in control of the Company.</w:t>
      </w:r>
    </w:p>
    <w:p>
      <w:pPr>
        <w:spacing w:after="0" w:line="62"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The arrangement’s consideration that is fixed or determinable is then allocated to each separate unit of accounting based on the relative selling price methodology in accordance with the selling price hierarchy, which includes vendor-specific objective evidence (VSOE) of selling price, if available, or third-party evidence of selling price if VSOE is not available, or the best estimate of selling price, if neither VSOE nor third-party evidence is available. The provisions of ASC 605 are then applied to each unit of accounting to determine the appropriate revenue recognition. In the event that a deliverable of a multiple element arrangement does not represent a separate unit of accounting, primarily because a deliverable does not provide value on a standalone basis, the Company recognizes revenue from the combined unit of accounting using the input/proportional performance approach as research is delivered or on a straight-line basis over the estimated period of performance when there is no discernable pattern of performance.</w:t>
      </w:r>
    </w:p>
    <w:p>
      <w:pPr>
        <w:spacing w:after="0" w:line="58" w:lineRule="exact"/>
        <w:rPr>
          <w:sz w:val="20"/>
          <w:szCs w:val="20"/>
          <w:color w:val="auto"/>
        </w:rPr>
      </w:pPr>
    </w:p>
    <w:p>
      <w:pPr>
        <w:ind w:right="40" w:firstLine="589"/>
        <w:spacing w:after="0" w:line="284" w:lineRule="auto"/>
        <w:rPr>
          <w:sz w:val="20"/>
          <w:szCs w:val="20"/>
          <w:color w:val="auto"/>
        </w:rPr>
      </w:pPr>
      <w:r>
        <w:rPr>
          <w:rFonts w:ascii="Arial" w:cs="Arial" w:eastAsia="Arial" w:hAnsi="Arial"/>
          <w:sz w:val="16"/>
          <w:szCs w:val="16"/>
          <w:color w:val="auto"/>
        </w:rPr>
        <w:t xml:space="preserve">The Company evaluates potential milestone payments associated with research and development arrangements in accordance with ASC 605-28, </w:t>
      </w:r>
      <w:r>
        <w:rPr>
          <w:rFonts w:ascii="Arial" w:cs="Arial" w:eastAsia="Arial" w:hAnsi="Arial"/>
          <w:sz w:val="16"/>
          <w:szCs w:val="16"/>
          <w:i w:val="1"/>
          <w:iCs w:val="1"/>
          <w:color w:val="auto"/>
        </w:rPr>
        <w:t xml:space="preserve">Milestone Method. </w:t>
      </w:r>
      <w:r>
        <w:rPr>
          <w:rFonts w:ascii="Arial" w:cs="Arial" w:eastAsia="Arial" w:hAnsi="Arial"/>
          <w:sz w:val="16"/>
          <w:szCs w:val="16"/>
          <w:color w:val="auto"/>
        </w:rPr>
        <w:t>Under the milestone method, the Company may recognize revenue contingent upon the achievement of a milestone in its entirety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which the milestone is achieved, only if the milestone meets all the criteria within the guidance to be considered a substantive milestone. The Company evaluates each contingent payment on an individual basis to determine whether they are considered substantive milestones, specifically reviewing factors such as the degree of certainty in achieving the milestone, the research and development risk and other risks that must be overcome to achieve the milestone, as well as the level of effort and investment required and whether the milestone consideration is reasonable relative to all deliverables and payment terms in the arrangement. This evaluation includes an assessment of whether (a) the consideration is commensurate with either</w:t>
      </w:r>
    </w:p>
    <w:p>
      <w:pPr>
        <w:spacing w:after="0" w:line="2" w:lineRule="exact"/>
        <w:rPr>
          <w:sz w:val="20"/>
          <w:szCs w:val="20"/>
          <w:color w:val="auto"/>
        </w:rPr>
      </w:pPr>
    </w:p>
    <w:p>
      <w:pPr>
        <w:ind w:firstLine="8"/>
        <w:spacing w:after="0" w:line="253"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entity’s performance to achieve the milestone, or (2) the enhancement of the value of the delivered item(s) as a result of a specific outcome resulting from the entity’s performance to achieve the milestone, (b) the consideration relates solely to past performance and (c) the consideration is reasonable relative to all of the deliverables and payment terms within the arrangement. Revenues from milestones, if they are nonrefundable and deemed substantive, are recognized upon achievement of the milestones.</w:t>
      </w:r>
    </w:p>
    <w:p>
      <w:pPr>
        <w:spacing w:after="0" w:line="85"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To the extent that non-substantive milestones are achieved, and the Company has remaining deliverables, milestone payments are deferred and recognized as revenue over the estimated remaining performance period using the appropriate measure of progress as determined for each agreement. The Company recognizes revenue associated with the non-substantive milestones upon achievement of the milestone if the Company has no remaining deliverables. During the year ended November 30, 2019, no milestone payments were received, no milestone revenues were recognized and no milestones were considered substantive.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4" w:name="page145"/>
    <w:bookmarkEnd w:id="144"/>
    <w:p>
      <w:pPr>
        <w:ind w:firstLine="589"/>
        <w:spacing w:after="0" w:line="296" w:lineRule="auto"/>
        <w:rPr>
          <w:sz w:val="20"/>
          <w:szCs w:val="20"/>
          <w:color w:val="auto"/>
        </w:rPr>
      </w:pPr>
      <w:r>
        <w:rPr>
          <w:rFonts w:ascii="Arial" w:cs="Arial" w:eastAsia="Arial" w:hAnsi="Arial"/>
          <w:sz w:val="16"/>
          <w:szCs w:val="16"/>
          <w:color w:val="auto"/>
        </w:rPr>
        <w:t xml:space="preserve">Effective December 1, 2019, the Company adopted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using the modified retrospective method, which was only applied to contracts that were not completed as of the adoption date. As of the adoption date, the Company had only one contract, a collaboration agreement with Gilead, not completed. Under Topic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Topic 606, the Company performs the following five steps:</w:t>
      </w:r>
    </w:p>
    <w:p>
      <w:pPr>
        <w:spacing w:after="0" w:line="53" w:lineRule="exact"/>
        <w:rPr>
          <w:sz w:val="20"/>
          <w:szCs w:val="20"/>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17" w:lineRule="exact"/>
        <w:rPr>
          <w:sz w:val="20"/>
          <w:szCs w:val="20"/>
          <w:color w:val="auto"/>
        </w:rPr>
      </w:pPr>
    </w:p>
    <w:p>
      <w:pPr>
        <w:jc w:val="both"/>
        <w:ind w:right="540" w:firstLine="589"/>
        <w:spacing w:after="0" w:line="286" w:lineRule="auto"/>
        <w:rPr>
          <w:sz w:val="20"/>
          <w:szCs w:val="20"/>
          <w:color w:val="auto"/>
        </w:rPr>
      </w:pPr>
      <w:r>
        <w:rPr>
          <w:rFonts w:ascii="Arial" w:cs="Arial" w:eastAsia="Arial" w:hAnsi="Arial"/>
          <w:sz w:val="17"/>
          <w:szCs w:val="17"/>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57"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80"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i w:val="1"/>
          <w:iCs w:val="1"/>
          <w:color w:val="auto"/>
        </w:rPr>
        <w:t>Research and collaboration licenses</w:t>
      </w:r>
      <w:r>
        <w:rPr>
          <w:rFonts w:ascii="Arial" w:cs="Arial" w:eastAsia="Arial" w:hAnsi="Arial"/>
          <w:sz w:val="18"/>
          <w:szCs w:val="18"/>
          <w:color w:val="auto"/>
        </w:rPr>
        <w:t>: If a license is determined to be distinct from the other promises identified in the arrangement,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At the inception of each arrangement that includes research, development, or regulatory milestone payments,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0"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i w:val="1"/>
          <w:iCs w:val="1"/>
          <w:color w:val="auto"/>
        </w:rPr>
        <w:t>Sales-based milestones and royalties</w:t>
      </w:r>
      <w:r>
        <w:rPr>
          <w:rFonts w:ascii="Arial" w:cs="Arial" w:eastAsia="Arial" w:hAnsi="Arial"/>
          <w:sz w:val="17"/>
          <w:szCs w:val="17"/>
          <w:color w:val="auto"/>
        </w:rPr>
        <w:t>: 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5" w:name="page146"/>
    <w:bookmarkEnd w:id="145"/>
    <w:p>
      <w:pPr>
        <w:ind w:firstLine="589"/>
        <w:spacing w:after="0" w:line="270" w:lineRule="auto"/>
        <w:rPr>
          <w:sz w:val="20"/>
          <w:szCs w:val="20"/>
          <w:color w:val="auto"/>
        </w:rPr>
      </w:pPr>
      <w:r>
        <w:rPr>
          <w:rFonts w:ascii="Arial" w:cs="Arial" w:eastAsia="Arial" w:hAnsi="Arial"/>
          <w:sz w:val="17"/>
          <w:szCs w:val="17"/>
          <w:i w:val="1"/>
          <w:iCs w:val="1"/>
          <w:color w:val="auto"/>
        </w:rPr>
        <w:t>Customer options</w:t>
      </w:r>
      <w:r>
        <w:rPr>
          <w:rFonts w:ascii="Arial" w:cs="Arial" w:eastAsia="Arial" w:hAnsi="Arial"/>
          <w:sz w:val="17"/>
          <w:szCs w:val="17"/>
          <w:color w:val="auto"/>
        </w:rPr>
        <w:t>: Customer options, such as options granted to allow a licensee to extend a license or research term, to select additional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73"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Deferred revenue, which is a contract liability, represents amounts received by the Company for which the related revenues have not been recognized because one or more of the revenue recognition criteria have not been met. The current portion of deferred revenue represents the amount to be recognized within one year from the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revenue was derived from customers located in the United States during the years ended November 30, 2021,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The Company expenses all research and development costs as incurred. Research and development costs include, but are not limited to, payroll and personnel expenses, laboratory supplies, preclinical study costs, clinical trial costs, compound manufacturing costs, consulting costs and allocated overhead, including rent, equipment, depreciation and utilities.</w:t>
      </w:r>
    </w:p>
    <w:p>
      <w:pPr>
        <w:spacing w:after="0" w:line="76" w:lineRule="exact"/>
        <w:rPr>
          <w:sz w:val="20"/>
          <w:szCs w:val="20"/>
          <w:color w:val="auto"/>
        </w:rPr>
      </w:pPr>
    </w:p>
    <w:p>
      <w:pPr>
        <w:ind w:right="200" w:firstLine="589"/>
        <w:spacing w:after="0" w:line="259" w:lineRule="auto"/>
        <w:rPr>
          <w:sz w:val="20"/>
          <w:szCs w:val="20"/>
          <w:color w:val="auto"/>
        </w:rPr>
      </w:pPr>
      <w:r>
        <w:rPr>
          <w:rFonts w:ascii="Arial" w:cs="Arial" w:eastAsia="Arial" w:hAnsi="Arial"/>
          <w:sz w:val="18"/>
          <w:szCs w:val="18"/>
          <w:color w:val="auto"/>
        </w:rPr>
        <w:t>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consolidated balance sheet.</w:t>
      </w:r>
    </w:p>
    <w:p>
      <w:pPr>
        <w:spacing w:after="0" w:line="79"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The Company accounts for stock-based compensation using a fair value-based method, which requires the recognition of compensation expense for costs related to all stock-based payments including stock options, restricted stock units (RSUs) and purchase rights under the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highly complex and subjective variables. The model requires management to make a number of assumptions including expected volatility, expected term, risk-free interest rate and expected dividend yield. Prior to its IPO, the fair value of the Company’s common stock was determined by the Company’s board of directors with assistance from management and an independent third-party valuation firm, using significant judgment and several factors including important developments in the Company’s operations, sales of redeemable convertible preferred stock and the lack of liquidity of the common stock. Subsequent to the IPO, the Company determines the fair value of stock options, RSUs and purchase rights under the ESPP using the market closing price of the Company’s common stock on the date of grant.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6" w:name="page147"/>
    <w:bookmarkEnd w:id="146"/>
    <w:p>
      <w:pPr>
        <w:ind w:right="60" w:firstLine="589"/>
        <w:spacing w:after="0" w:line="291" w:lineRule="auto"/>
        <w:rPr>
          <w:sz w:val="20"/>
          <w:szCs w:val="20"/>
          <w:color w:val="auto"/>
        </w:rPr>
      </w:pPr>
      <w:r>
        <w:rPr>
          <w:rFonts w:ascii="Arial" w:cs="Arial" w:eastAsia="Arial" w:hAnsi="Arial"/>
          <w:sz w:val="16"/>
          <w:szCs w:val="16"/>
          <w:color w:val="auto"/>
        </w:rPr>
        <w:t xml:space="preserve">For stock-based payments with service conditions only, the Company uses the straight-line method to allocate compensation cost to reporting periods over the requisite service period, which is generally the vesting period. Subsequent to the adoption of ASU 2018-07,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718): Improvements to Nonemployee Share-Based Payment Accounting </w:t>
      </w:r>
      <w:r>
        <w:rPr>
          <w:rFonts w:ascii="Arial" w:cs="Arial" w:eastAsia="Arial" w:hAnsi="Arial"/>
          <w:sz w:val="16"/>
          <w:szCs w:val="16"/>
          <w:color w:val="auto"/>
        </w:rPr>
        <w:t>as of December 1, 2019, 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the Company evaluates the probability of achieving performance conditions at each reporting date. The Company begins to recognize compensation cost using an accelerated attribution method when it is deemed probable that the performance condition will be met. The Company accounts for forfeitures as they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w:t>
      </w:r>
    </w:p>
    <w:p>
      <w:pPr>
        <w:spacing w:after="0" w:line="79" w:lineRule="exact"/>
        <w:rPr>
          <w:sz w:val="20"/>
          <w:szCs w:val="20"/>
          <w:color w:val="auto"/>
        </w:rPr>
      </w:pPr>
    </w:p>
    <w:p>
      <w:pPr>
        <w:jc w:val="both"/>
        <w:ind w:right="160" w:firstLine="589"/>
        <w:spacing w:after="0" w:line="263" w:lineRule="auto"/>
        <w:rPr>
          <w:sz w:val="20"/>
          <w:szCs w:val="20"/>
          <w:color w:val="auto"/>
        </w:rPr>
      </w:pPr>
      <w:r>
        <w:rPr>
          <w:rFonts w:ascii="Arial" w:cs="Arial" w:eastAsia="Arial" w:hAnsi="Arial"/>
          <w:sz w:val="18"/>
          <w:szCs w:val="18"/>
          <w:color w:val="auto"/>
        </w:rPr>
        <w:t>Financial statement effects of uncertain tax positions are recognized when it is more likely than not, based on the technical merits of the position, that it will be sustained upon examination. It is the Company’s policy to include penalties and interest expense related to income taxes as a component of the provision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firstLine="589"/>
        <w:spacing w:after="0" w:line="311" w:lineRule="auto"/>
        <w:rPr>
          <w:sz w:val="20"/>
          <w:szCs w:val="20"/>
          <w:color w:val="auto"/>
        </w:rPr>
      </w:pPr>
      <w:r>
        <w:rPr>
          <w:rFonts w:ascii="Arial" w:cs="Arial" w:eastAsia="Arial" w:hAnsi="Arial"/>
          <w:sz w:val="16"/>
          <w:szCs w:val="16"/>
          <w:color w:val="auto"/>
        </w:rPr>
        <w:t>Comprehensive loss represents the net loss for the period and other comprehensive income (loss). Other comprehensive income (loss) reflects certain gains and losses that are recorded as a component of stockholders’ equity (deficit) and are not reflected in the consolidated statements of operations. The Company’s other comprehensive income (loss) consists of changes in unrealized gains and losses on available-for-sale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80" w:firstLine="589"/>
        <w:spacing w:after="0" w:line="287"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common stock outstanding during the period, without consideration for potentially dilutive securities. Diluted net loss is calculated by dividing the net loss by the weighted-average number of common stock and potentially dilutive securities outstanding for the period. For purposes of the diluted net loss per share calculation, redeemable convertible preferred stock, stock options, RSUs, common stock subject to repurchase related to unvested restricted stock awards and early exercise of stock options are considered to be potentially dilutive securities. Basic and diluted net loss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the lessee to recognize a ROU asset and a lease liability for operating leases, initially measured at the present value of lease payments, in its consolidated balance sheet. The Company adopted ASU 2016-02 effective December 1, 2020 using the alternative modified transition method, which applies ASU 2016-02 as of the adoption date and therefore, the Company has not applied the standard to the comparative periods presented in the Company's consolidated financial statements. The Company elected the “package of practical expedients,” which permits the Company to not reassess its prior conclusions about lease identification, lease classification and initial direct costs. The Company also elected the hindsight practical expedient to determine the lease term, the practical expedient to not separate lease and non-lease components and the policy election to not recognize ROU assets or lease liabilities for short-term leases. As of the adoption date of December 1, 2020, the Company recognized an operating lease ROU asset of $13.3 million, operating lease current liabilities of $3.3 million and operating lease long-term liabilities of $10.9 million. The difference between the operating lease ROU asset and operating lease liabilities primarily represented the existing deferred rent liability balance as of the adoption date of $0.9 million. Operating lease ROU assets are presented within other assets, operating lease current liabilities are presented within current liabilities and operating lease long-term liabilities are presented within non-current liabilities on the consolidated balance sheet. See Note 6 “Commitments and Contingencies” for additional details.</w:t>
      </w:r>
    </w:p>
    <w:p>
      <w:pPr>
        <w:spacing w:after="0" w:line="60"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which requires that financial assets measured at amortized cost be presented at the net amount expected to be 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investments and instead focuses on determining whether any impairment is a result of a credit loss or other factors. An entity will recognize an allowance for credit losses on available-for-sale debt investments rather than an other-than-temporary impairment that reduces the cost basis of the investment. The Company adopted ASU 2016-13 as of December 1, 2020. The adoption did not have an impact on the Company’s consolidated financial statements.</w:t>
      </w:r>
    </w:p>
    <w:p>
      <w:pPr>
        <w:spacing w:after="0" w:line="69"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Measurements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on fair value measurements by removing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to disclose amounts of and reasons for transfers between Level 1 and Level 2 of the fair value hierarchy, the policy for timing of transfers between levels, and the valuation process for Level 3 fair value measurements, among other modifications to fair value measurement disclosure requirements. The Company adopted ASU 2018-13 as of December 1, 2020. The adoption did not have an impact on the Company’s consolidated financial statements.</w:t>
      </w:r>
    </w:p>
    <w:p>
      <w:pPr>
        <w:spacing w:after="0" w:line="84" w:lineRule="exact"/>
        <w:rPr>
          <w:sz w:val="20"/>
          <w:szCs w:val="20"/>
          <w:color w:val="auto"/>
        </w:rPr>
      </w:pPr>
    </w:p>
    <w:p>
      <w:pPr>
        <w:ind w:firstLine="589"/>
        <w:spacing w:after="0" w:line="218" w:lineRule="exact"/>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Topic 606 </w:t>
      </w:r>
      <w:r>
        <w:rPr>
          <w:rFonts w:ascii="Arial" w:cs="Arial" w:eastAsia="Arial" w:hAnsi="Arial"/>
          <w:sz w:val="18"/>
          <w:szCs w:val="18"/>
          <w:color w:val="auto"/>
        </w:rPr>
        <w:t>(ASU 2018-18). ASU 2018-18 clarifies that certain transactions between collaborative arrangement participants should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when the collaborative arrangement participant is a customer in the context of a unit of account and precludes recognizing as revenue consideration received from a collaborative arrangement participant if the participant is not a customer. ASU 2018</w:t>
      </w:r>
      <w:r>
        <w:rPr>
          <w:rFonts w:ascii="MS PGothic" w:cs="MS PGothic" w:eastAsia="MS PGothic" w:hAnsi="MS PGothic"/>
          <w:sz w:val="18"/>
          <w:szCs w:val="18"/>
          <w:color w:val="auto"/>
        </w:rPr>
        <w:t>‑</w:t>
      </w:r>
      <w:r>
        <w:rPr>
          <w:rFonts w:ascii="Arial" w:cs="Arial" w:eastAsia="Arial" w:hAnsi="Arial"/>
          <w:sz w:val="18"/>
          <w:szCs w:val="18"/>
          <w:color w:val="auto"/>
        </w:rPr>
        <w:t>18 requires retrospective adoption to the date the Company adopted Topic 606 by recognizing a cumulative-effect adjustment to the opening balance of retained earnings of the earliest annual period presented. The Company adopted ASU 2018-18 as of December 1, 2020. The adoption did not have an impact on the Company’s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740)—Simplifying the Accounting for Income Taxes</w:t>
      </w:r>
      <w:r>
        <w:rPr>
          <w:rFonts w:ascii="Arial" w:cs="Arial" w:eastAsia="Arial" w:hAnsi="Arial"/>
          <w:sz w:val="17"/>
          <w:szCs w:val="17"/>
          <w:color w:val="auto"/>
        </w:rPr>
        <w:t xml:space="preserve"> (ASU 2019-12), which is intended to simplify accounting for income taxes. It removes certain exceptions to the general principles in Topic 740 and amends existing guidance to improve consistent application. ASU 2019-12 is effective for annual periods beginning after December 15, 2020, and interim periods within those fiscal years. Early adoption is permitted. The Company is in the process of evaluating the impact of this new guidance on its consolidated financial statements and does not expect the adoption to have a material impact on its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 Related Party)</w:t>
      </w:r>
    </w:p>
    <w:p>
      <w:pPr>
        <w:spacing w:after="0" w:line="117" w:lineRule="exact"/>
        <w:rPr>
          <w:sz w:val="20"/>
          <w:szCs w:val="20"/>
          <w:color w:val="auto"/>
        </w:rPr>
      </w:pPr>
    </w:p>
    <w:p>
      <w:pPr>
        <w:ind w:right="300" w:firstLine="589"/>
        <w:spacing w:after="0" w:line="286" w:lineRule="auto"/>
        <w:rPr>
          <w:sz w:val="20"/>
          <w:szCs w:val="20"/>
          <w:color w:val="auto"/>
        </w:rPr>
      </w:pPr>
      <w:r>
        <w:rPr>
          <w:rFonts w:ascii="Arial" w:cs="Arial" w:eastAsia="Arial" w:hAnsi="Arial"/>
          <w:sz w:val="17"/>
          <w:szCs w:val="17"/>
          <w:color w:val="auto"/>
        </w:rPr>
        <w:t>In September 2015, the Company entered into a collaboration agreement with Celgene Corporation (the Celgene Agreement and Celgene, respectively), which was later acquired by Bristol-Myers Squibb Company (BMS) in November 2019, with an initial research term of four years for the discovery, development and commercialization of novel small molecule therapeutics in oncology, inflammation and immunology.</w:t>
      </w:r>
    </w:p>
    <w:p>
      <w:pPr>
        <w:spacing w:after="0" w:line="57" w:lineRule="exact"/>
        <w:rPr>
          <w:sz w:val="20"/>
          <w:szCs w:val="20"/>
          <w:color w:val="auto"/>
        </w:rPr>
      </w:pPr>
    </w:p>
    <w:p>
      <w:pPr>
        <w:ind w:right="220" w:firstLine="589"/>
        <w:spacing w:after="0" w:line="311" w:lineRule="auto"/>
        <w:rPr>
          <w:sz w:val="20"/>
          <w:szCs w:val="20"/>
          <w:color w:val="auto"/>
        </w:rPr>
      </w:pPr>
      <w:r>
        <w:rPr>
          <w:rFonts w:ascii="Arial" w:cs="Arial" w:eastAsia="Arial" w:hAnsi="Arial"/>
          <w:sz w:val="16"/>
          <w:szCs w:val="16"/>
          <w:color w:val="auto"/>
        </w:rPr>
        <w:t>Under the terms of the Celgene Agreement, the Company received an upfront payment of $150.0 million in September 2015. In addition, in September 2015, Celgene purchased 1,622,222 shares of the Company’s Series C redeemable convertible preferred stock at a price of $10.50 per share, resulting in net proceeds of $17.0 million. As of November 30, 2019, BMS held approximately 10% of total shares outstanding on an as-converted basis.</w:t>
      </w:r>
    </w:p>
    <w:p>
      <w:pPr>
        <w:spacing w:after="0" w:line="4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In January 2019, Celgene and BMS entered into a definitive merger agreement pursuant to which Celgene agreed to be acquired by BMS. Based on the Company’s request for notification of the future disposition of the agreement, in June 2019, Celgene notified the Company that it was terminating the Celgene Agreement. Upon termination of the Celgene Agreement in June 2019, any rights that Celgene had under the agreement reverted to the Company and no termination payments were due or payable. The Company determined it had no remaining deliverables to be performed under the Celgene Agreement and as a result recognized all remaining deferred revenue in June 2019.</w:t>
      </w:r>
    </w:p>
    <w:p>
      <w:pPr>
        <w:spacing w:after="0" w:line="68"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Collaboration revenue related to the Celgene Agreement was $0, $0 and $28.4 million for the years ended November 30, 2021, 2020 and 2019, respectively. As of November 30, 2021, there was no deferred revenue recorded on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Gilead</w:t>
      </w:r>
    </w:p>
    <w:p>
      <w:pPr>
        <w:spacing w:after="0" w:line="117" w:lineRule="exact"/>
        <w:rPr>
          <w:sz w:val="20"/>
          <w:szCs w:val="20"/>
          <w:color w:val="auto"/>
        </w:rPr>
      </w:pPr>
    </w:p>
    <w:p>
      <w:pPr>
        <w:ind w:right="260" w:firstLine="589"/>
        <w:spacing w:after="0" w:line="311" w:lineRule="auto"/>
        <w:rPr>
          <w:sz w:val="20"/>
          <w:szCs w:val="20"/>
          <w:color w:val="auto"/>
        </w:rPr>
      </w:pPr>
      <w:r>
        <w:rPr>
          <w:rFonts w:ascii="Arial" w:cs="Arial" w:eastAsia="Arial" w:hAnsi="Arial"/>
          <w:sz w:val="16"/>
          <w:szCs w:val="16"/>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w:t>
      </w:r>
    </w:p>
    <w:p>
      <w:pPr>
        <w:spacing w:after="0" w:line="41" w:lineRule="exact"/>
        <w:rPr>
          <w:sz w:val="20"/>
          <w:szCs w:val="20"/>
          <w:color w:val="auto"/>
        </w:rPr>
      </w:pPr>
    </w:p>
    <w:p>
      <w:pPr>
        <w:ind w:right="80" w:firstLine="589"/>
        <w:spacing w:after="0" w:line="293" w:lineRule="auto"/>
        <w:rPr>
          <w:sz w:val="20"/>
          <w:szCs w:val="20"/>
          <w:color w:val="auto"/>
        </w:rPr>
      </w:pPr>
      <w:r>
        <w:rPr>
          <w:rFonts w:ascii="Arial" w:cs="Arial" w:eastAsia="Arial" w:hAnsi="Arial"/>
          <w:sz w:val="16"/>
          <w:szCs w:val="16"/>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56" w:lineRule="exact"/>
        <w:rPr>
          <w:sz w:val="20"/>
          <w:szCs w:val="20"/>
          <w:color w:val="auto"/>
        </w:rPr>
      </w:pPr>
    </w:p>
    <w:p>
      <w:pPr>
        <w:ind w:right="140" w:firstLine="589"/>
        <w:spacing w:after="0" w:line="271" w:lineRule="auto"/>
        <w:rPr>
          <w:sz w:val="20"/>
          <w:szCs w:val="20"/>
          <w:color w:val="auto"/>
        </w:rPr>
      </w:pPr>
      <w:r>
        <w:rPr>
          <w:rFonts w:ascii="Arial" w:cs="Arial" w:eastAsia="Arial" w:hAnsi="Arial"/>
          <w:sz w:val="17"/>
          <w:szCs w:val="17"/>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9" w:name="page150"/>
    <w:bookmarkEnd w:id="149"/>
    <w:p>
      <w:pPr>
        <w:ind w:firstLine="589"/>
        <w:spacing w:after="0" w:line="288" w:lineRule="auto"/>
        <w:rPr>
          <w:sz w:val="20"/>
          <w:szCs w:val="20"/>
          <w:color w:val="auto"/>
        </w:rPr>
      </w:pPr>
      <w:r>
        <w:rPr>
          <w:rFonts w:ascii="Arial" w:cs="Arial" w:eastAsia="Arial" w:hAnsi="Arial"/>
          <w:sz w:val="16"/>
          <w:szCs w:val="16"/>
          <w:color w:val="auto"/>
        </w:rPr>
        <w:t>Upon signing the Gilead Agreement, Gilead paid the Company an upfront payment of $45.0 million plus $3.0 million in additional fees. From the signing of the Gilead Agreement to November 30, 2021, the Company has received payments of $18.5 million for research milestones and additional payments, including $5.0 million, which was received in the fourth quarter of 2021. Additionally, in November 2021, the Company recognized a research milestone and received a payment of $6.0 million in the first quarter of 2022. As of November 30, 2021, the Company is eligible to receive up to approximately $2.3 billion in total additional payments, including up to $677.5 million upon the achievement of specified development milestones, up to $1.5 billion upon the achievement of specified sales milestones, subject to reduction for any product for which the Company exercises its option to co-develop and co-promote, and up to $139.8 million in certain additional fees related to target licensing, reservation and selection and research term extensions.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60"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If Gilead does not exercise an option to license a drug candidate, then the Gilead Agreement will terminate at the end of the last to expire option period.</w:t>
      </w:r>
    </w:p>
    <w:p>
      <w:pPr>
        <w:spacing w:after="0" w:line="58" w:lineRule="exact"/>
        <w:rPr>
          <w:sz w:val="20"/>
          <w:szCs w:val="20"/>
          <w:color w:val="auto"/>
        </w:rPr>
      </w:pPr>
    </w:p>
    <w:p>
      <w:pPr>
        <w:ind w:right="60" w:firstLine="589"/>
        <w:spacing w:after="0" w:line="288" w:lineRule="auto"/>
        <w:rPr>
          <w:sz w:val="20"/>
          <w:szCs w:val="20"/>
          <w:color w:val="auto"/>
        </w:rPr>
      </w:pPr>
      <w:r>
        <w:rPr>
          <w:rFonts w:ascii="Arial" w:cs="Arial" w:eastAsia="Arial" w:hAnsi="Arial"/>
          <w:sz w:val="16"/>
          <w:szCs w:val="16"/>
          <w:color w:val="auto"/>
        </w:rPr>
        <w:t>The Company identified the following promises in the Gilead Agreement: (1) the research licenses, (2) the research services, including selection campaign research services for certain replacement targets and (3) the obligation to share information during the research and to participate in the joint research committee and joint steering committee. The Company determined that the research licenses are not capable of being distinct due to the specialized nature of the research services to be provided by the Company, and, accordingly, this promise was combined with the research services and participation in the joint research committee as one single performance obligation. The Company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60" w:lineRule="exact"/>
        <w:rPr>
          <w:sz w:val="20"/>
          <w:szCs w:val="20"/>
          <w:color w:val="auto"/>
        </w:rPr>
      </w:pPr>
    </w:p>
    <w:p>
      <w:pPr>
        <w:ind w:right="20" w:firstLine="589"/>
        <w:spacing w:after="0" w:line="269" w:lineRule="auto"/>
        <w:rPr>
          <w:sz w:val="20"/>
          <w:szCs w:val="20"/>
          <w:color w:val="auto"/>
        </w:rPr>
      </w:pPr>
      <w:r>
        <w:rPr>
          <w:rFonts w:ascii="Arial" w:cs="Arial" w:eastAsia="Arial" w:hAnsi="Arial"/>
          <w:sz w:val="17"/>
          <w:szCs w:val="17"/>
          <w:color w:val="auto"/>
        </w:rPr>
        <w:t>In order to determine the transaction price, the Company evaluated all the payments to be received during the duration of the contract. Certain milestones and additional fees were considered variable consideration, which were not included in the transaction price based on the most likely amount method as of November 30, 2021. The Company will re-evaluate the transaction price in each reporting period and as uncertain events are resolved or other changes in circumstances occur. The Company determined that the transaction price at the inception of the Gilead Agreement consists of the upfront payment of $45.0 million and $3.0 million in additional fees. Upon the achievement of research milestones and fees added related to target reservations, $24.5 million in variable consideration was added to the transaction price, and a cumulative effect was recorded as revenue in the period the transaction price increased. The transaction price is recognized as collaboration revenue using the cost-based input method over the estimated contract term of five years. The contract term was determined to be the five-year initial research term which represents the estimated timing of completion of the identified deliverables. Additionally, the Company considered the impact of Gilead terminating the agreement prior to the completion of the research services during the initial five-year research term and determined that there were significant economic costs to Gilead for doing so, and as such, did not adjust the contract term.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0" w:name="page151"/>
    <w:bookmarkEnd w:id="150"/>
    <w:p>
      <w:pPr>
        <w:ind w:right="20" w:firstLine="589"/>
        <w:spacing w:after="0" w:line="255" w:lineRule="auto"/>
        <w:rPr>
          <w:sz w:val="20"/>
          <w:szCs w:val="20"/>
          <w:color w:val="auto"/>
        </w:rPr>
      </w:pPr>
      <w:r>
        <w:rPr>
          <w:rFonts w:ascii="Arial" w:cs="Arial" w:eastAsia="Arial" w:hAnsi="Arial"/>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84"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For the year ended November 30, 2021, the Company recognized collaboration revenue related to the Gilead Agreement of $16.6 million, of which $11.1 million was included in deferred revenue as of November 30, 2020, and $3.1 million was related to performance obligations satisfied in previous periods. For the year ended November 30, 2020, the Company recognized collaboration revenue related to the Gilead Agreement of $12.1 million, of which $9.4 million was included in deferred revenue as of November 30, 2019, and $0.9 million was related to performance obligations satisfied in previous periods. For the year ended November 30, 2019, the Company recognized revenue related to the Gilead Agreement of $2.7 million. As of November 30, 2021, $41.1 million was recorded as deferred revenue, of which $19.9 million was current, on the consolidated balance sheet related to the Gilead Agreement. Additionally, as of November 30, 2021, $6.0 million was included in accounts receivable which represents the billed revenue related to the research milestone recognized in November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117" w:lineRule="exact"/>
        <w:rPr>
          <w:sz w:val="20"/>
          <w:szCs w:val="20"/>
          <w:color w:val="auto"/>
        </w:rPr>
      </w:pPr>
    </w:p>
    <w:p>
      <w:pPr>
        <w:ind w:right="100" w:firstLine="594"/>
        <w:spacing w:after="0" w:line="291" w:lineRule="auto"/>
        <w:rPr>
          <w:sz w:val="20"/>
          <w:szCs w:val="20"/>
          <w:color w:val="auto"/>
        </w:rPr>
      </w:pPr>
      <w:r>
        <w:rPr>
          <w:rFonts w:ascii="Arial" w:cs="Arial" w:eastAsia="Arial" w:hAnsi="Arial"/>
          <w:sz w:val="16"/>
          <w:szCs w:val="16"/>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 The Company and Sanofi also entered into a first amendment to the collaboration agreement in January 2021 to modify the research term on all targets (the First Sanofi Amendment). Over time and subject to certain limitations, Sanofi may elect to replace the drug targets with other reserved targets.</w:t>
      </w:r>
    </w:p>
    <w:p>
      <w:pPr>
        <w:spacing w:after="0" w:line="58" w:lineRule="exact"/>
        <w:rPr>
          <w:sz w:val="20"/>
          <w:szCs w:val="20"/>
          <w:color w:val="auto"/>
        </w:rPr>
      </w:pPr>
    </w:p>
    <w:p>
      <w:pPr>
        <w:ind w:right="140" w:firstLine="589"/>
        <w:spacing w:after="0" w:line="291" w:lineRule="auto"/>
        <w:rPr>
          <w:sz w:val="20"/>
          <w:szCs w:val="20"/>
          <w:color w:val="auto"/>
        </w:rPr>
      </w:pPr>
      <w:r>
        <w:rPr>
          <w:rFonts w:ascii="Arial" w:cs="Arial" w:eastAsia="Arial" w:hAnsi="Arial"/>
          <w:sz w:val="16"/>
          <w:szCs w:val="16"/>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one of which must be selected from a list of targets designated at the execution of the Sanofi Agreement and one of which must be selected from targets identified by Sanofi in the future.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future internal programs, provided that the Company distinguished future programs as excluded from the scope of the collaboration.</w:t>
      </w:r>
    </w:p>
    <w:p>
      <w:pPr>
        <w:spacing w:after="0" w:line="58" w:lineRule="exact"/>
        <w:rPr>
          <w:sz w:val="20"/>
          <w:szCs w:val="20"/>
          <w:color w:val="auto"/>
        </w:rPr>
      </w:pPr>
    </w:p>
    <w:p>
      <w:pPr>
        <w:ind w:right="80" w:firstLine="589"/>
        <w:spacing w:after="0" w:line="271" w:lineRule="auto"/>
        <w:rPr>
          <w:sz w:val="20"/>
          <w:szCs w:val="20"/>
          <w:color w:val="auto"/>
        </w:rPr>
      </w:pPr>
      <w:r>
        <w:rPr>
          <w:rFonts w:ascii="Arial" w:cs="Arial" w:eastAsia="Arial" w:hAnsi="Arial"/>
          <w:sz w:val="17"/>
          <w:szCs w:val="17"/>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chimeric targeting molecules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1" w:name="page152"/>
    <w:bookmarkEnd w:id="151"/>
    <w:p>
      <w:pPr>
        <w:ind w:right="40" w:firstLine="589"/>
        <w:spacing w:after="0" w:line="288" w:lineRule="auto"/>
        <w:rPr>
          <w:sz w:val="20"/>
          <w:szCs w:val="20"/>
          <w:color w:val="auto"/>
        </w:rPr>
      </w:pPr>
      <w:r>
        <w:rPr>
          <w:rFonts w:ascii="Arial" w:cs="Arial" w:eastAsia="Arial" w:hAnsi="Arial"/>
          <w:sz w:val="16"/>
          <w:szCs w:val="16"/>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The Company is eligible to receive additional payments if Sanofi exercises an option to extend the license term with respect to a particular target. From the signing of the Sanofi Agreement to November 30, 2021, the Company has received a payment of $1.0 million for research milestones. As of November 30, 2021, the Company is eligible to receive up to approximately $2.5 billion in total payments, including payments of up to $499.0 million upon the achievement of specified development milestones, up to $625.0 million upon the achievement of specified regulatory milestones and up to $1.3 billion upon the achievement of certain sales milestones, as well as up to $143.8 million in certain additional fees related to target licensing and reservation. In addition, the Company is eligible to receive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60"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the expiration of (i) the last-to-expire patent with a valid claim covering the applicable licensed product in the applicable country, (ii) the expiration of any regulatory exclusivity for the applicable licensed product in the applicable country or (iii) ten years after the first commercial sale of the applicable licensed product in the applicable country covered by the Sanofi Agreement.</w:t>
      </w:r>
    </w:p>
    <w:p>
      <w:pPr>
        <w:spacing w:after="0" w:line="80"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are not capable of being distinct due to the specialized nature of the research services to be provided by the Company, and, accordingly, this promise was combined with the research services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87" w:lineRule="exact"/>
        <w:rPr>
          <w:sz w:val="20"/>
          <w:szCs w:val="20"/>
          <w:color w:val="auto"/>
        </w:rPr>
      </w:pPr>
    </w:p>
    <w:p>
      <w:pPr>
        <w:ind w:right="80" w:firstLine="589"/>
        <w:spacing w:after="0" w:line="286" w:lineRule="auto"/>
        <w:rPr>
          <w:sz w:val="20"/>
          <w:szCs w:val="20"/>
          <w:color w:val="auto"/>
        </w:rPr>
      </w:pPr>
      <w:r>
        <w:rPr>
          <w:rFonts w:ascii="Arial" w:cs="Arial" w:eastAsia="Arial" w:hAnsi="Arial"/>
          <w:sz w:val="16"/>
          <w:szCs w:val="16"/>
          <w:color w:val="auto"/>
        </w:rPr>
        <w:t>In order to determine the transaction price, the Company evaluated all the payments to be received during the duration of the contract. Milestone and additional fees were considered variable consideration, which were not included in the transaction price based on the most likely amount method as of November 30, 2021. The Company will re-evaluate the transaction price in each reporting period and as uncertain events are resolved or other changes in circumstances occur. At the inception of the Sanofi Agreement, the Company determined that the transaction price consists of the upfront payment of $55.0 million. To account for the material right related to the two additional targets, instead of determining the standalone selling price for the option directly, the Company applied the practical alternative to allocating the transaction price by determining the consideration that it expects to receive in exchange for the research activities that it expects to provide on the two additional targets for a total of five targets. The practical alternative can be applied as the research activities for the two additional targets are similar to the research activities for the initial three targets. Consequently, for the purpose of applying the practical alternative to estimating the standalone selling price of the material right, an expected consideration of $77.0 million was used for revenue recognition allocation, which represents the $55.0 million paid upfront for the three initial drug targets, and the $22.0 million for the additional consideration related to two additional targets which was included as part of applying the practical alternative, which was subsequently exercised by Sanofi. Subsequently, upon the achievement of research milestones, $1.0 million in variable consideration was added to the transaction price, and a cumulative effect was recorded as revenue in the period the transaction price increased. Revenue is recognized over the research term of 4.25 years, the revised research period that was agreed to in January 2021 in the First Sanofi Amendment, using the cost-based input method.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2" w:name="page153"/>
    <w:bookmarkEnd w:id="152"/>
    <w:p>
      <w:pPr>
        <w:ind w:right="80" w:firstLine="589"/>
        <w:spacing w:after="0" w:line="296" w:lineRule="auto"/>
        <w:rPr>
          <w:sz w:val="20"/>
          <w:szCs w:val="20"/>
          <w:color w:val="auto"/>
        </w:rPr>
      </w:pPr>
      <w:r>
        <w:rPr>
          <w:rFonts w:ascii="Arial" w:cs="Arial" w:eastAsia="Arial" w:hAnsi="Arial"/>
          <w:sz w:val="16"/>
          <w:szCs w:val="16"/>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53"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The Company accounted for the First Sanofi Amendment as if it were part of the existing contract with Sanofi as the remaining goods and services to be provided after the contract modification are not distinct from the goods and services already provided and, therefore, form part of a single performance obligation that is partially satisfied at the date of the contract modification. The contract modification did not have an effect on the contract transaction price. The effect of the revised research period on the Company’s measure of progress toward complete satisfaction of the performance obligation was recognized as an adjustment to revenue at the date of the contract modification on a cumulative catch-up basis.</w:t>
      </w:r>
    </w:p>
    <w:p>
      <w:pPr>
        <w:spacing w:after="0" w:line="6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For the year ended November 30, 2021, the Company recognized collaboration revenue related to the Sanofi Agreement of $13.2 million, of which $13.0 million was included in deferred revenue as of November 30, 2020, and $0.1 million was related to performance obligations satisfied in previous periods. For the year ended November 30, 2020, the Company recognized collaboration revenue related to the Sanofi Agreement of $5.7 million. As of November 30, 2021, $59.2 million was recorded as deferred revenue, of which $21.3 million was current, on the consolidated balance sheet related to the Sanofi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November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24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18,321</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14,120</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Software in progress</w:t>
            </w:r>
          </w:p>
        </w:tc>
        <w:tc>
          <w:tcPr>
            <w:tcW w:w="16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 gross</w:t>
            </w:r>
          </w:p>
        </w:tc>
        <w:tc>
          <w:tcPr>
            <w:tcW w:w="1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26,219</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19,855</w:t>
            </w:r>
          </w:p>
        </w:tc>
        <w:tc>
          <w:tcPr>
            <w:tcW w:w="12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(14,879)</w:t>
            </w:r>
          </w:p>
        </w:tc>
        <w:tc>
          <w:tcPr>
            <w:tcW w:w="4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(13,183)</w:t>
            </w:r>
          </w:p>
        </w:tc>
      </w:tr>
      <w:tr>
        <w:trPr>
          <w:trHeight w:val="223"/>
        </w:trPr>
        <w:tc>
          <w:tcPr>
            <w:tcW w:w="52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 net</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Depreciation and amortization expense was $2.8 million, $2.2 million and $2.4 million for the years ended November 30, 2021, 2020 and 2019, respectively. All long-lived assets are maintained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November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3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9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8,854</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5,725</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contract research and lab supplies</w:t>
            </w:r>
          </w:p>
        </w:tc>
        <w:tc>
          <w:tcPr>
            <w:tcW w:w="2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4,158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2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Accrued taxes</w:t>
            </w:r>
          </w:p>
        </w:tc>
        <w:tc>
          <w:tcPr>
            <w:tcW w:w="2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92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tcPr>
          <w:p>
            <w:pPr>
              <w:ind w:left="24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14,549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920" w:type="dxa"/>
            <w:vAlign w:val="bottom"/>
            <w:vMerge w:val="restart"/>
          </w:tcPr>
          <w:p>
            <w:pPr>
              <w:jc w:val="right"/>
              <w:ind w:right="1659"/>
              <w:spacing w:after="0"/>
              <w:rPr>
                <w:sz w:val="20"/>
                <w:szCs w:val="20"/>
                <w:color w:val="auto"/>
              </w:rPr>
            </w:pPr>
            <w:r>
              <w:rPr>
                <w:rFonts w:ascii="Arial" w:cs="Arial" w:eastAsia="Arial" w:hAnsi="Arial"/>
                <w:sz w:val="18"/>
                <w:szCs w:val="18"/>
                <w:color w:val="auto"/>
              </w:rPr>
              <w:t>151</w:t>
            </w: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40" w:firstLine="589"/>
        <w:spacing w:after="0" w:line="257" w:lineRule="auto"/>
        <w:rPr>
          <w:sz w:val="20"/>
          <w:szCs w:val="20"/>
          <w:color w:val="auto"/>
        </w:rPr>
      </w:pPr>
      <w:r>
        <w:rPr>
          <w:rFonts w:ascii="Arial" w:cs="Arial" w:eastAsia="Arial" w:hAnsi="Arial"/>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Level 1—Inputs that reflect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Level 3—Inputs that are unobservable.</w:t>
      </w:r>
    </w:p>
    <w:p>
      <w:pPr>
        <w:spacing w:after="0" w:line="117" w:lineRule="exact"/>
        <w:rPr>
          <w:sz w:val="20"/>
          <w:szCs w:val="20"/>
          <w:color w:val="auto"/>
        </w:rPr>
      </w:pPr>
    </w:p>
    <w:p>
      <w:pPr>
        <w:jc w:val="both"/>
        <w:ind w:right="400" w:firstLine="589"/>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76" w:lineRule="exact"/>
        <w:rPr>
          <w:sz w:val="20"/>
          <w:szCs w:val="20"/>
          <w:color w:val="auto"/>
        </w:rPr>
      </w:pPr>
    </w:p>
    <w:p>
      <w:pPr>
        <w:ind w:right="560" w:firstLine="589"/>
        <w:spacing w:after="0" w:line="277" w:lineRule="auto"/>
        <w:rPr>
          <w:sz w:val="20"/>
          <w:szCs w:val="20"/>
          <w:color w:val="auto"/>
        </w:rPr>
      </w:pPr>
      <w:r>
        <w:rPr>
          <w:rFonts w:ascii="Arial" w:cs="Arial" w:eastAsia="Arial" w:hAnsi="Arial"/>
          <w:sz w:val="18"/>
          <w:szCs w:val="18"/>
          <w:color w:val="auto"/>
        </w:rPr>
        <w:t>The following tables presents the Company’s investments, which consist of cash equivalents and investments classified as available-for-sale investments, that are measured at fair value on a recurring basis as of November 30, 2021 and 2020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November 30, 2021</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73,438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government agency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commercial paper</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Municipal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government agency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Municipal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426,449</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425,841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Cash and cash equivalents</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73,438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Included in Short-term investments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215,280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(542)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November 30, 2020</w:t>
            </w:r>
          </w:p>
        </w:tc>
        <w:tc>
          <w:tcPr>
            <w:tcW w:w="12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880" w:type="dxa"/>
            <w:vAlign w:val="bottom"/>
          </w:tcPr>
          <w:p>
            <w:pPr>
              <w:jc w:val="right"/>
              <w:ind w:right="92"/>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4"/>
                <w:szCs w:val="14"/>
                <w:color w:val="auto"/>
              </w:rPr>
            </w:pPr>
          </w:p>
        </w:tc>
        <w:tc>
          <w:tcPr>
            <w:tcW w:w="880" w:type="dxa"/>
            <w:vAlign w:val="bottom"/>
          </w:tcPr>
          <w:p>
            <w:pPr>
              <w:jc w:val="right"/>
              <w:ind w:right="292"/>
              <w:spacing w:after="0"/>
              <w:rPr>
                <w:sz w:val="20"/>
                <w:szCs w:val="20"/>
                <w:color w:val="auto"/>
              </w:rPr>
            </w:pPr>
            <w:r>
              <w:rPr>
                <w:rFonts w:ascii="Arial" w:cs="Arial" w:eastAsia="Arial" w:hAnsi="Arial"/>
                <w:sz w:val="14"/>
                <w:szCs w:val="14"/>
                <w:b w:val="1"/>
                <w:bCs w:val="1"/>
                <w:color w:val="auto"/>
              </w:rPr>
              <w:t>gain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2"/>
              </w:rPr>
              <w:t>Level 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treasury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U.S. government agency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commercial paper</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Municipal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government agency securities</w:t>
            </w:r>
          </w:p>
        </w:tc>
        <w:tc>
          <w:tcPr>
            <w:tcW w:w="12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70,373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Municipal securities</w:t>
            </w: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260"/>
              <w:spacing w:after="0"/>
              <w:rPr>
                <w:sz w:val="20"/>
                <w:szCs w:val="20"/>
                <w:color w:val="auto"/>
              </w:rPr>
            </w:pPr>
            <w:r>
              <w:rPr>
                <w:rFonts w:ascii="Arial" w:cs="Arial" w:eastAsia="Arial" w:hAnsi="Arial"/>
                <w:sz w:val="18"/>
                <w:szCs w:val="18"/>
                <w:color w:val="auto"/>
              </w:rPr>
              <w:t>Included in Cash and cash equivalents</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119,356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Included in Short-term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161,744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260"/>
              <w:spacing w:after="0"/>
              <w:rPr>
                <w:sz w:val="20"/>
                <w:szCs w:val="20"/>
                <w:color w:val="auto"/>
              </w:rPr>
            </w:pPr>
            <w:r>
              <w:rPr>
                <w:rFonts w:ascii="Arial" w:cs="Arial" w:eastAsia="Arial" w:hAnsi="Arial"/>
                <w:sz w:val="18"/>
                <w:szCs w:val="18"/>
                <w:color w:val="auto"/>
              </w:rPr>
              <w:t>Included in Long-term investments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90,849</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90,890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As of November 30, 2021 and 2020, the accrued interest receivable related to the Company’s investments was $0.9 million and $0.4 million, respectively, and was included in prepaid expenses and other current assets on the consolidated balance sheet.</w:t>
      </w:r>
    </w:p>
    <w:p>
      <w:pPr>
        <w:spacing w:after="0" w:line="62"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62"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 Company classifies its investments in corporate debt securities, U.S. government agency securities, corporate commercial paper, and municipal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years ended November 30, 2021 and 2020.</w:t>
      </w:r>
    </w:p>
    <w:p>
      <w:pPr>
        <w:spacing w:after="0" w:line="87"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As of November 30, 2021,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November 30, 2020, none of the Company’s available-for-sale investments that were in an unrealized loss position had been in an unrealized loss position for more than 12 months. As of November 30, 2021, no allowance for credit losses for the Company’s investments was recorded. During the years ended November 30, 2021, 2020 and 2019, the Company did not recognize any impairment losses related to investments.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November 30, 2021, the Company was not a party to any material legal proceedings.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consolidated financial statements as management believes such liability is immaterial.</w:t>
      </w:r>
    </w:p>
    <w:p>
      <w:pPr>
        <w:spacing w:after="0" w:line="69" w:lineRule="exact"/>
        <w:rPr>
          <w:sz w:val="20"/>
          <w:szCs w:val="20"/>
          <w:color w:val="auto"/>
        </w:rPr>
      </w:pPr>
    </w:p>
    <w:p>
      <w:pPr>
        <w:ind w:right="360" w:firstLine="589"/>
        <w:spacing w:after="0" w:line="293" w:lineRule="auto"/>
        <w:rPr>
          <w:sz w:val="20"/>
          <w:szCs w:val="20"/>
          <w:color w:val="auto"/>
        </w:rPr>
      </w:pPr>
      <w:r>
        <w:rPr>
          <w:rFonts w:ascii="Arial" w:cs="Arial" w:eastAsia="Arial" w:hAnsi="Arial"/>
          <w:sz w:val="16"/>
          <w:szCs w:val="16"/>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The Company leases office and laboratory facilities in San Francisco, California under a lease agreement. The original lease term was scheduled to end 60 months following the Company’s full occupancy of the leased premises, which occurred in April 2015. In October 2015, the Company entered into a second lease agreement for additional space in the same building as its existing office and laboratory facilities. In November 2017, the Company entered into an amendment to its original lease agreement that combined the Company’s two leases into a single lease agreement and extended the term of the lease agreement through April 30, 2025. The Company has an option to renew this lease for an additional two years which has not been included in the lease term used to calculate the ROU asset and lease liability as it is not reasonably certain that the Company will exercise this option. The Company is required to pay base rent plus the tenant’s proportionate share of operating expenses as defined in the lease agreement. Under the terms of the lease agreement, the Company paid the landlord security deposits totaling $91 thousand and issued a letter of credit to the landlord in the amount of $70 thousand, which is collateralized by a restricted deposit of $70 thousand. In June 2020, the Company entered into a new lease agreement for additional space in the same building as the Company’s existing office for a 14-month term ending on July 31, 2021.</w:t>
      </w:r>
    </w:p>
    <w:p>
      <w:pPr>
        <w:spacing w:after="0" w:line="60" w:lineRule="exact"/>
        <w:rPr>
          <w:sz w:val="20"/>
          <w:szCs w:val="20"/>
          <w:color w:val="auto"/>
        </w:rPr>
      </w:pPr>
    </w:p>
    <w:p>
      <w:pPr>
        <w:ind w:right="180" w:firstLine="589"/>
        <w:spacing w:after="0" w:line="273" w:lineRule="auto"/>
        <w:rPr>
          <w:sz w:val="20"/>
          <w:szCs w:val="20"/>
          <w:color w:val="auto"/>
        </w:rPr>
      </w:pPr>
      <w:r>
        <w:rPr>
          <w:rFonts w:ascii="Arial" w:cs="Arial" w:eastAsia="Arial" w:hAnsi="Arial"/>
          <w:sz w:val="17"/>
          <w:szCs w:val="17"/>
          <w:color w:val="auto"/>
        </w:rPr>
        <w:t>In December 2015, the Company entered into its first sublease agreement under which a portion of the Company’s leased space is subleased to another tenant. The term of the sublease, which was originally scheduled to end on December 31, 2017, was extended through December 31, 2018 as the result of an amendment executed in November 2017. The sublessee defaulted on this sublease agreement in August 2018, upon which a new creditor negotiated a second amendment to sublease dated October 2018 and the sublease agreement became a month-to-month agreement that ended in February 2019. The Company entered into its second sublease agreement with a different tenant in November 2018, which was subsequently amended in March 2019 to increase the size of the space. The term of the second sublease ended in August 2019.</w:t>
      </w:r>
    </w:p>
    <w:p>
      <w:pPr>
        <w:spacing w:after="0" w:line="70"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In July 2021, the Company entered into a lease agreement for the lease of approximately 19,320 square feet of office space located at 455 Mission Bay Boulevard South, San Francisco, California, for a research and development laboratory and related uses (Mission Bay Lease). The lease commenced on December 1, 2021 and will expire on June 30, 2024, unless terminated earlier. The minimum rent payable by the Company under the lease will be approximately $0.1 million per month and increase by 3% per year for total minimum rent payments of $3.8 million over the lease term. The Company will also be responsible for the payment of additional rent to cover the Company’s share of the annual operating and tax expenses and utilities costs for the building. Under the terms of the lease agreement, the Company issued a letter of credit to the landlord in the amount of $0.1 million, which is collateralized by a restricted deposit of $0.1 million. The Company has not recognized a ROU asset or aggregate lease liability as of November 30, 2021 for the minimum rental payments related to the Mission Bay Lease as the Company did not control the underlying assets at any time in the year ended November 30, 2021.</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6" w:name="page157"/>
    <w:bookmarkEnd w:id="156"/>
    <w:p>
      <w:pPr>
        <w:jc w:val="both"/>
        <w:ind w:right="100" w:firstLine="589"/>
        <w:spacing w:after="0" w:line="286" w:lineRule="auto"/>
        <w:rPr>
          <w:sz w:val="20"/>
          <w:szCs w:val="20"/>
          <w:color w:val="auto"/>
        </w:rPr>
      </w:pPr>
      <w:r>
        <w:rPr>
          <w:rFonts w:ascii="Arial" w:cs="Arial" w:eastAsia="Arial" w:hAnsi="Arial"/>
          <w:sz w:val="17"/>
          <w:szCs w:val="17"/>
          <w:color w:val="auto"/>
        </w:rPr>
        <w:t>As of November 30, 2021, operating lease ROU assets were $14.0 million, operating lease current liabilities were $3.8 million and operating lease long-term liabilities were $9.2 million. For the year ended November 30, 2021, cash paid for operating lease liabilities was $4.0 million. As of November 30, 2021, the weighted average remaining lease term was 3.5 years and the weighted average discount rate was 3.13%.</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the year ended November 30, 2021, total operating lease expense was $3.8 million and short-term lease expense was not material.</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Prior to the adoption of Topic 842 on December 1, 2020, operating lease expense and sublease income was as follows (in thousands):</w:t>
      </w:r>
    </w:p>
    <w:p>
      <w:pPr>
        <w:spacing w:after="0" w:line="215"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November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4660" w:type="dxa"/>
            <w:vAlign w:val="bottom"/>
          </w:tcPr>
          <w:p>
            <w:pPr>
              <w:spacing w:after="0"/>
              <w:rPr>
                <w:sz w:val="19"/>
                <w:szCs w:val="19"/>
                <w:color w:val="auto"/>
              </w:rPr>
            </w:pPr>
          </w:p>
        </w:tc>
        <w:tc>
          <w:tcPr>
            <w:tcW w:w="336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24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sublease income</w:t>
            </w:r>
          </w:p>
        </w:tc>
        <w:tc>
          <w:tcPr>
            <w:tcW w:w="2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23"/>
        </w:trPr>
        <w:tc>
          <w:tcPr>
            <w:tcW w:w="46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operating lease expense</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540"/>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lease agreement as of November 30, 2021 were as follows (in thousands):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100" w:type="dxa"/>
            <w:vAlign w:val="bottom"/>
            <w:vMerge w:val="restart"/>
          </w:tcPr>
          <w:p>
            <w:pPr>
              <w:spacing w:after="0"/>
              <w:rPr>
                <w:sz w:val="20"/>
                <w:szCs w:val="20"/>
                <w:color w:val="auto"/>
              </w:rPr>
            </w:pPr>
            <w:r>
              <w:rPr>
                <w:rFonts w:ascii="Arial" w:cs="Arial" w:eastAsia="Arial" w:hAnsi="Arial"/>
                <w:sz w:val="14"/>
                <w:szCs w:val="14"/>
                <w:b w:val="1"/>
                <w:bCs w:val="1"/>
                <w:color w:val="auto"/>
              </w:rPr>
              <w:t>Year ending November 30,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8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8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undiscounted lease payments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spacing w:after="0"/>
              <w:rPr>
                <w:sz w:val="20"/>
                <w:szCs w:val="20"/>
                <w:color w:val="auto"/>
              </w:rPr>
            </w:pPr>
            <w:r>
              <w:rPr>
                <w:rFonts w:ascii="Arial" w:cs="Arial" w:eastAsia="Arial" w:hAnsi="Arial"/>
                <w:sz w:val="18"/>
                <w:szCs w:val="18"/>
                <w:color w:val="auto"/>
              </w:rPr>
              <w:t>Less: Undiscounted lease payments related to Mission Bay Lease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3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63"/>
        </w:trPr>
        <w:tc>
          <w:tcPr>
            <w:tcW w:w="8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current liabilities</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long-term liabilities</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240" w:firstLine="589"/>
        <w:spacing w:after="0" w:line="259" w:lineRule="auto"/>
        <w:rPr>
          <w:sz w:val="20"/>
          <w:szCs w:val="20"/>
          <w:color w:val="auto"/>
        </w:rPr>
      </w:pPr>
      <w:r>
        <w:rPr>
          <w:rFonts w:ascii="Arial" w:cs="Arial" w:eastAsia="Arial" w:hAnsi="Arial"/>
          <w:sz w:val="18"/>
          <w:szCs w:val="18"/>
          <w:color w:val="auto"/>
        </w:rPr>
        <w:t>The Company’s Restated Certificate of Incorporation authorizes the Company to issue up to 500,000,000 shares of common stock, $0.001 par value per share, as of November 30, 2021 and 2020. Holders of common stock are entitled to dividends when and if declared by the Company’s board of directors, subject to the prior rights of the preferred stockholders. The holder of each share of common stock is entitled to one vote. As of November 30, 2021, no dividends have been declared.</w:t>
      </w:r>
    </w:p>
    <w:p>
      <w:pPr>
        <w:spacing w:after="0" w:line="79"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Common stock reserved for future issuance, on an as-if converted basis, as of November 30, 2021 and 2020, consists of the following and has been adjusted for the 1-for-3 reverse stock split: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November 30,</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020" w:type="dxa"/>
            <w:vAlign w:val="bottom"/>
            <w:gridSpan w:val="2"/>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Issuance of options under stock option plan</w:t>
            </w:r>
          </w:p>
        </w:tc>
        <w:tc>
          <w:tcPr>
            <w:tcW w:w="26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5,878,552</w:t>
            </w:r>
          </w:p>
        </w:tc>
        <w:tc>
          <w:tcPr>
            <w:tcW w:w="2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4,387,862</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Shares available for future stock option grants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2,562,570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3,035,684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issuance under employee stock</w:t>
            </w:r>
          </w:p>
        </w:tc>
        <w:tc>
          <w:tcPr>
            <w:tcW w:w="26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purchase plan</w:t>
            </w:r>
          </w:p>
        </w:tc>
        <w:tc>
          <w:tcPr>
            <w:tcW w:w="4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1,015,184</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730,000</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Restricted stock units issued and outstanding</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common stock reserved for future issuance</w:t>
            </w: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9,476,306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8,153,546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20" w:type="dxa"/>
            <w:vAlign w:val="bottom"/>
            <w:vMerge w:val="restart"/>
          </w:tcPr>
          <w:p>
            <w:pPr>
              <w:jc w:val="right"/>
              <w:ind w:right="1674"/>
              <w:spacing w:after="0"/>
              <w:rPr>
                <w:sz w:val="20"/>
                <w:szCs w:val="20"/>
                <w:color w:val="auto"/>
              </w:rPr>
            </w:pPr>
            <w:r>
              <w:rPr>
                <w:rFonts w:ascii="Arial" w:cs="Arial" w:eastAsia="Arial" w:hAnsi="Arial"/>
                <w:sz w:val="18"/>
                <w:szCs w:val="18"/>
                <w:color w:val="auto"/>
              </w:rPr>
              <w:t>155</w:t>
            </w: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right="140" w:firstLine="589"/>
        <w:spacing w:after="0" w:line="342" w:lineRule="auto"/>
        <w:rPr>
          <w:sz w:val="20"/>
          <w:szCs w:val="20"/>
          <w:color w:val="auto"/>
        </w:rPr>
      </w:pPr>
      <w:r>
        <w:rPr>
          <w:rFonts w:ascii="Arial" w:cs="Arial" w:eastAsia="Arial" w:hAnsi="Arial"/>
          <w:sz w:val="16"/>
          <w:szCs w:val="16"/>
          <w:color w:val="auto"/>
        </w:rPr>
        <w:t>The Company’s Restated Certificate of Incorporation authorizes the Company to issue zero shares of redeemable convertible preferred stock as of November 30, 2021 and 2020 and there was no outstanding redeemable convertible preferred stock as of November 30, 2021 and 2020.</w:t>
      </w:r>
    </w:p>
    <w:p>
      <w:pPr>
        <w:spacing w:after="0" w:line="16"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In March 2020, the Company issued 9,431,364 shares of Series D redeemable convertible preferred stock at an issuance price of $12.75 per share, resulting in net proceeds of $119.9 million. The Series D redeemable convertible preferred stock had a liquidation price per share equal to the original issue price per share.</w:t>
      </w:r>
    </w:p>
    <w:p>
      <w:pPr>
        <w:spacing w:after="0" w:line="76"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Immediately prior to the closing of the IPO in July 2020, all shares of redeemable convertible preferred stock then outstanding, including 9,431,364 shares of Series D redeemable convertible preferred stock, converted into 22,245,251 shares of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The 2020 Equity Incentive Plan (2020 Plan) serves as the successor to the 2012 Equity Incentive Plan (2021 Plan, and together with the 2020 Plan, the Stock Plans) and provides for the granting of stock options, stock appreciation rights (SARs), restricted stock awards (RSAs), restricted stock units (RSUs), performance awards and stock bonus awards to employees, directors, consultants, independent contractors and advisors of the Company.</w:t>
      </w:r>
    </w:p>
    <w:p>
      <w:pPr>
        <w:spacing w:after="0" w:line="41" w:lineRule="exact"/>
        <w:rPr>
          <w:sz w:val="20"/>
          <w:szCs w:val="20"/>
          <w:color w:val="auto"/>
        </w:rPr>
      </w:pPr>
    </w:p>
    <w:p>
      <w:pPr>
        <w:ind w:right="140" w:firstLine="589"/>
        <w:spacing w:after="0" w:line="219" w:lineRule="exact"/>
        <w:rPr>
          <w:sz w:val="20"/>
          <w:szCs w:val="20"/>
          <w:color w:val="auto"/>
        </w:rPr>
      </w:pPr>
      <w:r>
        <w:rPr>
          <w:rFonts w:ascii="Arial" w:cs="Arial" w:eastAsia="Arial" w:hAnsi="Arial"/>
          <w:sz w:val="17"/>
          <w:szCs w:val="17"/>
          <w:color w:val="auto"/>
        </w:rPr>
        <w:t>Under the Stock Plans, the Company generally grants stock-based awards with service-based vesting conditions only. Options granted typically vest over a four-year period but may be granted with different vesting terms.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 RSUs issued typically vest over a two</w:t>
      </w:r>
      <w:r>
        <w:rPr>
          <w:rFonts w:ascii="MS PGothic" w:cs="MS PGothic" w:eastAsia="MS PGothic" w:hAnsi="MS PGothic"/>
          <w:sz w:val="17"/>
          <w:szCs w:val="17"/>
          <w:color w:val="auto"/>
        </w:rPr>
        <w:t>‑</w:t>
      </w:r>
      <w:r>
        <w:rPr>
          <w:rFonts w:ascii="Arial" w:cs="Arial" w:eastAsia="Arial" w:hAnsi="Arial"/>
          <w:sz w:val="17"/>
          <w:szCs w:val="17"/>
          <w:color w:val="auto"/>
        </w:rPr>
        <w:t>year period, but may be granted with different vesting terms, and expire ten years from the date of grant.</w:t>
      </w:r>
    </w:p>
    <w:p>
      <w:pPr>
        <w:spacing w:after="0" w:line="94" w:lineRule="exact"/>
        <w:rPr>
          <w:sz w:val="20"/>
          <w:szCs w:val="20"/>
          <w:color w:val="auto"/>
        </w:rPr>
      </w:pPr>
    </w:p>
    <w:p>
      <w:pPr>
        <w:ind w:right="60" w:firstLine="589"/>
        <w:spacing w:after="0" w:line="286" w:lineRule="auto"/>
        <w:rPr>
          <w:sz w:val="20"/>
          <w:szCs w:val="20"/>
          <w:color w:val="auto"/>
        </w:rPr>
      </w:pPr>
      <w:r>
        <w:rPr>
          <w:rFonts w:ascii="Arial" w:cs="Arial" w:eastAsia="Arial" w:hAnsi="Arial"/>
          <w:sz w:val="17"/>
          <w:szCs w:val="17"/>
          <w:color w:val="auto"/>
        </w:rPr>
        <w:t>Following the effectiveness of the 2020 Plan on July 22, 2020, the Company ceased making grants under the 2012 Plan. However, the 2012 Plan continues to govern the terms and conditions of the outstanding awards granted under it. Shares of common stock subject to awards granted under the 2012 Plan that cease to be subject to such awards by forfeiture or otherwise will be available for issuance under the 2020 Plan</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November 30, 2021, there were 2,562,570 shares of common stock reserved for future issuance pursuant to the 2020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8" w:name="page159"/>
    <w:bookmarkEnd w:id="158"/>
    <w:p>
      <w:pPr>
        <w:ind w:left="600"/>
        <w:spacing w:after="0"/>
        <w:rPr>
          <w:sz w:val="20"/>
          <w:szCs w:val="20"/>
          <w:color w:val="auto"/>
        </w:rPr>
      </w:pPr>
      <w:r>
        <w:rPr>
          <w:rFonts w:ascii="Arial" w:cs="Arial" w:eastAsia="Arial" w:hAnsi="Arial"/>
          <w:sz w:val="16"/>
          <w:szCs w:val="16"/>
          <w:color w:val="auto"/>
        </w:rPr>
        <w:t>Option activity under the Stock Plans is set forth below and has been adjusted for the 1-for-3 reverse stock split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exercise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outstanding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price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value</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Balances as of November 30, 2020</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4,387,862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2,341,917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32.29</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(522,006)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60"/>
              <w:spacing w:after="0"/>
              <w:rPr>
                <w:sz w:val="20"/>
                <w:szCs w:val="20"/>
                <w:color w:val="auto"/>
              </w:rPr>
            </w:pPr>
            <w:r>
              <w:rPr>
                <w:rFonts w:ascii="Arial" w:cs="Arial" w:eastAsia="Arial" w:hAnsi="Arial"/>
                <w:sz w:val="18"/>
                <w:szCs w:val="18"/>
                <w:color w:val="auto"/>
              </w:rPr>
              <w:t>Options forfeited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(329,221)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16.87</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Balances as of November 30, 2021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5,878,552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19.42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480" w:type="dxa"/>
            <w:vAlign w:val="bottom"/>
            <w:tcBorders>
              <w:top w:val="single" w:sz="8" w:color="CFF0FC"/>
              <w:bottom w:val="single" w:sz="8" w:color="CFF0FC"/>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65,692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w w:val="95"/>
              </w:rPr>
              <w:t>Options vested and expected to vest as of November 30, 2021</w:t>
            </w:r>
            <w:r>
              <w:rPr>
                <w:rFonts w:ascii="Arial" w:cs="Arial" w:eastAsia="Arial" w:hAnsi="Arial"/>
                <w:sz w:val="15"/>
                <w:szCs w:val="15"/>
                <w:color w:val="auto"/>
                <w:w w:val="95"/>
              </w:rPr>
              <w:t>(2)</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vMerge w:val="restart"/>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19.45</w:t>
            </w:r>
          </w:p>
        </w:tc>
        <w:tc>
          <w:tcPr>
            <w:tcW w:w="260" w:type="dxa"/>
            <w:vAlign w:val="bottom"/>
          </w:tcPr>
          <w:p>
            <w:pPr>
              <w:spacing w:after="0" w:line="20" w:lineRule="exact"/>
              <w:rPr>
                <w:sz w:val="1"/>
                <w:szCs w:val="1"/>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8.66</w:t>
            </w:r>
          </w:p>
        </w:tc>
        <w:tc>
          <w:tcPr>
            <w:tcW w:w="4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65,155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5,837,346</w:t>
            </w:r>
          </w:p>
        </w:tc>
        <w:tc>
          <w:tcPr>
            <w:tcW w:w="16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 exercisable as of November 30, 2021</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2,827,261</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740" w:type="dxa"/>
            <w:vAlign w:val="bottom"/>
            <w:tcBorders>
              <w:bottom w:val="single" w:sz="8" w:color="auto"/>
            </w:tcBorders>
          </w:tcPr>
          <w:p>
            <w:pPr>
              <w:spacing w:after="0"/>
              <w:rPr>
                <w:sz w:val="11"/>
                <w:szCs w:val="11"/>
                <w:color w:val="auto"/>
              </w:rPr>
            </w:pPr>
          </w:p>
        </w:tc>
        <w:tc>
          <w:tcPr>
            <w:tcW w:w="3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80" w:right="40" w:hanging="572"/>
        <w:spacing w:after="0" w:line="220" w:lineRule="exact"/>
        <w:tabs>
          <w:tab w:leader="none" w:pos="580" w:val="left"/>
        </w:tabs>
        <w:numPr>
          <w:ilvl w:val="0"/>
          <w:numId w:val="57"/>
        </w:numPr>
        <w:rPr>
          <w:rFonts w:ascii="Arial" w:cs="Arial" w:eastAsia="Arial" w:hAnsi="Arial"/>
          <w:sz w:val="28"/>
          <w:szCs w:val="28"/>
          <w:color w:val="auto"/>
          <w:vertAlign w:val="superscript"/>
        </w:rPr>
      </w:pPr>
      <w:r>
        <w:rPr>
          <w:rFonts w:ascii="Arial" w:cs="Arial" w:eastAsia="Arial" w:hAnsi="Arial"/>
          <w:sz w:val="17"/>
          <w:szCs w:val="17"/>
          <w:color w:val="auto"/>
        </w:rPr>
        <w:t>The aggregate intrinsic values were calculated as the pre-tax difference between the exercise price of stock options and the quoted market price of the Company’s common stock on November 30, 2021 for all in</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money stock options. The total intrinsic value of stock options exercised during the years ended November 30, 2021, 2020 and 2019, was $15.9 million, $3.4 million and $0.1 million, respectively.</w:t>
      </w:r>
    </w:p>
    <w:p>
      <w:pPr>
        <w:spacing w:after="0" w:line="96" w:lineRule="exact"/>
        <w:rPr>
          <w:rFonts w:ascii="Arial" w:cs="Arial" w:eastAsia="Arial" w:hAnsi="Arial"/>
          <w:sz w:val="28"/>
          <w:szCs w:val="28"/>
          <w:color w:val="auto"/>
          <w:vertAlign w:val="superscript"/>
        </w:rPr>
      </w:pPr>
    </w:p>
    <w:p>
      <w:pPr>
        <w:ind w:left="580" w:right="40" w:hanging="572"/>
        <w:spacing w:after="0" w:line="229" w:lineRule="auto"/>
        <w:tabs>
          <w:tab w:leader="none" w:pos="580" w:val="left"/>
        </w:tabs>
        <w:numPr>
          <w:ilvl w:val="0"/>
          <w:numId w:val="57"/>
        </w:numPr>
        <w:rPr>
          <w:rFonts w:ascii="Arial" w:cs="Arial" w:eastAsia="Arial" w:hAnsi="Arial"/>
          <w:sz w:val="29"/>
          <w:szCs w:val="29"/>
          <w:color w:val="auto"/>
          <w:vertAlign w:val="superscript"/>
        </w:rPr>
      </w:pPr>
      <w:r>
        <w:rPr>
          <w:rFonts w:ascii="Arial" w:cs="Arial" w:eastAsia="Arial" w:hAnsi="Arial"/>
          <w:sz w:val="18"/>
          <w:szCs w:val="18"/>
          <w:color w:val="auto"/>
        </w:rPr>
        <w:t>Certain stock options granted by the Company prior to the date of IPO are exercisable at the date of grant, with unvested shares subject to repurchase by the Company in the event of the voluntary or involuntary termination of employment of the stockholder. Such exercises are recorded as a liability in the consolidated balance sheet and reclassified into equity as the options vest. As of November 30, 2021, a total of 58,794 shares of common stock were subject to repurchase by the Company at the lower of (i) the fair value of such shares on the date of repurchase, or (ii) the original exercise price of such shares. The corresponding exercise value of $0.3 million as of November 30, 2021 is recorded as a stock-based compensation liability.</w:t>
      </w:r>
    </w:p>
    <w:p>
      <w:pPr>
        <w:spacing w:after="0" w:line="98" w:lineRule="exact"/>
        <w:rPr>
          <w:rFonts w:ascii="Arial" w:cs="Arial" w:eastAsia="Arial" w:hAnsi="Arial"/>
          <w:sz w:val="29"/>
          <w:szCs w:val="29"/>
          <w:color w:val="auto"/>
          <w:vertAlign w:val="superscript"/>
        </w:rPr>
      </w:pPr>
    </w:p>
    <w:p>
      <w:pPr>
        <w:ind w:left="600"/>
        <w:spacing w:after="0"/>
        <w:rPr>
          <w:rFonts w:ascii="Arial" w:cs="Arial" w:eastAsia="Arial" w:hAnsi="Arial"/>
          <w:sz w:val="29"/>
          <w:szCs w:val="29"/>
          <w:color w:val="auto"/>
          <w:vertAlign w:val="superscript"/>
        </w:rPr>
      </w:pPr>
      <w:r>
        <w:rPr>
          <w:rFonts w:ascii="Arial" w:cs="Arial" w:eastAsia="Arial" w:hAnsi="Arial"/>
          <w:sz w:val="18"/>
          <w:szCs w:val="18"/>
          <w:color w:val="auto"/>
        </w:rPr>
        <w:t>RSU activity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Number of RSUs</w:t>
            </w:r>
          </w:p>
        </w:tc>
        <w:tc>
          <w:tcPr>
            <w:tcW w:w="320" w:type="dxa"/>
            <w:vAlign w:val="bottom"/>
          </w:tcPr>
          <w:p>
            <w:pPr>
              <w:spacing w:after="0"/>
              <w:rPr>
                <w:sz w:val="14"/>
                <w:szCs w:val="14"/>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Weighted-average grant date</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November 30, 2020</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60"/>
              <w:spacing w:after="0"/>
              <w:rPr>
                <w:sz w:val="20"/>
                <w:szCs w:val="20"/>
                <w:color w:val="auto"/>
              </w:rPr>
            </w:pPr>
            <w:r>
              <w:rPr>
                <w:rFonts w:ascii="Arial" w:cs="Arial" w:eastAsia="Arial" w:hAnsi="Arial"/>
                <w:sz w:val="18"/>
                <w:szCs w:val="18"/>
                <w:color w:val="auto"/>
              </w:rPr>
              <w:t>RSUs 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20,000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RSUs vested</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RSUs forfeited</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68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November 30, 2021</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700" w:type="dxa"/>
            <w:vAlign w:val="bottom"/>
            <w:tcBorders>
              <w:bottom w:val="single" w:sz="8" w:color="CFF0FC"/>
            </w:tcBorders>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Under the 2020 Employee Stock Purchase Plan (ESPP), eligible employees are offered the option to purchase shares of common stock at a discount over a series of offering periods. Each offering period may consist of one or more purchase periods. The purchase price for shares of common stock purchased under the ESPP will be 85% of the lesser of the fair market value of the Company’s common stock on (i) the first trading day of the applicable offering period or (ii) the last trading day of each purchase period in the applicable offering period.</w:t>
      </w:r>
    </w:p>
    <w:p>
      <w:pPr>
        <w:spacing w:after="0" w:line="79" w:lineRule="exact"/>
        <w:rPr>
          <w:sz w:val="20"/>
          <w:szCs w:val="20"/>
          <w:color w:val="auto"/>
        </w:rPr>
      </w:pPr>
    </w:p>
    <w:p>
      <w:pPr>
        <w:ind w:right="260" w:firstLine="589"/>
        <w:spacing w:after="0" w:line="308" w:lineRule="auto"/>
        <w:rPr>
          <w:sz w:val="20"/>
          <w:szCs w:val="20"/>
          <w:color w:val="auto"/>
        </w:rPr>
      </w:pPr>
      <w:r>
        <w:rPr>
          <w:rFonts w:ascii="Arial" w:cs="Arial" w:eastAsia="Arial" w:hAnsi="Arial"/>
          <w:sz w:val="17"/>
          <w:szCs w:val="17"/>
          <w:color w:val="auto"/>
        </w:rPr>
        <w:t>During the year-ended November 30, 2021, the Company issued 103,464 shares pursuant to the ESPP at a weighted-average price of $19.92 per share. As of November 30, 2021, there were 1,015,184 shares of common stock reserved for issuance pursuant to the ESPP.</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firstLine="589"/>
        <w:spacing w:after="0" w:line="342" w:lineRule="auto"/>
        <w:rPr>
          <w:sz w:val="20"/>
          <w:szCs w:val="20"/>
          <w:color w:val="auto"/>
        </w:rPr>
      </w:pPr>
      <w:r>
        <w:rPr>
          <w:rFonts w:ascii="Arial" w:cs="Arial" w:eastAsia="Arial" w:hAnsi="Arial"/>
          <w:sz w:val="16"/>
          <w:szCs w:val="16"/>
          <w:color w:val="auto"/>
        </w:rPr>
        <w:t>During the years ended November 30, 2021, 2020 and 2019, the weighted-average grant date fair value of options granted was $21.15, $9.50 and $1.41 per share, respectively, and the total fair value of employee options vested was $12.0 million, $3.1 million and $0.5 million, respectively.</w:t>
      </w:r>
    </w:p>
    <w:p>
      <w:pPr>
        <w:spacing w:after="0" w:line="16" w:lineRule="exact"/>
        <w:rPr>
          <w:sz w:val="20"/>
          <w:szCs w:val="20"/>
          <w:color w:val="auto"/>
        </w:rPr>
      </w:pPr>
    </w:p>
    <w:p>
      <w:pPr>
        <w:ind w:right="340" w:firstLine="589"/>
        <w:spacing w:after="0" w:line="277" w:lineRule="auto"/>
        <w:rPr>
          <w:sz w:val="20"/>
          <w:szCs w:val="20"/>
          <w:color w:val="auto"/>
        </w:rPr>
      </w:pPr>
      <w:r>
        <w:rPr>
          <w:rFonts w:ascii="Arial" w:cs="Arial" w:eastAsia="Arial" w:hAnsi="Arial"/>
          <w:sz w:val="18"/>
          <w:szCs w:val="18"/>
          <w:color w:val="auto"/>
        </w:rPr>
        <w:t>The Company estimated the fair value of stock options and purchase rights under ESPP using the Black-Scholes option pricing model. The fair value of these stock awards was estimated using the following assumptions: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November 30,</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5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gridSpan w:val="3"/>
          </w:tcPr>
          <w:p>
            <w:pPr>
              <w:jc w:val="right"/>
              <w:ind w:right="1079"/>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9"/>
                <w:szCs w:val="19"/>
                <w:color w:val="auto"/>
              </w:rPr>
            </w:pPr>
          </w:p>
        </w:tc>
      </w:tr>
      <w:tr>
        <w:trPr>
          <w:trHeight w:val="223"/>
        </w:trPr>
        <w:tc>
          <w:tcPr>
            <w:tcW w:w="43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ESPP</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420"/>
              <w:spacing w:after="0"/>
              <w:rPr>
                <w:sz w:val="20"/>
                <w:szCs w:val="20"/>
                <w:color w:val="auto"/>
              </w:rPr>
            </w:pPr>
            <w:r>
              <w:rPr>
                <w:rFonts w:ascii="Arial" w:cs="Arial" w:eastAsia="Arial" w:hAnsi="Arial"/>
                <w:sz w:val="14"/>
                <w:szCs w:val="14"/>
                <w:b w:val="1"/>
                <w:bCs w:val="1"/>
                <w:color w:val="auto"/>
              </w:rPr>
              <w:t>ESPP</w:t>
            </w:r>
          </w:p>
        </w:tc>
        <w:tc>
          <w:tcPr>
            <w:tcW w:w="1300" w:type="dxa"/>
            <w:vAlign w:val="bottom"/>
            <w:gridSpan w:val="2"/>
          </w:tcPr>
          <w:p>
            <w:pPr>
              <w:ind w:left="340"/>
              <w:spacing w:after="0"/>
              <w:rPr>
                <w:sz w:val="20"/>
                <w:szCs w:val="20"/>
                <w:color w:val="auto"/>
              </w:rPr>
            </w:pPr>
            <w:r>
              <w:rPr>
                <w:rFonts w:ascii="Arial" w:cs="Arial" w:eastAsia="Arial" w:hAnsi="Arial"/>
                <w:sz w:val="14"/>
                <w:szCs w:val="14"/>
                <w:b w:val="1"/>
                <w:bCs w:val="1"/>
                <w:color w:val="auto"/>
              </w:rPr>
              <w:t>Options</w:t>
            </w: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6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- 6.12</w:t>
            </w: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rPr>
              <w:t>0.50</w:t>
            </w:r>
          </w:p>
        </w:tc>
        <w:tc>
          <w:tcPr>
            <w:tcW w:w="2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6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- 6.98</w:t>
            </w: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299"/>
              <w:spacing w:after="0"/>
              <w:rPr>
                <w:sz w:val="20"/>
                <w:szCs w:val="20"/>
                <w:color w:val="auto"/>
              </w:rPr>
            </w:pPr>
            <w:r>
              <w:rPr>
                <w:rFonts w:ascii="Arial" w:cs="Arial" w:eastAsia="Arial" w:hAnsi="Arial"/>
                <w:sz w:val="18"/>
                <w:szCs w:val="18"/>
                <w:color w:val="auto"/>
              </w:rPr>
              <w:t>0.57</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5.92 - 6.08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ind w:left="20"/>
              <w:spacing w:after="0"/>
              <w:rPr>
                <w:sz w:val="20"/>
                <w:szCs w:val="20"/>
                <w:color w:val="auto"/>
              </w:rPr>
            </w:pPr>
            <w:r>
              <w:rPr>
                <w:rFonts w:ascii="Arial" w:cs="Arial" w:eastAsia="Arial" w:hAnsi="Arial"/>
                <w:sz w:val="18"/>
                <w:szCs w:val="18"/>
                <w:color w:val="auto"/>
              </w:rPr>
              <w:t>- 79%</w:t>
            </w:r>
          </w:p>
        </w:tc>
        <w:tc>
          <w:tcPr>
            <w:tcW w:w="1440" w:type="dxa"/>
            <w:vAlign w:val="bottom"/>
            <w:gridSpan w:val="3"/>
          </w:tcPr>
          <w:p>
            <w:pPr>
              <w:jc w:val="center"/>
              <w:ind w:left="195"/>
              <w:spacing w:after="0"/>
              <w:rPr>
                <w:sz w:val="20"/>
                <w:szCs w:val="20"/>
                <w:color w:val="auto"/>
              </w:rPr>
            </w:pPr>
            <w:r>
              <w:rPr>
                <w:rFonts w:ascii="Arial" w:cs="Arial" w:eastAsia="Arial" w:hAnsi="Arial"/>
                <w:sz w:val="18"/>
                <w:szCs w:val="18"/>
                <w:color w:val="auto"/>
                <w:w w:val="88"/>
              </w:rPr>
              <w:t>60%</w:t>
            </w: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600" w:type="dxa"/>
            <w:vAlign w:val="bottom"/>
          </w:tcPr>
          <w:p>
            <w:pPr>
              <w:ind w:left="20"/>
              <w:spacing w:after="0"/>
              <w:rPr>
                <w:sz w:val="20"/>
                <w:szCs w:val="20"/>
                <w:color w:val="auto"/>
              </w:rPr>
            </w:pPr>
            <w:r>
              <w:rPr>
                <w:rFonts w:ascii="Arial" w:cs="Arial" w:eastAsia="Arial" w:hAnsi="Arial"/>
                <w:sz w:val="18"/>
                <w:szCs w:val="18"/>
                <w:color w:val="auto"/>
              </w:rPr>
              <w:t>- 79%</w:t>
            </w:r>
          </w:p>
        </w:tc>
        <w:tc>
          <w:tcPr>
            <w:tcW w:w="1460" w:type="dxa"/>
            <w:vAlign w:val="bottom"/>
            <w:gridSpan w:val="3"/>
          </w:tcPr>
          <w:p>
            <w:pPr>
              <w:jc w:val="center"/>
              <w:ind w:left="195"/>
              <w:spacing w:after="0"/>
              <w:rPr>
                <w:sz w:val="20"/>
                <w:szCs w:val="20"/>
                <w:color w:val="auto"/>
              </w:rPr>
            </w:pPr>
            <w:r>
              <w:rPr>
                <w:rFonts w:ascii="Arial" w:cs="Arial" w:eastAsia="Arial" w:hAnsi="Arial"/>
                <w:sz w:val="18"/>
                <w:szCs w:val="18"/>
                <w:color w:val="auto"/>
                <w:w w:val="94"/>
              </w:rPr>
              <w:t>96%</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111 - 116%</w:t>
            </w:r>
          </w:p>
        </w:tc>
        <w:tc>
          <w:tcPr>
            <w:tcW w:w="120" w:type="dxa"/>
            <w:vAlign w:val="bottom"/>
          </w:tcPr>
          <w:p>
            <w:pPr>
              <w:spacing w:after="0"/>
              <w:rPr>
                <w:sz w:val="19"/>
                <w:szCs w:val="19"/>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0.52%</w:t>
            </w:r>
          </w:p>
        </w:tc>
        <w:tc>
          <w:tcPr>
            <w:tcW w:w="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- 1.24%</w:t>
            </w:r>
          </w:p>
        </w:tc>
        <w:tc>
          <w:tcPr>
            <w:tcW w:w="1440" w:type="dxa"/>
            <w:vAlign w:val="bottom"/>
            <w:gridSpan w:val="3"/>
            <w:shd w:val="clear" w:color="auto" w:fill="CFF0FC"/>
          </w:tcPr>
          <w:p>
            <w:pPr>
              <w:jc w:val="center"/>
              <w:ind w:left="195"/>
              <w:spacing w:after="0"/>
              <w:rPr>
                <w:sz w:val="20"/>
                <w:szCs w:val="20"/>
                <w:color w:val="auto"/>
              </w:rPr>
            </w:pPr>
            <w:r>
              <w:rPr>
                <w:rFonts w:ascii="Arial" w:cs="Arial" w:eastAsia="Arial" w:hAnsi="Arial"/>
                <w:sz w:val="18"/>
                <w:szCs w:val="18"/>
                <w:color w:val="auto"/>
                <w:w w:val="93"/>
              </w:rPr>
              <w:t>0.05%</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0.34%</w:t>
            </w:r>
          </w:p>
        </w:tc>
        <w:tc>
          <w:tcPr>
            <w:tcW w:w="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- 1.79%</w:t>
            </w:r>
          </w:p>
        </w:tc>
        <w:tc>
          <w:tcPr>
            <w:tcW w:w="1460" w:type="dxa"/>
            <w:vAlign w:val="bottom"/>
            <w:gridSpan w:val="3"/>
            <w:shd w:val="clear" w:color="auto" w:fill="CFF0FC"/>
          </w:tcPr>
          <w:p>
            <w:pPr>
              <w:jc w:val="center"/>
              <w:ind w:left="195"/>
              <w:spacing w:after="0"/>
              <w:rPr>
                <w:sz w:val="20"/>
                <w:szCs w:val="20"/>
                <w:color w:val="auto"/>
              </w:rPr>
            </w:pPr>
            <w:r>
              <w:rPr>
                <w:rFonts w:ascii="Arial" w:cs="Arial" w:eastAsia="Arial" w:hAnsi="Arial"/>
                <w:sz w:val="18"/>
                <w:szCs w:val="18"/>
                <w:color w:val="auto"/>
                <w:w w:val="90"/>
              </w:rPr>
              <w:t>0.13%</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1.42% - 2.55%</w:t>
            </w:r>
          </w:p>
        </w:tc>
        <w:tc>
          <w:tcPr>
            <w:tcW w:w="12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Dividend yield</w:t>
            </w:r>
          </w:p>
        </w:tc>
        <w:tc>
          <w:tcPr>
            <w:tcW w:w="1120" w:type="dxa"/>
            <w:vAlign w:val="bottom"/>
            <w:gridSpan w:val="2"/>
          </w:tcPr>
          <w:p>
            <w:pPr>
              <w:jc w:val="right"/>
              <w:ind w:right="330"/>
              <w:spacing w:after="0"/>
              <w:rPr>
                <w:sz w:val="20"/>
                <w:szCs w:val="20"/>
                <w:color w:val="auto"/>
              </w:rPr>
            </w:pPr>
            <w:r>
              <w:rPr>
                <w:rFonts w:ascii="Arial" w:cs="Arial" w:eastAsia="Arial" w:hAnsi="Arial"/>
                <w:sz w:val="18"/>
                <w:szCs w:val="18"/>
                <w:color w:val="auto"/>
              </w:rPr>
              <w:t>0%</w:t>
            </w:r>
          </w:p>
        </w:tc>
        <w:tc>
          <w:tcPr>
            <w:tcW w:w="1440" w:type="dxa"/>
            <w:vAlign w:val="bottom"/>
            <w:gridSpan w:val="3"/>
          </w:tcPr>
          <w:p>
            <w:pPr>
              <w:jc w:val="center"/>
              <w:ind w:left="195"/>
              <w:spacing w:after="0"/>
              <w:rPr>
                <w:sz w:val="20"/>
                <w:szCs w:val="20"/>
                <w:color w:val="auto"/>
              </w:rPr>
            </w:pPr>
            <w:r>
              <w:rPr>
                <w:rFonts w:ascii="Arial" w:cs="Arial" w:eastAsia="Arial" w:hAnsi="Arial"/>
                <w:sz w:val="18"/>
                <w:szCs w:val="18"/>
                <w:color w:val="auto"/>
                <w:w w:val="92"/>
              </w:rPr>
              <w:t>0%</w:t>
            </w:r>
          </w:p>
        </w:tc>
        <w:tc>
          <w:tcPr>
            <w:tcW w:w="2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460" w:type="dxa"/>
            <w:vAlign w:val="bottom"/>
            <w:gridSpan w:val="3"/>
          </w:tcPr>
          <w:p>
            <w:pPr>
              <w:jc w:val="center"/>
              <w:ind w:left="175"/>
              <w:spacing w:after="0"/>
              <w:rPr>
                <w:sz w:val="20"/>
                <w:szCs w:val="20"/>
                <w:color w:val="auto"/>
              </w:rPr>
            </w:pPr>
            <w:r>
              <w:rPr>
                <w:rFonts w:ascii="Arial" w:cs="Arial" w:eastAsia="Arial" w:hAnsi="Arial"/>
                <w:sz w:val="18"/>
                <w:szCs w:val="18"/>
                <w:color w:val="auto"/>
                <w:w w:val="92"/>
              </w:rPr>
              <w:t>0%</w:t>
            </w:r>
          </w:p>
        </w:tc>
        <w:tc>
          <w:tcPr>
            <w:tcW w:w="2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The expected term represents the weighted-average period the stock-based payments are expected to remain outstanding. The expected term assumption for stock options was determined using the simplified method. The expected stock price volatility assumption was determined by examining the historical volatilities for industry peers, as the Company does not have sufficient trading history for its common stock. The risk-free rate assumption is based on the U.S. Treasury instruments. The expected dividend assumption is based on the Company’s history and expectation of dividend payouts. The expected dividend yield is 0% as the Company has not paid and does not anticipate paying dividends on its common stock.</w:t>
      </w:r>
    </w:p>
    <w:p>
      <w:pPr>
        <w:spacing w:after="0" w:line="68"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The following table sets forth stock-based compensation expense related to stock options, RSUs and ESPP that is included in the Company’s consolidated statements of operations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Year Ended November 30,</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9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3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8,079</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7,721</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FF0FC"/>
            </w:tcBorders>
          </w:tcPr>
          <w:p>
            <w:pPr>
              <w:spacing w:after="0"/>
              <w:rPr>
                <w:sz w:val="19"/>
                <w:szCs w:val="19"/>
                <w:color w:val="auto"/>
              </w:rPr>
            </w:pPr>
          </w:p>
        </w:tc>
      </w:tr>
      <w:tr>
        <w:trPr>
          <w:trHeight w:val="223"/>
        </w:trPr>
        <w:tc>
          <w:tcPr>
            <w:tcW w:w="3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w:t>
            </w:r>
          </w:p>
        </w:tc>
        <w:tc>
          <w:tcPr>
            <w:tcW w:w="1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15,800</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November 30, 2021, the total compensation cost related to stock-based awards not yet recognized was $57.9 million, which is expected to be amortized on a straight-line basis over the weighted-average remaining vesting period of approximately 3.05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Defined Contribution Plan</w:t>
      </w:r>
    </w:p>
    <w:p>
      <w:pPr>
        <w:spacing w:after="0" w:line="121"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The Company sponsors a defined-contribution savings plan under Section 401(k) of the Internal Revenue Code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$0.7 million, $0.4 million and $0.3 million during the years ended November 30, 2021, 2020 and 2019,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The Company recorded a current income tax expense of $0.1 million for the year ended November 30, 2021, primarily due to state taxes offset by a federal income tax refund. The Company recorded a current income tax benefit of $20.5 million for the year ended November 30, 2020, primarily due to carryback of net operating losses to prior years and changes in reserves for unrecognized tax benefits. The Company recorded a current income tax expense of $0.2 million for the year ended November 30, 2019, primarily due to reserves for unrecognized tax benefits, minimum state taxes and a true-up from the prior year. The Company had generated net operating losses (NOLs) since inception and has established a valuation allowance against its deferred tax assets due to the uncertainty surrounding the realization of such assets.</w:t>
      </w:r>
    </w:p>
    <w:p>
      <w:pPr>
        <w:spacing w:after="0" w:line="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Loss before provision for income taxes includes the following component (in thousands):</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w w:val="97"/>
              </w:rPr>
              <w:t>November 30,</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100" w:type="dxa"/>
            <w:vAlign w:val="bottom"/>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4300" w:type="dxa"/>
            <w:vAlign w:val="bottom"/>
            <w:shd w:val="clear" w:color="auto" w:fill="CFF0FC"/>
          </w:tcPr>
          <w:p>
            <w:pPr>
              <w:jc w:val="right"/>
              <w:ind w:right="3530"/>
              <w:spacing w:after="0"/>
              <w:rPr>
                <w:sz w:val="20"/>
                <w:szCs w:val="20"/>
                <w:color w:val="auto"/>
              </w:rPr>
            </w:pPr>
            <w:r>
              <w:rPr>
                <w:rFonts w:ascii="Arial" w:cs="Arial" w:eastAsia="Arial" w:hAnsi="Arial"/>
                <w:sz w:val="18"/>
                <w:szCs w:val="18"/>
                <w:color w:val="auto"/>
                <w:w w:val="87"/>
              </w:rPr>
              <w:t>Domestic</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(117,063)</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(63,777)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gridSpan w:val="3"/>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(21,460)</w:t>
            </w:r>
          </w:p>
        </w:tc>
        <w:tc>
          <w:tcPr>
            <w:tcW w:w="12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(117,063)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00" w:type="dxa"/>
            <w:vAlign w:val="bottom"/>
          </w:tcPr>
          <w:p>
            <w:pPr>
              <w:spacing w:after="0"/>
              <w:rPr>
                <w:sz w:val="24"/>
                <w:szCs w:val="24"/>
                <w:color w:val="auto"/>
              </w:rPr>
            </w:pPr>
          </w:p>
        </w:tc>
        <w:tc>
          <w:tcPr>
            <w:tcW w:w="6940" w:type="dxa"/>
            <w:vAlign w:val="bottom"/>
            <w:gridSpan w:val="6"/>
          </w:tcPr>
          <w:p>
            <w:pPr>
              <w:jc w:val="right"/>
              <w:ind w:right="680"/>
              <w:spacing w:after="0"/>
              <w:rPr>
                <w:sz w:val="20"/>
                <w:szCs w:val="20"/>
                <w:color w:val="auto"/>
              </w:rPr>
            </w:pPr>
            <w:r>
              <w:rPr>
                <w:rFonts w:ascii="Arial" w:cs="Arial" w:eastAsia="Arial" w:hAnsi="Arial"/>
                <w:sz w:val="18"/>
                <w:szCs w:val="18"/>
                <w:color w:val="auto"/>
                <w:w w:val="92"/>
              </w:rPr>
              <w:t>The provision for (benefit from) income taxes consists of the following (in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November 30,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00" w:type="dxa"/>
            <w:vAlign w:val="bottom"/>
            <w:tcBorders>
              <w:bottom w:val="single" w:sz="8" w:color="CFF0FC"/>
            </w:tcBorders>
          </w:tcPr>
          <w:p>
            <w:pPr>
              <w:spacing w:after="0"/>
              <w:rPr>
                <w:sz w:val="19"/>
                <w:szCs w:val="19"/>
                <w:color w:val="auto"/>
              </w:rPr>
            </w:pPr>
          </w:p>
        </w:tc>
        <w:tc>
          <w:tcPr>
            <w:tcW w:w="43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4400" w:type="dxa"/>
            <w:vAlign w:val="bottom"/>
            <w:gridSpan w:val="2"/>
            <w:shd w:val="clear" w:color="auto" w:fill="CFF0FC"/>
          </w:tcPr>
          <w:p>
            <w:pPr>
              <w:jc w:val="right"/>
              <w:ind w:right="3710"/>
              <w:spacing w:after="0"/>
              <w:rPr>
                <w:sz w:val="20"/>
                <w:szCs w:val="20"/>
                <w:color w:val="auto"/>
              </w:rPr>
            </w:pPr>
            <w:r>
              <w:rPr>
                <w:rFonts w:ascii="Arial" w:cs="Arial" w:eastAsia="Arial" w:hAnsi="Arial"/>
                <w:sz w:val="18"/>
                <w:szCs w:val="18"/>
                <w:color w:val="auto"/>
                <w:w w:val="89"/>
              </w:rPr>
              <w:t>Current: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4300" w:type="dxa"/>
            <w:vAlign w:val="bottom"/>
          </w:tcPr>
          <w:p>
            <w:pPr>
              <w:jc w:val="right"/>
              <w:ind w:right="3530"/>
              <w:spacing w:after="0"/>
              <w:rPr>
                <w:sz w:val="20"/>
                <w:szCs w:val="20"/>
                <w:color w:val="auto"/>
              </w:rPr>
            </w:pPr>
            <w:r>
              <w:rPr>
                <w:rFonts w:ascii="Arial" w:cs="Arial" w:eastAsia="Arial" w:hAnsi="Arial"/>
                <w:sz w:val="18"/>
                <w:szCs w:val="18"/>
                <w:color w:val="auto"/>
              </w:rPr>
              <w:t>Federal</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(203)</w:t>
            </w:r>
          </w:p>
        </w:tc>
        <w:tc>
          <w:tcPr>
            <w:tcW w:w="200" w:type="dxa"/>
            <w:vAlign w:val="bottom"/>
            <w:gridSpan w:val="2"/>
          </w:tcPr>
          <w:p>
            <w:pPr>
              <w:jc w:val="right"/>
              <w:ind w:right="7"/>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(20,577)</w:t>
            </w:r>
          </w:p>
        </w:tc>
        <w:tc>
          <w:tcPr>
            <w:tcW w:w="360" w:type="dxa"/>
            <w:vAlign w:val="bottom"/>
            <w:gridSpan w:val="3"/>
          </w:tcPr>
          <w:p>
            <w:pPr>
              <w:jc w:val="right"/>
              <w:ind w:right="12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r>
      <w:tr>
        <w:trPr>
          <w:trHeight w:val="230"/>
        </w:trPr>
        <w:tc>
          <w:tcPr>
            <w:tcW w:w="100" w:type="dxa"/>
            <w:vAlign w:val="bottom"/>
            <w:shd w:val="clear" w:color="auto" w:fill="CFF0FC"/>
          </w:tcPr>
          <w:p>
            <w:pPr>
              <w:spacing w:after="0"/>
              <w:rPr>
                <w:sz w:val="19"/>
                <w:szCs w:val="19"/>
                <w:color w:val="auto"/>
              </w:rPr>
            </w:pPr>
          </w:p>
        </w:tc>
        <w:tc>
          <w:tcPr>
            <w:tcW w:w="4300" w:type="dxa"/>
            <w:vAlign w:val="bottom"/>
            <w:shd w:val="clear" w:color="auto" w:fill="CFF0FC"/>
          </w:tcPr>
          <w:p>
            <w:pPr>
              <w:jc w:val="right"/>
              <w:ind w:right="3710"/>
              <w:spacing w:after="0"/>
              <w:rPr>
                <w:sz w:val="20"/>
                <w:szCs w:val="20"/>
                <w:color w:val="auto"/>
              </w:rPr>
            </w:pPr>
            <w:r>
              <w:rPr>
                <w:rFonts w:ascii="Arial" w:cs="Arial" w:eastAsia="Arial" w:hAnsi="Arial"/>
                <w:sz w:val="18"/>
                <w:szCs w:val="18"/>
                <w:color w:val="auto"/>
              </w:rPr>
              <w:t>State</w:t>
            </w:r>
          </w:p>
        </w:tc>
        <w:tc>
          <w:tcPr>
            <w:tcW w:w="10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3"/>
        </w:trPr>
        <w:tc>
          <w:tcPr>
            <w:tcW w:w="4400" w:type="dxa"/>
            <w:vAlign w:val="bottom"/>
            <w:gridSpan w:val="2"/>
          </w:tcPr>
          <w:p>
            <w:pPr>
              <w:jc w:val="right"/>
              <w:ind w:right="910"/>
              <w:spacing w:after="0"/>
              <w:rPr>
                <w:sz w:val="20"/>
                <w:szCs w:val="20"/>
                <w:color w:val="auto"/>
              </w:rPr>
            </w:pPr>
            <w:r>
              <w:rPr>
                <w:rFonts w:ascii="Arial" w:cs="Arial" w:eastAsia="Arial" w:hAnsi="Arial"/>
                <w:sz w:val="18"/>
                <w:szCs w:val="18"/>
                <w:color w:val="auto"/>
                <w:w w:val="92"/>
              </w:rPr>
              <w:t>Total provision for (benefit from) income taxes</w:t>
            </w:r>
          </w:p>
        </w:tc>
        <w:tc>
          <w:tcPr>
            <w:tcW w:w="10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(20,535)</w:t>
            </w:r>
          </w:p>
        </w:tc>
        <w:tc>
          <w:tcPr>
            <w:tcW w:w="16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effective tax rate differs from the federal statutory rate as follows:</w:t>
      </w:r>
    </w:p>
    <w:p>
      <w:pPr>
        <w:spacing w:after="0" w:line="203"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November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6350</wp:posOffset>
            </wp:positionV>
            <wp:extent cx="30175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1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8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State income tax rate</w:t>
            </w: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tax credits</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Unrecognized income tax benefits</w:t>
            </w:r>
          </w:p>
        </w:tc>
        <w:tc>
          <w:tcPr>
            <w:tcW w:w="1720" w:type="dxa"/>
            <w:vAlign w:val="bottom"/>
            <w:gridSpan w:val="3"/>
          </w:tcPr>
          <w:p>
            <w:pPr>
              <w:jc w:val="right"/>
              <w:ind w:right="120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rate impact due to CARES Act</w:t>
            </w:r>
          </w:p>
        </w:tc>
        <w:tc>
          <w:tcPr>
            <w:tcW w:w="1720" w:type="dxa"/>
            <w:vAlign w:val="bottom"/>
            <w:gridSpan w:val="3"/>
            <w:shd w:val="clear" w:color="auto" w:fill="CFF0FC"/>
          </w:tcPr>
          <w:p>
            <w:pPr>
              <w:jc w:val="right"/>
              <w:ind w:right="12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88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(29.3)</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(10.3)</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8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w:t>
            </w:r>
          </w:p>
        </w:tc>
        <w:tc>
          <w:tcPr>
            <w:tcW w:w="8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32.2%</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6000" w:type="dxa"/>
            <w:vAlign w:val="bottom"/>
            <w:gridSpan w:val="2"/>
          </w:tcPr>
          <w:p>
            <w:pPr>
              <w:ind w:left="4900"/>
              <w:spacing w:after="0"/>
              <w:rPr>
                <w:sz w:val="20"/>
                <w:szCs w:val="20"/>
                <w:color w:val="auto"/>
              </w:rPr>
            </w:pPr>
            <w:r>
              <w:rPr>
                <w:rFonts w:ascii="Arial" w:cs="Arial" w:eastAsia="Arial" w:hAnsi="Arial"/>
                <w:sz w:val="18"/>
                <w:szCs w:val="18"/>
                <w:color w:val="auto"/>
              </w:rPr>
              <w:t>159</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jc w:val="both"/>
        <w:ind w:right="40" w:firstLine="589"/>
        <w:spacing w:after="0" w:line="26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deferred tax assets for federal and state income taxes are as follows (in thousands):</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 November 30,</w:t>
            </w:r>
          </w:p>
        </w:tc>
      </w:tr>
      <w:tr>
        <w:trPr>
          <w:trHeight w:val="223"/>
        </w:trPr>
        <w:tc>
          <w:tcPr>
            <w:tcW w:w="48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41,081</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25,145</w:t>
            </w:r>
          </w:p>
        </w:tc>
        <w:tc>
          <w:tcPr>
            <w:tcW w:w="80" w:type="dxa"/>
            <w:vAlign w:val="bottom"/>
          </w:tcPr>
          <w:p>
            <w:pPr>
              <w:spacing w:after="0"/>
              <w:rPr>
                <w:sz w:val="19"/>
                <w:szCs w:val="19"/>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9,330</w:t>
            </w: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21,874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10,536</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1,624</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86,843</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47,408</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(83,517)</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(47,408)</w:t>
            </w:r>
          </w:p>
        </w:tc>
      </w:tr>
      <w:tr>
        <w:trPr>
          <w:trHeight w:val="223"/>
        </w:trPr>
        <w:tc>
          <w:tcPr>
            <w:tcW w:w="486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86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(3,326)</w:t>
            </w:r>
          </w:p>
        </w:tc>
        <w:tc>
          <w:tcPr>
            <w:tcW w:w="3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Realization of the deferred tax assets is dependent upon future taxable income, the amount, if any, and timing of which are uncertain. The Company has established a valuation allowance to offset deferred tax assets as of November 30, 2021 and 2020 due to the uncertainty of realizing future tax benefits from its net operating loss (NOL) carryforwards and other deferred tax assets. The valuation allowance increased by $36.1 million during the year ended November 30, 2021, primarily related to an increase on the deferred tax asset for deferred revenue, research and development (R&amp;D) credits and NOL carryforwards. The valuation allowance increased by $7.6 million during the year ended November 30, 2020, primarily due to an increase on the deferred tax asset for deferred revenue. The valuation allowance increased by $8.5 million during the year ended November 30, 2019, primarily due to an increase in NOL carryforwards.</w:t>
      </w:r>
    </w:p>
    <w:p>
      <w:pPr>
        <w:spacing w:after="0" w:line="8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As of November 30, 2021, the Company had NOL carryforwards available to reduce future taxable income, if any, for federal and state income tax purposes of $116.3 million and $192.0 million, respectively. Federal NOL carryforwards generated for tax years beginning before December 31, 2017 can be carried forward twenty years and begin expiring in 2029. Federal NOL carryforwards of $112.6 million for tax years beginning after December 31, 2017 can be carried forward indefinitely.</w:t>
      </w:r>
    </w:p>
    <w:p>
      <w:pPr>
        <w:spacing w:after="0" w:line="79"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State NOL carryforwards begin expiring in 2029. As of November 30, 2021, the Company had federal and state research credit carryforwards of $13.2 million and $10.6 million, respectively. If not utilized, the federal credit carryforwards will begin expiring in 2032 and the state credits carry forward indefinitely.</w:t>
      </w:r>
    </w:p>
    <w:p>
      <w:pPr>
        <w:spacing w:after="0" w:line="76" w:lineRule="exact"/>
        <w:rPr>
          <w:sz w:val="20"/>
          <w:szCs w:val="20"/>
          <w:color w:val="auto"/>
        </w:rPr>
      </w:pPr>
    </w:p>
    <w:p>
      <w:pPr>
        <w:ind w:right="220" w:firstLine="589"/>
        <w:spacing w:after="0" w:line="255" w:lineRule="auto"/>
        <w:rPr>
          <w:sz w:val="20"/>
          <w:szCs w:val="20"/>
          <w:color w:val="auto"/>
        </w:rPr>
      </w:pPr>
      <w:r>
        <w:rPr>
          <w:rFonts w:ascii="Arial" w:cs="Arial" w:eastAsia="Arial" w:hAnsi="Arial"/>
          <w:sz w:val="18"/>
          <w:szCs w:val="18"/>
          <w:color w:val="auto"/>
        </w:rPr>
        <w:t>Internal Revenue Code Section 382 places a limitation on the utilization of NOL and tax credit carryforwards in the event of certain cumulative changes in the ownership interest of significant stockholders over a three-year period in excess of 50 percentage points. The Company has identified two ownership changes that have triggered a limitation on pre-change NOLs under Section 382. A majority of the Company’s pre-change NOLs remain available within the carryforward period provided by the Internal Revenue Code, subject to availability of taxable income. As a result of the ownership changes, the Company has determined that approximately $0.4 million of NOLs will expire unutilized, and as such, these NOLs are not reflected in the Company’s deferred tax asset balance.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has recorded a liability related to uncertain tax positions in the financial statements. It is the Company’s policy to include penalties and interest expense related to income taxes as a component for the provision for income taxes. The Company has unrecognized tax benefits of $6.3 million as of November 30, 2021, all of which are offset by a full valuation allowance. There are no tax benefits included in the balance of unrecognized tax benefits that, if recognized, would affect the effective tax rate. There are no interest and penalties accrued as of November 30, 2021. A reconciliation of the beginning and ending amounts of unrecognized income tax benefits during the years ended November 30, 2021, 2020 and 2019 is as follows (in thousands):</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Years ended November 30,</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430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0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430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300" w:type="dxa"/>
            <w:vAlign w:val="bottom"/>
          </w:tcPr>
          <w:p>
            <w:pPr>
              <w:ind w:left="380"/>
              <w:spacing w:after="0"/>
              <w:rPr>
                <w:sz w:val="20"/>
                <w:szCs w:val="20"/>
                <w:color w:val="auto"/>
              </w:rPr>
            </w:pPr>
            <w:r>
              <w:rPr>
                <w:rFonts w:ascii="Arial" w:cs="Arial" w:eastAsia="Arial" w:hAnsi="Arial"/>
                <w:sz w:val="18"/>
                <w:szCs w:val="18"/>
                <w:color w:val="auto"/>
              </w:rPr>
              <w:t>prior period</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r>
      <w:tr>
        <w:trPr>
          <w:trHeight w:val="215"/>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based on tax positions related to</w:t>
            </w:r>
          </w:p>
        </w:tc>
        <w:tc>
          <w:tcPr>
            <w:tcW w:w="10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 period</w:t>
            </w:r>
          </w:p>
        </w:tc>
        <w:tc>
          <w:tcPr>
            <w:tcW w:w="10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FF0FC"/>
          </w:tcPr>
          <w:p>
            <w:pPr>
              <w:spacing w:after="0"/>
              <w:rPr>
                <w:sz w:val="20"/>
                <w:szCs w:val="20"/>
                <w:color w:val="auto"/>
              </w:rPr>
            </w:pP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(1,313)</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(1,180)</w:t>
            </w: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Company files income tax returns in the United States and in various states. In February 2018 the Internal Revenue Service (IRS) commenced an examination of the Company’s U.S. income tax return for the tax years ending in 2016, 2017, 2018, and 2019. All tax issues under examination were effectively settled during the year ended November 30, 2021. As a result, the Company removed the associated unrecognized tax benefit reserves and decreased its R&amp;D credit carryforward by $1.3 million. The Company continues to maintain an unrecognized tax benefit related to federal R&amp;D credits generated in years not covered by the examination.</w:t>
      </w:r>
    </w:p>
    <w:p>
      <w:pPr>
        <w:spacing w:after="0" w:line="80" w:lineRule="exact"/>
        <w:rPr>
          <w:sz w:val="20"/>
          <w:szCs w:val="20"/>
          <w:color w:val="auto"/>
        </w:rPr>
      </w:pPr>
    </w:p>
    <w:p>
      <w:pPr>
        <w:ind w:right="200" w:firstLine="589"/>
        <w:spacing w:after="0" w:line="257" w:lineRule="auto"/>
        <w:rPr>
          <w:sz w:val="20"/>
          <w:szCs w:val="20"/>
          <w:color w:val="auto"/>
        </w:rPr>
      </w:pPr>
      <w:r>
        <w:rPr>
          <w:rFonts w:ascii="Arial" w:cs="Arial" w:eastAsia="Arial" w:hAnsi="Arial"/>
          <w:sz w:val="18"/>
          <w:szCs w:val="18"/>
          <w:color w:val="auto"/>
        </w:rPr>
        <w:t>Additionally, in January 2019 the California Franchise Tax Board (FTB) initiated an examination of the Company’s California tax return for the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spacing w:after="0" w:line="80"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All of the Company’s tax years will remain open for examination by the federal and state authorities for three and four years, respectively, from the date of the utilization of any net operating losses.</w:t>
      </w:r>
    </w:p>
    <w:p>
      <w:pPr>
        <w:spacing w:after="0" w:line="62"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On March 27, 2020, the Coronavirus Aid, Relief, and Economic Security Act (CARES Act) was enacted in response to the COVID-19 pandemic. The CARES Act, among other things, allows NOLs incurred in taxable years 2018, 2019, and 2020 to be carried back to each of the five preceding taxable years to generate a refund of previously paid income taxes. The fiscal 2020 tax benefit was primarily due to the carryback of NOLs to prior taxable years as allowed under the CARES Act. In fiscal 2020, the Company filed refund claims of $19.6 million to carryback NOLs generated in fiscal years ended November 30, 2018 and 2019. These refund claims were approved by Congressional Joint Committee on Taxation during the year ended November 30, 2021. As of November 30, 2021, the Company has received the full amount of these refund claims.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12. Net Loss Per Share</w:t>
      </w:r>
    </w:p>
    <w:p>
      <w:pPr>
        <w:spacing w:after="0" w:line="121" w:lineRule="exact"/>
        <w:rPr>
          <w:sz w:val="20"/>
          <w:szCs w:val="20"/>
          <w:color w:val="auto"/>
        </w:rPr>
      </w:pPr>
    </w:p>
    <w:p>
      <w:pPr>
        <w:ind w:right="380" w:firstLine="589"/>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which excludes shares which are legally outstanding but subject to repurchase by the Company (in thousands, except share and per share data):</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3"/>
              </w:rPr>
              <w:t>Year Ended November 30,</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
              <w:spacing w:after="0"/>
              <w:rPr>
                <w:sz w:val="20"/>
                <w:szCs w:val="20"/>
                <w:color w:val="auto"/>
              </w:rPr>
            </w:pPr>
            <w:r>
              <w:rPr>
                <w:rFonts w:ascii="Arial" w:cs="Arial" w:eastAsia="Arial" w:hAnsi="Arial"/>
                <w:sz w:val="18"/>
                <w:szCs w:val="18"/>
                <w:color w:val="auto"/>
              </w:rPr>
              <w:t>(117,194)</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(43,242)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(21,699)</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960" w:type="dxa"/>
            <w:vAlign w:val="bottom"/>
          </w:tcPr>
          <w:p>
            <w:pPr>
              <w:ind w:left="240"/>
              <w:spacing w:after="0"/>
              <w:rPr>
                <w:sz w:val="20"/>
                <w:szCs w:val="20"/>
                <w:color w:val="auto"/>
              </w:rPr>
            </w:pPr>
            <w:r>
              <w:rPr>
                <w:rFonts w:ascii="Arial" w:cs="Arial" w:eastAsia="Arial" w:hAnsi="Arial"/>
                <w:sz w:val="18"/>
                <w:szCs w:val="18"/>
                <w:color w:val="auto"/>
              </w:rPr>
              <w:t>Weighted-average number of shares outstanding,</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basic and diluted</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42,895,383</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15,673,424</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3,292,514</w:t>
            </w:r>
          </w:p>
        </w:tc>
        <w:tc>
          <w:tcPr>
            <w:tcW w:w="100" w:type="dxa"/>
            <w:vAlign w:val="bottom"/>
            <w:tcBorders>
              <w:bottom w:val="single" w:sz="8" w:color="CFF0FC"/>
            </w:tcBorders>
          </w:tcPr>
          <w:p>
            <w:pPr>
              <w:spacing w:after="0"/>
              <w:rPr>
                <w:sz w:val="20"/>
                <w:szCs w:val="20"/>
                <w:color w:val="auto"/>
              </w:rPr>
            </w:pPr>
          </w:p>
        </w:tc>
      </w:tr>
      <w:tr>
        <w:trPr>
          <w:trHeight w:val="223"/>
        </w:trPr>
        <w:tc>
          <w:tcPr>
            <w:tcW w:w="5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November 30,</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9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0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on an as-</w:t>
            </w: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converted basis</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12,813,887</w:t>
            </w:r>
          </w:p>
        </w:tc>
        <w:tc>
          <w:tcPr>
            <w:tcW w:w="100" w:type="dxa"/>
            <w:vAlign w:val="bottom"/>
            <w:shd w:val="clear" w:color="auto" w:fill="CFF0FC"/>
          </w:tcPr>
          <w:p>
            <w:pPr>
              <w:spacing w:after="0"/>
              <w:rPr>
                <w:sz w:val="20"/>
                <w:szCs w:val="20"/>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5,878,552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4,387,862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1,913,792</w:t>
            </w:r>
          </w:p>
        </w:tc>
        <w:tc>
          <w:tcPr>
            <w:tcW w:w="100" w:type="dxa"/>
            <w:vAlign w:val="bottom"/>
          </w:tcPr>
          <w:p>
            <w:pPr>
              <w:spacing w:after="0"/>
              <w:rPr>
                <w:sz w:val="19"/>
                <w:szCs w:val="19"/>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Options early exercised subject to vesting</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58,794</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141,512</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139,393</w:t>
            </w:r>
          </w:p>
        </w:tc>
        <w:tc>
          <w:tcPr>
            <w:tcW w:w="100" w:type="dxa"/>
            <w:vAlign w:val="bottom"/>
            <w:shd w:val="clear" w:color="auto" w:fill="CFF0FC"/>
          </w:tcPr>
          <w:p>
            <w:pPr>
              <w:spacing w:after="0"/>
              <w:rPr>
                <w:sz w:val="19"/>
                <w:szCs w:val="19"/>
                <w:color w:val="auto"/>
              </w:rPr>
            </w:pP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Shares expected to be purchased under employee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stock 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50,882</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60,512</w:t>
            </w:r>
          </w:p>
        </w:tc>
        <w:tc>
          <w:tcPr>
            <w:tcW w:w="24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24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6,008,228</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4,589,886</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14,867,072</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Following its acquisition of Celgene, BMS owned 1,622,222 shares of the Company’s Series C redeemable convertible preferred stock that automatically converted into shares of the Company’s common stock immediately prior to the closing of the Company’s IPO. In June 2019, the Celgene Agreement was terminated in its entirety with no further payments from Celgene and no remaining deliverables from the Company. Upon the termination, BMS ceased to be a related party of the Company. For the year ended November 30, 2019, the Company recorded collaboration revenue under the Celgene Agreement of $28.4 million.</w:t>
      </w:r>
    </w:p>
    <w:p>
      <w:pPr>
        <w:spacing w:after="0" w:line="80" w:lineRule="exact"/>
        <w:rPr>
          <w:sz w:val="20"/>
          <w:szCs w:val="20"/>
          <w:color w:val="auto"/>
        </w:rPr>
      </w:pPr>
    </w:p>
    <w:p>
      <w:pPr>
        <w:jc w:val="both"/>
        <w:ind w:right="20" w:firstLine="589"/>
        <w:spacing w:after="0" w:line="279" w:lineRule="auto"/>
        <w:rPr>
          <w:sz w:val="20"/>
          <w:szCs w:val="20"/>
          <w:color w:val="auto"/>
        </w:rPr>
      </w:pPr>
      <w:r>
        <w:rPr>
          <w:rFonts w:ascii="Arial" w:cs="Arial" w:eastAsia="Arial" w:hAnsi="Arial"/>
          <w:sz w:val="17"/>
          <w:szCs w:val="17"/>
          <w:color w:val="auto"/>
        </w:rPr>
        <w:t>The Company’s Chief Financial Officer is a trustee for the multiple employer welfare association that facilitates the acquisition and administration of the Company’s healthcare plans. Expenses related to the healthcare plan premiums were $2.6 million, $1.6 million and $1.4 million for the years ended November 30, 2021, 2020 and 2019, respectively. As of November 30, 2021 and 2020, the amount recorded in accounts payable and accrued expenses and other current liabilities in connection with this healthcare plan provider was not material.</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Our management, with the participation of our President and Chief Executive Officer (CEO) and our Chief Financial Officer (CFO), our principal executive officer and principal accounting and financial officer, respectively, have evaluated the effectiveness of our disclosure controls and procedures (as defined in Rules 13a-15(e) and 15d-15(e) under the Exchange Act) as of November 30, 2021. Based on their evaluation, the CEO and CFO have concluded that our disclosure controls and procedures were not effective as of such date due to the material weaknesses in internal control over financial reporting described in “Management’s Report on Internal Control Over Financial Reporting” below.</w:t>
      </w:r>
    </w:p>
    <w:p>
      <w:pPr>
        <w:spacing w:after="0" w:line="68"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CEO and our CFO, to allow timely decisions regarding required disclosure.</w:t>
      </w:r>
    </w:p>
    <w:p>
      <w:pPr>
        <w:spacing w:after="0" w:line="80"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In light of the material weaknesses described below, we performed additional analyses, reconciliations, and other post-closing procedures to determine that our consolidated financial statements are prepared in accordance with generally accepted accounting principles. Accordingly, management concluded that the consolidated financial statements included in this report fairly present in all material respects our financial condition, results of operations and cash flows for the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firstLine="734"/>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November 30, 2021 based on the framework in “Internal Control — Integrated Framework” issued by the Committee of Sponsoring Organizations of the Treadway Commission (2013 Framework) (the COSO criteria). Based on the above evaluation, our management concluded that our internal control over financial reporting was not effective as of November 30, 2021 due to the material weaknesses described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Weaknesses in Internal Control over Financial Reporting</w:t>
      </w:r>
    </w:p>
    <w:p>
      <w:pPr>
        <w:spacing w:after="0" w:line="117"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have identified the following control deficiencies that constitute material weaknesses in our internal control over financial reporting as of November 30, 2021:</w:t>
      </w:r>
    </w:p>
    <w:p>
      <w:pPr>
        <w:spacing w:after="0" w:line="41" w:lineRule="exact"/>
        <w:rPr>
          <w:sz w:val="20"/>
          <w:szCs w:val="20"/>
          <w:color w:val="auto"/>
        </w:rPr>
      </w:pPr>
    </w:p>
    <w:p>
      <w:pPr>
        <w:ind w:left="1160" w:hanging="572"/>
        <w:spacing w:after="0" w:line="269" w:lineRule="auto"/>
        <w:tabs>
          <w:tab w:leader="none" w:pos="1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certain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appropriate personnel, and (b) program change management controls to ensure that IT program and data changes affecting financial IT applications and underlying accounting records are identified, tested, authorized and implemented appropriately. These IT deficiencies did not result in any misstatements to the financial statements; however, the deficiencies, when aggregated, could impact our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management has determined that these deficiencies in the aggregate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65" w:name="page166"/>
    <w:bookmarkEnd w:id="165"/>
    <w:p>
      <w:pPr>
        <w:ind w:left="1160"/>
        <w:spacing w:after="0"/>
        <w:rPr>
          <w:sz w:val="20"/>
          <w:szCs w:val="20"/>
          <w:color w:val="auto"/>
        </w:rPr>
      </w:pPr>
      <w:r>
        <w:rPr>
          <w:rFonts w:ascii="Arial" w:cs="Arial" w:eastAsia="Arial" w:hAnsi="Arial"/>
          <w:sz w:val="18"/>
          <w:szCs w:val="18"/>
          <w:color w:val="auto"/>
        </w:rPr>
        <w:t>constitute a material weakness.</w:t>
      </w:r>
    </w:p>
    <w:p>
      <w:pPr>
        <w:spacing w:after="0" w:line="117" w:lineRule="exact"/>
        <w:rPr>
          <w:sz w:val="20"/>
          <w:szCs w:val="20"/>
          <w:color w:val="auto"/>
        </w:rPr>
      </w:pPr>
    </w:p>
    <w:p>
      <w:pPr>
        <w:ind w:left="1160" w:right="80" w:hanging="572"/>
        <w:spacing w:after="0" w:line="259" w:lineRule="auto"/>
        <w:tabs>
          <w:tab w:leader="none" w:pos="11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did not design and maintain effective segregation of duty controls over the review and approval of account reconciliations and manual journal entries. This material weakness did not result in any misstatements to the financial statements; however, the deficiency could result in a misstatement of substantially all of our account balances or disclosures that would result in a material misstatement to the annual or interim financial statements that would not be prevented or detected.</w:t>
      </w:r>
    </w:p>
    <w:p>
      <w:pPr>
        <w:spacing w:after="0" w:line="79"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Because of these material weaknesses, our management has concluded that our internal control over financial reporting was not effective as of November 30, 2021, based on the criteria in “Internal Control — Integrated Framework” (2013) issued by the COSO.</w:t>
      </w:r>
    </w:p>
    <w:p>
      <w:pPr>
        <w:spacing w:after="0" w:line="62" w:lineRule="exact"/>
        <w:rPr>
          <w:sz w:val="20"/>
          <w:szCs w:val="20"/>
          <w:color w:val="auto"/>
        </w:rPr>
      </w:pPr>
    </w:p>
    <w:p>
      <w:pPr>
        <w:ind w:right="240" w:firstLine="589"/>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November 30, 2021 has been audited by PricewaterhouseCoopers LLP, an independent registered public accounting firm, as stated in their report included in Part II, Item 8 of this Annual Report on Form 10-K.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17" w:lineRule="exact"/>
        <w:rPr>
          <w:sz w:val="20"/>
          <w:szCs w:val="20"/>
          <w:color w:val="auto"/>
        </w:rPr>
      </w:pPr>
    </w:p>
    <w:p>
      <w:pPr>
        <w:ind w:right="220" w:firstLine="667"/>
        <w:spacing w:after="0" w:line="259" w:lineRule="auto"/>
        <w:rPr>
          <w:sz w:val="20"/>
          <w:szCs w:val="20"/>
          <w:color w:val="auto"/>
        </w:rPr>
      </w:pPr>
      <w:r>
        <w:rPr>
          <w:rFonts w:ascii="Arial" w:cs="Arial" w:eastAsia="Arial" w:hAnsi="Arial"/>
          <w:sz w:val="18"/>
          <w:szCs w:val="18"/>
          <w:color w:val="auto"/>
        </w:rPr>
        <w:t>To address our material weaknesses, we have implemented and continue to implement new IT controls. We intend to continue to take steps to remediate the material weaknesses through formalizing documentation of IT policies and procedures and ensuring the ongoing operating effectiveness of the newly implemented IT controls to support effective IT dependent controls and our ability to maintain segregation of duties for our accounting staff in relation to account reconciliations and manual journal entries.</w:t>
      </w:r>
    </w:p>
    <w:p>
      <w:pPr>
        <w:spacing w:after="0" w:line="79" w:lineRule="exact"/>
        <w:rPr>
          <w:sz w:val="20"/>
          <w:szCs w:val="20"/>
          <w:color w:val="auto"/>
        </w:rPr>
      </w:pPr>
    </w:p>
    <w:p>
      <w:pPr>
        <w:ind w:right="20" w:firstLine="667"/>
        <w:spacing w:after="0" w:line="257" w:lineRule="auto"/>
        <w:rPr>
          <w:sz w:val="20"/>
          <w:szCs w:val="20"/>
          <w:color w:val="auto"/>
        </w:rPr>
      </w:pPr>
      <w:r>
        <w:rPr>
          <w:rFonts w:ascii="Arial" w:cs="Arial" w:eastAsia="Arial" w:hAnsi="Arial"/>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As described under the Remediation Plan above, we continued formalizing documentation of our IT policies and procedures and implementing new controls during the quarter ended November 30, 2021. Such remediation actions were changes in our internal control over financial reporting identified in connection with the evaluation required by Rule 13a-15(d) and 15d-15(d) of the Exchange Act that occurred during the quarter ended November 30, 2021 that have materially affected, or are reasonably likely to materially affect, our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6" w:name="page167"/>
    <w:bookmarkEnd w:id="166"/>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The information required by this item will be set forth in our definitive proxy statement for our 2022 Annual Meeting of Stockholders (Proxy Statement) to be filed with the SEC within 120 days after the end of the fiscal year covered by this Annual Report on Form 10-K, and is incorporated herein by reference.</w:t>
      </w:r>
    </w:p>
    <w:p>
      <w:pPr>
        <w:spacing w:after="0" w:line="76"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www.nurixtx.com.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to be filed with the SEC within 120 days after the end of the fiscal year covered by this Annual Report on Form 10-K, and is incorporated herein by reference.</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37" w:right="51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333" w:lineRule="exact"/>
        <w:rPr>
          <w:sz w:val="20"/>
          <w:szCs w:val="20"/>
          <w:color w:val="auto"/>
        </w:rPr>
      </w:pPr>
    </w:p>
    <w:p>
      <w:pPr>
        <w:ind w:left="580" w:hanging="572"/>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Financial Statements” under Part II, Item 8 of this Annual Report on Form 10-K.</w:t>
      </w:r>
    </w:p>
    <w:p>
      <w:pPr>
        <w:spacing w:after="0" w:line="278" w:lineRule="exact"/>
        <w:rPr>
          <w:sz w:val="20"/>
          <w:szCs w:val="20"/>
          <w:color w:val="auto"/>
        </w:rPr>
      </w:pPr>
    </w:p>
    <w:p>
      <w:pPr>
        <w:ind w:left="580" w:hanging="5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Financial statement schedules have been omitted in this Annual Report on Form 10-K because they are not applicable, not required under the instructions, or the information requested is set forth in the financial statements or related notes thereto.</w:t>
      </w:r>
    </w:p>
    <w:p>
      <w:pPr>
        <w:spacing w:after="0" w:line="278" w:lineRule="exact"/>
        <w:rPr>
          <w:sz w:val="20"/>
          <w:szCs w:val="20"/>
          <w:color w:val="auto"/>
        </w:rPr>
      </w:pPr>
    </w:p>
    <w:p>
      <w:pPr>
        <w:ind w:left="580" w:hanging="572"/>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following is a list of exhibits filed with this Annual Report on Form 10-K incorporated herein by reference (numbered in accordance with Item 601 of Regulation S-K):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68" w:name="page169"/>
    <w:bookmarkEnd w:id="168"/>
    <w:p>
      <w:pPr>
        <w:jc w:val="center"/>
        <w:ind w:right="-1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120"/>
          </w:cols>
          <w:pgMar w:left="320" w:top="337" w:right="45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Exhibit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80" w:type="dxa"/>
            <w:vAlign w:val="bottom"/>
            <w:gridSpan w:val="18"/>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Number</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8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000" w:type="dxa"/>
            <w:vAlign w:val="bottom"/>
            <w:tcBorders>
              <w:top w:val="single" w:sz="8" w:color="auto"/>
            </w:tcBorders>
          </w:tcPr>
          <w:p>
            <w:pPr>
              <w:jc w:val="right"/>
              <w:ind w:right="49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4500" w:type="dxa"/>
            <w:vAlign w:val="bottom"/>
            <w:tcBorders>
              <w:top w:val="single" w:sz="8" w:color="auto"/>
            </w:tcBorders>
            <w:gridSpan w:val="22"/>
          </w:tcPr>
          <w:p>
            <w:pPr>
              <w:spacing w:after="0"/>
              <w:rPr>
                <w:rFonts w:ascii="Arial" w:cs="Arial" w:eastAsia="Arial" w:hAnsi="Arial"/>
                <w:sz w:val="18"/>
                <w:szCs w:val="18"/>
                <w:color w:val="0000EE"/>
              </w:rPr>
            </w:pPr>
            <w:hyperlink r:id="rId216">
              <w:r>
                <w:rPr>
                  <w:rFonts w:ascii="Arial" w:cs="Arial" w:eastAsia="Arial" w:hAnsi="Arial"/>
                  <w:sz w:val="18"/>
                  <w:szCs w:val="18"/>
                  <w:color w:val="0000EE"/>
                </w:rPr>
                <w:t>Restated Certificate of Incorporation</w:t>
              </w:r>
            </w:hyperlink>
          </w:p>
        </w:tc>
        <w:tc>
          <w:tcPr>
            <w:tcW w:w="0" w:type="dxa"/>
            <w:vAlign w:val="bottom"/>
          </w:tcPr>
          <w:p>
            <w:pPr>
              <w:spacing w:after="0"/>
              <w:rPr>
                <w:sz w:val="1"/>
                <w:szCs w:val="1"/>
                <w:color w:val="auto"/>
              </w:rPr>
            </w:pPr>
          </w:p>
        </w:tc>
      </w:tr>
      <w:tr>
        <w:trPr>
          <w:trHeight w:val="30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2640" w:type="dxa"/>
            <w:vAlign w:val="bottom"/>
            <w:tcBorders>
              <w:top w:val="single" w:sz="8" w:color="0000EE"/>
            </w:tcBorders>
            <w:gridSpan w:val="8"/>
          </w:tcPr>
          <w:p>
            <w:pPr>
              <w:spacing w:after="0"/>
              <w:rPr>
                <w:rFonts w:ascii="Arial" w:cs="Arial" w:eastAsia="Arial" w:hAnsi="Arial"/>
                <w:sz w:val="18"/>
                <w:szCs w:val="18"/>
                <w:color w:val="0000EE"/>
              </w:rPr>
            </w:pPr>
            <w:hyperlink r:id="rId217">
              <w:r>
                <w:rPr>
                  <w:rFonts w:ascii="Arial" w:cs="Arial" w:eastAsia="Arial" w:hAnsi="Arial"/>
                  <w:sz w:val="18"/>
                  <w:szCs w:val="18"/>
                  <w:color w:val="0000EE"/>
                </w:rPr>
                <w:t>Restated Bylaws</w:t>
              </w:r>
            </w:hyperlink>
          </w:p>
        </w:tc>
        <w:tc>
          <w:tcPr>
            <w:tcW w:w="18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500" w:type="dxa"/>
            <w:vAlign w:val="bottom"/>
            <w:gridSpan w:val="22"/>
          </w:tcPr>
          <w:p>
            <w:pPr>
              <w:spacing w:after="0"/>
              <w:rPr>
                <w:rFonts w:ascii="Arial" w:cs="Arial" w:eastAsia="Arial" w:hAnsi="Arial"/>
                <w:sz w:val="18"/>
                <w:szCs w:val="18"/>
                <w:color w:val="0000EE"/>
              </w:rPr>
            </w:pPr>
            <w:hyperlink r:id="rId218">
              <w:r>
                <w:rPr>
                  <w:rFonts w:ascii="Arial" w:cs="Arial" w:eastAsia="Arial" w:hAnsi="Arial"/>
                  <w:sz w:val="18"/>
                  <w:szCs w:val="18"/>
                  <w:color w:val="0000EE"/>
                </w:rPr>
                <w:t>Form of Common Stock Certificate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500" w:type="dxa"/>
            <w:vAlign w:val="bottom"/>
            <w:gridSpan w:val="22"/>
          </w:tcPr>
          <w:p>
            <w:pPr>
              <w:spacing w:after="0"/>
              <w:rPr>
                <w:rFonts w:ascii="Arial" w:cs="Arial" w:eastAsia="Arial" w:hAnsi="Arial"/>
                <w:sz w:val="18"/>
                <w:szCs w:val="18"/>
                <w:color w:val="0000EE"/>
                <w:w w:val="96"/>
              </w:rPr>
            </w:pPr>
            <w:hyperlink r:id="rId219">
              <w:r>
                <w:rPr>
                  <w:rFonts w:ascii="Arial" w:cs="Arial" w:eastAsia="Arial" w:hAnsi="Arial"/>
                  <w:sz w:val="18"/>
                  <w:szCs w:val="18"/>
                  <w:color w:val="0000EE"/>
                  <w:w w:val="96"/>
                </w:rPr>
                <w:t>Amended and Restated Investor Rights Agreement, dated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March 9, 2020, by and among the Registrant and certain of its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19">
              <w:r>
                <w:rPr>
                  <w:rFonts w:ascii="Arial" w:cs="Arial" w:eastAsia="Arial" w:hAnsi="Arial"/>
                  <w:sz w:val="18"/>
                  <w:szCs w:val="18"/>
                  <w:color w:val="0000EE"/>
                  <w:w w:val="89"/>
                </w:rPr>
                <w:t>stockholders</w:t>
              </w:r>
            </w:hyperlink>
          </w:p>
        </w:tc>
        <w:tc>
          <w:tcPr>
            <w:tcW w:w="3540" w:type="dxa"/>
            <w:vAlign w:val="bottom"/>
            <w:tcBorders>
              <w:top w:val="single" w:sz="8" w:color="0000EE"/>
            </w:tcBorders>
            <w:gridSpan w:val="18"/>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Description of Registrant’s Securities</w:t>
              </w:r>
            </w:hyperlink>
          </w:p>
        </w:tc>
        <w:tc>
          <w:tcPr>
            <w:tcW w:w="18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000" w:type="dxa"/>
            <w:vAlign w:val="bottom"/>
          </w:tcPr>
          <w:p>
            <w:pPr>
              <w:jc w:val="right"/>
              <w:ind w:right="49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2220" w:type="dxa"/>
            <w:vAlign w:val="bottom"/>
            <w:tcBorders>
              <w:bottom w:val="single" w:sz="8" w:color="0000EE"/>
            </w:tcBorders>
            <w:gridSpan w:val="5"/>
          </w:tcPr>
          <w:p>
            <w:pPr>
              <w:spacing w:after="0"/>
              <w:rPr>
                <w:rFonts w:ascii="Arial" w:cs="Arial" w:eastAsia="Arial" w:hAnsi="Arial"/>
                <w:sz w:val="18"/>
                <w:szCs w:val="18"/>
                <w:color w:val="0000EE"/>
                <w:w w:val="92"/>
              </w:rPr>
            </w:pPr>
            <w:hyperlink r:id="rId221">
              <w:r>
                <w:rPr>
                  <w:rFonts w:ascii="Arial" w:cs="Arial" w:eastAsia="Arial" w:hAnsi="Arial"/>
                  <w:sz w:val="18"/>
                  <w:szCs w:val="18"/>
                  <w:color w:val="0000EE"/>
                  <w:w w:val="92"/>
                </w:rPr>
                <w:t>Form of Indemnity Agreement</w:t>
              </w:r>
            </w:hyperlink>
          </w:p>
        </w:tc>
        <w:tc>
          <w:tcPr>
            <w:tcW w:w="22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4400" w:type="dxa"/>
            <w:vAlign w:val="bottom"/>
            <w:tcBorders>
              <w:bottom w:val="single" w:sz="8" w:color="0000EE"/>
            </w:tcBorders>
            <w:gridSpan w:val="19"/>
          </w:tcPr>
          <w:p>
            <w:pPr>
              <w:spacing w:after="0"/>
              <w:rPr>
                <w:rFonts w:ascii="Arial" w:cs="Arial" w:eastAsia="Arial" w:hAnsi="Arial"/>
                <w:sz w:val="18"/>
                <w:szCs w:val="18"/>
                <w:color w:val="0000EE"/>
                <w:w w:val="90"/>
              </w:rPr>
            </w:pPr>
            <w:hyperlink r:id="rId222">
              <w:r>
                <w:rPr>
                  <w:rFonts w:ascii="Arial" w:cs="Arial" w:eastAsia="Arial" w:hAnsi="Arial"/>
                  <w:sz w:val="18"/>
                  <w:szCs w:val="18"/>
                  <w:color w:val="0000EE"/>
                  <w:w w:val="90"/>
                </w:rPr>
                <w:t>2012 Equity Incentive Plan, as amended, and forms of award</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agreements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rFonts w:ascii="Arial" w:cs="Arial" w:eastAsia="Arial" w:hAnsi="Arial"/>
                <w:sz w:val="18"/>
                <w:szCs w:val="18"/>
                <w:color w:val="0000EE"/>
                <w:w w:val="90"/>
              </w:rPr>
            </w:pPr>
            <w:hyperlink r:id="rId223">
              <w:r>
                <w:rPr>
                  <w:rFonts w:ascii="Arial" w:cs="Arial" w:eastAsia="Arial" w:hAnsi="Arial"/>
                  <w:sz w:val="18"/>
                  <w:szCs w:val="18"/>
                  <w:color w:val="0000EE"/>
                  <w:w w:val="90"/>
                </w:rPr>
                <w:t>2020 Equity Incentive Plan and forms of award agreements</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4140" w:type="dxa"/>
            <w:vAlign w:val="bottom"/>
            <w:tcBorders>
              <w:bottom w:val="single" w:sz="8" w:color="0000EE"/>
            </w:tcBorders>
            <w:gridSpan w:val="16"/>
          </w:tcPr>
          <w:p>
            <w:pPr>
              <w:spacing w:after="0"/>
              <w:rPr>
                <w:rFonts w:ascii="Arial" w:cs="Arial" w:eastAsia="Arial" w:hAnsi="Arial"/>
                <w:sz w:val="18"/>
                <w:szCs w:val="18"/>
                <w:color w:val="0000EE"/>
                <w:w w:val="89"/>
              </w:rPr>
            </w:pPr>
            <w:hyperlink r:id="rId224">
              <w:r>
                <w:rPr>
                  <w:rFonts w:ascii="Arial" w:cs="Arial" w:eastAsia="Arial" w:hAnsi="Arial"/>
                  <w:sz w:val="18"/>
                  <w:szCs w:val="18"/>
                  <w:color w:val="0000EE"/>
                  <w:w w:val="89"/>
                </w:rPr>
                <w:t>2020 Employee Stock Purchase Plan and forms of award</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agreements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4500" w:type="dxa"/>
            <w:vAlign w:val="bottom"/>
            <w:gridSpan w:val="22"/>
          </w:tcPr>
          <w:p>
            <w:pPr>
              <w:spacing w:after="0"/>
              <w:rPr>
                <w:rFonts w:ascii="Arial" w:cs="Arial" w:eastAsia="Arial" w:hAnsi="Arial"/>
                <w:sz w:val="18"/>
                <w:szCs w:val="18"/>
                <w:color w:val="0000EE"/>
              </w:rPr>
            </w:pPr>
            <w:hyperlink r:id="rId225">
              <w:r>
                <w:rPr>
                  <w:rFonts w:ascii="Arial" w:cs="Arial" w:eastAsia="Arial" w:hAnsi="Arial"/>
                  <w:sz w:val="18"/>
                  <w:szCs w:val="18"/>
                  <w:color w:val="0000EE"/>
                </w:rPr>
                <w:t>Employment Agreement, dated July 15, 2020,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between the Registrant and Arthur T. Sands</w:t>
              </w:r>
            </w:hyperlink>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rFonts w:ascii="Arial" w:cs="Arial" w:eastAsia="Arial" w:hAnsi="Arial"/>
                <w:sz w:val="18"/>
                <w:szCs w:val="18"/>
                <w:color w:val="0000EE"/>
                <w:w w:val="89"/>
              </w:rPr>
            </w:pPr>
            <w:hyperlink r:id="rId226">
              <w:r>
                <w:rPr>
                  <w:rFonts w:ascii="Arial" w:cs="Arial" w:eastAsia="Arial" w:hAnsi="Arial"/>
                  <w:sz w:val="18"/>
                  <w:szCs w:val="18"/>
                  <w:color w:val="0000EE"/>
                  <w:w w:val="89"/>
                </w:rPr>
                <w:t>Letter Agreement, dated June 15, 2020, by and between the</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226">
              <w:r>
                <w:rPr>
                  <w:rFonts w:ascii="Arial" w:cs="Arial" w:eastAsia="Arial" w:hAnsi="Arial"/>
                  <w:sz w:val="18"/>
                  <w:szCs w:val="18"/>
                  <w:color w:val="0000EE"/>
                  <w:w w:val="89"/>
                </w:rPr>
                <w:t>Registrant and Arthur T. Sands</w:t>
              </w:r>
            </w:hyperlink>
          </w:p>
        </w:tc>
        <w:tc>
          <w:tcPr>
            <w:tcW w:w="22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500" w:type="dxa"/>
            <w:vAlign w:val="bottom"/>
            <w:gridSpan w:val="22"/>
          </w:tcPr>
          <w:p>
            <w:pPr>
              <w:spacing w:after="0"/>
              <w:rPr>
                <w:rFonts w:ascii="Arial" w:cs="Arial" w:eastAsia="Arial" w:hAnsi="Arial"/>
                <w:sz w:val="18"/>
                <w:szCs w:val="18"/>
                <w:color w:val="0000EE"/>
              </w:rPr>
            </w:pPr>
            <w:hyperlink r:id="rId227">
              <w:r>
                <w:rPr>
                  <w:rFonts w:ascii="Arial" w:cs="Arial" w:eastAsia="Arial" w:hAnsi="Arial"/>
                  <w:sz w:val="18"/>
                  <w:szCs w:val="18"/>
                  <w:color w:val="0000EE"/>
                </w:rPr>
                <w:t>Employment Agreement, dated July 15, 2020,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between the Registrant and Gwenn Hansen</w:t>
              </w:r>
            </w:hyperlink>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4500" w:type="dxa"/>
            <w:vAlign w:val="bottom"/>
            <w:gridSpan w:val="22"/>
          </w:tcPr>
          <w:p>
            <w:pPr>
              <w:spacing w:after="0"/>
              <w:rPr>
                <w:rFonts w:ascii="Arial" w:cs="Arial" w:eastAsia="Arial" w:hAnsi="Arial"/>
                <w:sz w:val="18"/>
                <w:szCs w:val="18"/>
                <w:color w:val="0000EE"/>
              </w:rPr>
            </w:pPr>
            <w:hyperlink r:id="rId228">
              <w:r>
                <w:rPr>
                  <w:rFonts w:ascii="Arial" w:cs="Arial" w:eastAsia="Arial" w:hAnsi="Arial"/>
                  <w:sz w:val="18"/>
                  <w:szCs w:val="18"/>
                  <w:color w:val="0000EE"/>
                </w:rPr>
                <w:t>Employment Agreement, dated July 15, 2020,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28">
              <w:r>
                <w:rPr>
                  <w:rFonts w:ascii="Arial" w:cs="Arial" w:eastAsia="Arial" w:hAnsi="Arial"/>
                  <w:sz w:val="18"/>
                  <w:szCs w:val="18"/>
                  <w:color w:val="0000EE"/>
                  <w:w w:val="90"/>
                </w:rPr>
                <w:t>between the Registrant and Christine Ring</w:t>
              </w:r>
            </w:hyperlink>
          </w:p>
        </w:tc>
        <w:tc>
          <w:tcPr>
            <w:tcW w:w="740" w:type="dxa"/>
            <w:vAlign w:val="bottom"/>
            <w:tcBorders>
              <w:top w:val="single" w:sz="8" w:color="0000EE"/>
            </w:tcBorders>
            <w:gridSpan w:val="3"/>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4500" w:type="dxa"/>
            <w:vAlign w:val="bottom"/>
            <w:gridSpan w:val="22"/>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Employment Agreement, dated July 15, 2020, by and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between the Registrant and Hans van Houte</w:t>
              </w:r>
            </w:hyperlink>
          </w:p>
        </w:tc>
        <w:tc>
          <w:tcPr>
            <w:tcW w:w="680" w:type="dxa"/>
            <w:vAlign w:val="bottom"/>
            <w:tcBorders>
              <w:top w:val="single" w:sz="8" w:color="0000EE"/>
            </w:tcBorders>
            <w:gridSpan w:val="2"/>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10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3880" w:type="dxa"/>
            <w:vAlign w:val="bottom"/>
            <w:tcBorders>
              <w:bottom w:val="single" w:sz="8" w:color="0000EE"/>
            </w:tcBorders>
            <w:gridSpan w:val="15"/>
          </w:tcPr>
          <w:p>
            <w:pPr>
              <w:spacing w:after="0"/>
              <w:rPr>
                <w:rFonts w:ascii="Arial" w:cs="Arial" w:eastAsia="Arial" w:hAnsi="Arial"/>
                <w:sz w:val="18"/>
                <w:szCs w:val="18"/>
                <w:color w:val="0000EE"/>
                <w:w w:val="89"/>
              </w:rPr>
            </w:pPr>
            <w:hyperlink r:id="rId229">
              <w:r>
                <w:rPr>
                  <w:rFonts w:ascii="Arial" w:cs="Arial" w:eastAsia="Arial" w:hAnsi="Arial"/>
                  <w:sz w:val="18"/>
                  <w:szCs w:val="18"/>
                  <w:color w:val="0000EE"/>
                  <w:w w:val="89"/>
                </w:rPr>
                <w:t>Employment Agreement, dated June 10, 2021, by and</w:t>
              </w:r>
            </w:hyperlink>
          </w:p>
        </w:tc>
        <w:tc>
          <w:tcPr>
            <w:tcW w:w="6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00" w:type="dxa"/>
            <w:vAlign w:val="bottom"/>
            <w:gridSpan w:val="22"/>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between the Registrant and Stefani Wolff</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ind w:left="10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450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176">
              <w:r>
                <w:rPr>
                  <w:rFonts w:ascii="Arial" w:cs="Arial" w:eastAsia="Arial" w:hAnsi="Arial"/>
                  <w:sz w:val="18"/>
                  <w:szCs w:val="18"/>
                  <w:color w:val="0000EE"/>
                  <w:w w:val="88"/>
                </w:rPr>
                <w:t>Executive Severance and Change in Control Plan, as amended</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and restated on January 19, 2022, and form of Participation</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6">
              <w:r>
                <w:rPr>
                  <w:rFonts w:ascii="Arial" w:cs="Arial" w:eastAsia="Arial" w:hAnsi="Arial"/>
                  <w:sz w:val="18"/>
                  <w:szCs w:val="18"/>
                  <w:color w:val="0000EE"/>
                  <w:w w:val="88"/>
                </w:rPr>
                <w:t>Agreement thereunder</w:t>
              </w:r>
            </w:hyperlink>
          </w:p>
        </w:tc>
        <w:tc>
          <w:tcPr>
            <w:tcW w:w="28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tcPr>
          <w:p>
            <w:pPr>
              <w:ind w:left="10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4480" w:type="dxa"/>
            <w:vAlign w:val="bottom"/>
            <w:tcBorders>
              <w:bottom w:val="single" w:sz="8" w:color="0000EE"/>
            </w:tcBorders>
            <w:gridSpan w:val="21"/>
          </w:tcPr>
          <w:p>
            <w:pPr>
              <w:spacing w:after="0"/>
              <w:rPr>
                <w:rFonts w:ascii="Arial" w:cs="Arial" w:eastAsia="Arial" w:hAnsi="Arial"/>
                <w:sz w:val="18"/>
                <w:szCs w:val="18"/>
                <w:color w:val="0000EE"/>
                <w:w w:val="89"/>
              </w:rPr>
            </w:pPr>
            <w:hyperlink r:id="rId230">
              <w:r>
                <w:rPr>
                  <w:rFonts w:ascii="Arial" w:cs="Arial" w:eastAsia="Arial" w:hAnsi="Arial"/>
                  <w:sz w:val="18"/>
                  <w:szCs w:val="18"/>
                  <w:color w:val="0000EE"/>
                  <w:w w:val="89"/>
                </w:rPr>
                <w:t>Lease Agreement, dated as of March 24, 2014, between ARE-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30">
              <w:r>
                <w:rPr>
                  <w:rFonts w:ascii="Arial" w:cs="Arial" w:eastAsia="Arial" w:hAnsi="Arial"/>
                  <w:sz w:val="18"/>
                  <w:szCs w:val="18"/>
                  <w:color w:val="0000EE"/>
                  <w:w w:val="90"/>
                </w:rPr>
                <w:t>San Francisco No. 26, LLC and the Registrant</w:t>
              </w:r>
            </w:hyperlink>
          </w:p>
        </w:tc>
        <w:tc>
          <w:tcPr>
            <w:tcW w:w="11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ind w:left="560"/>
              <w:spacing w:after="0"/>
              <w:rPr>
                <w:sz w:val="20"/>
                <w:szCs w:val="20"/>
                <w:color w:val="auto"/>
              </w:rPr>
            </w:pPr>
            <w:r>
              <w:rPr>
                <w:rFonts w:ascii="Arial" w:cs="Arial" w:eastAsia="Arial" w:hAnsi="Arial"/>
                <w:sz w:val="14"/>
                <w:szCs w:val="14"/>
                <w:b w:val="1"/>
                <w:bCs w:val="1"/>
                <w:color w:val="auto"/>
                <w:w w:val="96"/>
              </w:rPr>
              <w:t>Incorporated by Reference</w:t>
            </w:r>
          </w:p>
        </w:tc>
        <w:tc>
          <w:tcPr>
            <w:tcW w:w="1300" w:type="dxa"/>
            <w:vAlign w:val="bottom"/>
          </w:tcPr>
          <w:p>
            <w:pPr>
              <w:spacing w:after="0"/>
              <w:rPr>
                <w:sz w:val="16"/>
                <w:szCs w:val="16"/>
                <w:color w:val="auto"/>
              </w:rPr>
            </w:pPr>
          </w:p>
        </w:tc>
      </w:tr>
      <w:tr>
        <w:trPr>
          <w:trHeight w:val="293"/>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Pr>
          <w:p>
            <w:pPr>
              <w:spacing w:after="0"/>
              <w:rPr>
                <w:sz w:val="24"/>
                <w:szCs w:val="24"/>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File No.</w:t>
            </w:r>
          </w:p>
        </w:tc>
        <w:tc>
          <w:tcPr>
            <w:tcW w:w="120" w:type="dxa"/>
            <w:vAlign w:val="bottom"/>
          </w:tcPr>
          <w:p>
            <w:pPr>
              <w:spacing w:after="0"/>
              <w:rPr>
                <w:sz w:val="24"/>
                <w:szCs w:val="24"/>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0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October 14,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October 14,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July 2,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July 2, 2020</w:t>
            </w:r>
          </w:p>
        </w:tc>
      </w:tr>
      <w:tr>
        <w:trPr>
          <w:trHeight w:val="742"/>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February 16,</w:t>
            </w:r>
          </w:p>
        </w:tc>
      </w:tr>
      <w:tr>
        <w:trPr>
          <w:trHeight w:val="230"/>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311"/>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July 2,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July 2, 2020</w:t>
            </w:r>
          </w:p>
        </w:tc>
      </w:tr>
      <w:tr>
        <w:trPr>
          <w:trHeight w:val="540"/>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July 20, 2020</w:t>
            </w:r>
          </w:p>
        </w:tc>
      </w:tr>
      <w:tr>
        <w:trPr>
          <w:trHeight w:val="32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July 20, 2020</w:t>
            </w:r>
          </w:p>
        </w:tc>
      </w:tr>
      <w:tr>
        <w:trPr>
          <w:trHeight w:val="540"/>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July 20, 2020</w:t>
            </w:r>
          </w:p>
        </w:tc>
      </w:tr>
      <w:tr>
        <w:trPr>
          <w:trHeight w:val="540"/>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July 2, 2020</w:t>
            </w:r>
          </w:p>
        </w:tc>
      </w:tr>
      <w:tr>
        <w:trPr>
          <w:trHeight w:val="540"/>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July 20, 2020</w:t>
            </w:r>
          </w:p>
        </w:tc>
      </w:tr>
      <w:tr>
        <w:trPr>
          <w:trHeight w:val="526"/>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February 16,</w:t>
            </w:r>
          </w:p>
        </w:tc>
      </w:tr>
      <w:tr>
        <w:trPr>
          <w:trHeight w:val="230"/>
        </w:trPr>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2021</w:t>
            </w:r>
          </w:p>
        </w:tc>
      </w:tr>
      <w:tr>
        <w:trPr>
          <w:trHeight w:val="864"/>
        </w:trPr>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1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October 14,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20"/>
        <w:spacing w:after="0"/>
        <w:tabs>
          <w:tab w:leader="none" w:pos="1040" w:val="left"/>
          <w:tab w:leader="none" w:pos="2460" w:val="left"/>
          <w:tab w:leader="none" w:pos="334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333-239651</w:t>
      </w:r>
      <w:r>
        <w:rPr>
          <w:sz w:val="20"/>
          <w:szCs w:val="20"/>
          <w:color w:val="auto"/>
        </w:rPr>
        <w:tab/>
      </w: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July 2, 2020</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4" w:lineRule="exact"/>
        <w:rPr>
          <w:sz w:val="20"/>
          <w:szCs w:val="20"/>
          <w:color w:val="auto"/>
        </w:rPr>
      </w:pPr>
    </w:p>
    <w:p>
      <w:pPr>
        <w:ind w:left="40" w:hanging="29"/>
        <w:spacing w:after="0" w:line="271" w:lineRule="auto"/>
        <w:rPr>
          <w:sz w:val="20"/>
          <w:szCs w:val="20"/>
          <w:color w:val="auto"/>
        </w:rPr>
      </w:pPr>
      <w:r>
        <w:rPr>
          <w:rFonts w:ascii="Arial" w:cs="Arial" w:eastAsia="Arial" w:hAnsi="Arial"/>
          <w:sz w:val="13"/>
          <w:szCs w:val="13"/>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-20955</wp:posOffset>
            </wp:positionV>
            <wp:extent cx="5575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X</w:t>
      </w:r>
    </w:p>
    <w:p>
      <w:pPr>
        <w:spacing w:after="0" w:line="1181" w:lineRule="exact"/>
        <w:rPr>
          <w:sz w:val="20"/>
          <w:szCs w:val="20"/>
          <w:color w:val="auto"/>
        </w:rPr>
      </w:pPr>
    </w:p>
    <w:p>
      <w:pPr>
        <w:sectPr>
          <w:pgSz w:w="11900" w:h="16838" w:orient="portrait"/>
          <w:cols w:equalWidth="0" w:num="3">
            <w:col w:w="5640" w:space="140"/>
            <w:col w:w="4440" w:space="260"/>
            <w:col w:w="640"/>
          </w:cols>
          <w:pgMar w:left="320" w:top="337" w:right="459" w:bottom="1440" w:gutter="0" w:footer="0" w:header="0"/>
          <w:type w:val="continuous"/>
        </w:sectPr>
      </w:pP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207"/>
        </w:trPr>
        <w:tc>
          <w:tcPr>
            <w:tcW w:w="1140" w:type="dxa"/>
            <w:vAlign w:val="bottom"/>
          </w:tcPr>
          <w:p>
            <w:pPr>
              <w:ind w:left="100"/>
              <w:spacing w:after="0"/>
              <w:rPr>
                <w:sz w:val="20"/>
                <w:szCs w:val="20"/>
                <w:color w:val="auto"/>
              </w:rPr>
            </w:pPr>
            <w:r>
              <w:rPr>
                <w:rFonts w:ascii="Arial" w:cs="Arial" w:eastAsia="Arial" w:hAnsi="Arial"/>
                <w:sz w:val="18"/>
                <w:szCs w:val="18"/>
                <w:color w:val="auto"/>
              </w:rPr>
              <w:t>10.13</w:t>
            </w:r>
          </w:p>
        </w:tc>
        <w:tc>
          <w:tcPr>
            <w:tcW w:w="4340" w:type="dxa"/>
            <w:vAlign w:val="bottom"/>
            <w:tcBorders>
              <w:bottom w:val="single" w:sz="8" w:color="0000EE"/>
            </w:tcBorders>
            <w:gridSpan w:val="21"/>
          </w:tcPr>
          <w:p>
            <w:pPr>
              <w:spacing w:after="0"/>
              <w:rPr>
                <w:rFonts w:ascii="Arial" w:cs="Arial" w:eastAsia="Arial" w:hAnsi="Arial"/>
                <w:sz w:val="18"/>
                <w:szCs w:val="18"/>
                <w:color w:val="0000EE"/>
                <w:w w:val="88"/>
              </w:rPr>
            </w:pPr>
            <w:hyperlink r:id="rId233">
              <w:r>
                <w:rPr>
                  <w:rFonts w:ascii="Arial" w:cs="Arial" w:eastAsia="Arial" w:hAnsi="Arial"/>
                  <w:sz w:val="18"/>
                  <w:szCs w:val="18"/>
                  <w:color w:val="0000EE"/>
                  <w:w w:val="88"/>
                </w:rPr>
                <w:t>Lease Agreement, dated as of June 21, 2021, between ARE-</w:t>
              </w:r>
            </w:hyperlink>
          </w:p>
        </w:tc>
        <w:tc>
          <w:tcPr>
            <w:tcW w:w="12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3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33">
              <w:r>
                <w:rPr>
                  <w:rFonts w:ascii="Arial" w:cs="Arial" w:eastAsia="Arial" w:hAnsi="Arial"/>
                  <w:sz w:val="18"/>
                  <w:szCs w:val="18"/>
                  <w:color w:val="0000EE"/>
                  <w:w w:val="90"/>
                </w:rPr>
                <w:t>San Francisco No. 19 LLC and the Registrant</w:t>
              </w:r>
            </w:hyperlink>
          </w:p>
        </w:tc>
        <w:tc>
          <w:tcPr>
            <w:tcW w:w="1160" w:type="dxa"/>
            <w:vAlign w:val="bottom"/>
            <w:gridSpan w:val="16"/>
          </w:tcPr>
          <w:p>
            <w:pPr>
              <w:spacing w:after="0"/>
              <w:rPr>
                <w:sz w:val="17"/>
                <w:szCs w:val="17"/>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10.14†</w:t>
            </w:r>
          </w:p>
        </w:tc>
        <w:tc>
          <w:tcPr>
            <w:tcW w:w="4460" w:type="dxa"/>
            <w:vAlign w:val="bottom"/>
            <w:tcBorders>
              <w:bottom w:val="single" w:sz="8" w:color="0000EE"/>
            </w:tcBorders>
            <w:gridSpan w:val="23"/>
          </w:tcPr>
          <w:p>
            <w:pPr>
              <w:spacing w:after="0"/>
              <w:rPr>
                <w:rFonts w:ascii="Arial" w:cs="Arial" w:eastAsia="Arial" w:hAnsi="Arial"/>
                <w:sz w:val="18"/>
                <w:szCs w:val="18"/>
                <w:color w:val="0000EE"/>
                <w:w w:val="90"/>
              </w:rPr>
            </w:pPr>
            <w:hyperlink r:id="rId234">
              <w:r>
                <w:rPr>
                  <w:rFonts w:ascii="Arial" w:cs="Arial" w:eastAsia="Arial" w:hAnsi="Arial"/>
                  <w:sz w:val="18"/>
                  <w:szCs w:val="18"/>
                  <w:color w:val="0000EE"/>
                  <w:w w:val="90"/>
                </w:rPr>
                <w:t>Collaboration, Option and License Agreement, dated June 10,</w:t>
              </w:r>
            </w:hyperlink>
          </w:p>
        </w:tc>
      </w:tr>
      <w:tr>
        <w:trPr>
          <w:trHeight w:val="196"/>
        </w:trPr>
        <w:tc>
          <w:tcPr>
            <w:tcW w:w="1140" w:type="dxa"/>
            <w:vAlign w:val="bottom"/>
          </w:tcPr>
          <w:p>
            <w:pPr>
              <w:spacing w:after="0"/>
              <w:rPr>
                <w:sz w:val="17"/>
                <w:szCs w:val="17"/>
                <w:color w:val="auto"/>
              </w:rPr>
            </w:pPr>
          </w:p>
        </w:tc>
        <w:tc>
          <w:tcPr>
            <w:tcW w:w="41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234">
              <w:r>
                <w:rPr>
                  <w:rFonts w:ascii="Arial" w:cs="Arial" w:eastAsia="Arial" w:hAnsi="Arial"/>
                  <w:sz w:val="18"/>
                  <w:szCs w:val="18"/>
                  <w:color w:val="0000EE"/>
                  <w:w w:val="88"/>
                </w:rPr>
                <w:t>2019, by and between the Registrant and Gilead Sciences,</w:t>
              </w:r>
            </w:hyperlink>
          </w:p>
        </w:tc>
        <w:tc>
          <w:tcPr>
            <w:tcW w:w="2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22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234">
              <w:r>
                <w:rPr>
                  <w:rFonts w:ascii="Arial" w:cs="Arial" w:eastAsia="Arial" w:hAnsi="Arial"/>
                  <w:sz w:val="18"/>
                  <w:szCs w:val="18"/>
                  <w:color w:val="0000EE"/>
                  <w:w w:val="86"/>
                </w:rPr>
                <w:t>Inc., as amended</w:t>
              </w:r>
            </w:hyperlink>
          </w:p>
        </w:tc>
        <w:tc>
          <w:tcPr>
            <w:tcW w:w="3240" w:type="dxa"/>
            <w:vAlign w:val="bottom"/>
            <w:gridSpan w:val="20"/>
          </w:tcPr>
          <w:p>
            <w:pPr>
              <w:spacing w:after="0"/>
              <w:rPr>
                <w:sz w:val="17"/>
                <w:szCs w:val="17"/>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10.15†</w:t>
            </w:r>
          </w:p>
        </w:tc>
        <w:tc>
          <w:tcPr>
            <w:tcW w:w="4280" w:type="dxa"/>
            <w:vAlign w:val="bottom"/>
            <w:tcBorders>
              <w:bottom w:val="single" w:sz="8" w:color="0000EE"/>
            </w:tcBorders>
            <w:gridSpan w:val="18"/>
          </w:tcPr>
          <w:p>
            <w:pPr>
              <w:spacing w:after="0"/>
              <w:rPr>
                <w:rFonts w:ascii="Arial" w:cs="Arial" w:eastAsia="Arial" w:hAnsi="Arial"/>
                <w:sz w:val="18"/>
                <w:szCs w:val="18"/>
                <w:color w:val="0000EE"/>
                <w:w w:val="89"/>
              </w:rPr>
            </w:pPr>
            <w:hyperlink r:id="rId235">
              <w:r>
                <w:rPr>
                  <w:rFonts w:ascii="Arial" w:cs="Arial" w:eastAsia="Arial" w:hAnsi="Arial"/>
                  <w:sz w:val="18"/>
                  <w:szCs w:val="18"/>
                  <w:color w:val="0000EE"/>
                  <w:w w:val="89"/>
                </w:rPr>
                <w:t>Collaboration and License Agreement, dated December 19,</w:t>
              </w:r>
            </w:hyperlink>
          </w:p>
        </w:tc>
        <w:tc>
          <w:tcPr>
            <w:tcW w:w="18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460" w:type="dxa"/>
            <w:vAlign w:val="bottom"/>
            <w:gridSpan w:val="23"/>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2019, by and between the Registrant and Genzyme</w:t>
              </w:r>
            </w:hyperlink>
          </w:p>
        </w:tc>
      </w:tr>
      <w:tr>
        <w:trPr>
          <w:trHeight w:val="196"/>
        </w:trPr>
        <w:tc>
          <w:tcPr>
            <w:tcW w:w="114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Corporation</w:t>
              </w:r>
            </w:hyperlink>
          </w:p>
        </w:tc>
        <w:tc>
          <w:tcPr>
            <w:tcW w:w="2780" w:type="dxa"/>
            <w:vAlign w:val="bottom"/>
            <w:tcBorders>
              <w:top w:val="single" w:sz="8" w:color="0000EE"/>
            </w:tcBorders>
            <w:gridSpan w:val="7"/>
          </w:tcPr>
          <w:p>
            <w:pPr>
              <w:spacing w:after="0"/>
              <w:rPr>
                <w:sz w:val="17"/>
                <w:szCs w:val="17"/>
                <w:color w:val="auto"/>
              </w:rPr>
            </w:pPr>
          </w:p>
        </w:tc>
        <w:tc>
          <w:tcPr>
            <w:tcW w:w="800" w:type="dxa"/>
            <w:vAlign w:val="bottom"/>
            <w:gridSpan w:val="14"/>
          </w:tcPr>
          <w:p>
            <w:pPr>
              <w:spacing w:after="0"/>
              <w:rPr>
                <w:sz w:val="17"/>
                <w:szCs w:val="17"/>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10.16†</w:t>
            </w:r>
          </w:p>
        </w:tc>
        <w:tc>
          <w:tcPr>
            <w:tcW w:w="4460" w:type="dxa"/>
            <w:vAlign w:val="bottom"/>
            <w:gridSpan w:val="23"/>
          </w:tcPr>
          <w:p>
            <w:pPr>
              <w:spacing w:after="0"/>
              <w:rPr>
                <w:rFonts w:ascii="Arial" w:cs="Arial" w:eastAsia="Arial" w:hAnsi="Arial"/>
                <w:sz w:val="18"/>
                <w:szCs w:val="18"/>
                <w:color w:val="0000EE"/>
                <w:w w:val="94"/>
              </w:rPr>
            </w:pPr>
            <w:hyperlink r:id="rId236">
              <w:r>
                <w:rPr>
                  <w:rFonts w:ascii="Arial" w:cs="Arial" w:eastAsia="Arial" w:hAnsi="Arial"/>
                  <w:sz w:val="18"/>
                  <w:szCs w:val="18"/>
                  <w:color w:val="0000EE"/>
                  <w:w w:val="94"/>
                </w:rPr>
                <w:t>First Amendment to Collaboration and License Agreement,</w:t>
              </w:r>
            </w:hyperlink>
          </w:p>
        </w:tc>
      </w:tr>
      <w:tr>
        <w:trPr>
          <w:trHeight w:val="196"/>
        </w:trPr>
        <w:tc>
          <w:tcPr>
            <w:tcW w:w="114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8"/>
              </w:rPr>
            </w:pPr>
            <w:hyperlink r:id="rId236">
              <w:r>
                <w:rPr>
                  <w:rFonts w:ascii="Arial" w:cs="Arial" w:eastAsia="Arial" w:hAnsi="Arial"/>
                  <w:sz w:val="18"/>
                  <w:szCs w:val="18"/>
                  <w:color w:val="0000EE"/>
                  <w:w w:val="88"/>
                </w:rPr>
                <w:t>dated January 6, 2021, by and between the Registrant and</w:t>
              </w:r>
            </w:hyperlink>
          </w:p>
        </w:tc>
        <w:tc>
          <w:tcPr>
            <w:tcW w:w="120" w:type="dxa"/>
            <w:vAlign w:val="bottom"/>
            <w:tcBorders>
              <w:top w:val="single" w:sz="8" w:color="0000EE"/>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60" w:type="dxa"/>
            <w:vAlign w:val="bottom"/>
            <w:gridSpan w:val="23"/>
          </w:tcPr>
          <w:p>
            <w:pPr>
              <w:spacing w:after="0" w:line="196" w:lineRule="exact"/>
              <w:rPr>
                <w:rFonts w:ascii="Arial" w:cs="Arial" w:eastAsia="Arial" w:hAnsi="Arial"/>
                <w:sz w:val="18"/>
                <w:szCs w:val="18"/>
                <w:color w:val="0000EE"/>
              </w:rPr>
            </w:pPr>
            <w:hyperlink r:id="rId236">
              <w:r>
                <w:rPr>
                  <w:rFonts w:ascii="Arial" w:cs="Arial" w:eastAsia="Arial" w:hAnsi="Arial"/>
                  <w:sz w:val="18"/>
                  <w:szCs w:val="18"/>
                  <w:color w:val="0000EE"/>
                </w:rPr>
                <w:t>Genzyme Corporation</w:t>
              </w:r>
            </w:hyperlink>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10.17</w:t>
            </w:r>
          </w:p>
        </w:tc>
        <w:tc>
          <w:tcPr>
            <w:tcW w:w="4460" w:type="dxa"/>
            <w:vAlign w:val="bottom"/>
            <w:tcBorders>
              <w:bottom w:val="single" w:sz="8" w:color="0000EE"/>
            </w:tcBorders>
            <w:gridSpan w:val="23"/>
          </w:tcPr>
          <w:p>
            <w:pPr>
              <w:spacing w:after="0"/>
              <w:rPr>
                <w:rFonts w:ascii="Arial" w:cs="Arial" w:eastAsia="Arial" w:hAnsi="Arial"/>
                <w:sz w:val="18"/>
                <w:szCs w:val="18"/>
                <w:color w:val="0000EE"/>
                <w:w w:val="91"/>
              </w:rPr>
            </w:pPr>
            <w:hyperlink r:id="rId237">
              <w:r>
                <w:rPr>
                  <w:rFonts w:ascii="Arial" w:cs="Arial" w:eastAsia="Arial" w:hAnsi="Arial"/>
                  <w:sz w:val="18"/>
                  <w:szCs w:val="18"/>
                  <w:color w:val="0000EE"/>
                  <w:w w:val="91"/>
                </w:rPr>
                <w:t>Equity Distribution Agreement, dated August 4, 2021, by and</w:t>
              </w:r>
            </w:hyperlink>
          </w:p>
        </w:tc>
      </w:tr>
      <w:tr>
        <w:trPr>
          <w:trHeight w:val="196"/>
        </w:trPr>
        <w:tc>
          <w:tcPr>
            <w:tcW w:w="1140" w:type="dxa"/>
            <w:vAlign w:val="bottom"/>
          </w:tcPr>
          <w:p>
            <w:pPr>
              <w:spacing w:after="0"/>
              <w:rPr>
                <w:sz w:val="17"/>
                <w:szCs w:val="17"/>
                <w:color w:val="auto"/>
              </w:rPr>
            </w:pPr>
          </w:p>
        </w:tc>
        <w:tc>
          <w:tcPr>
            <w:tcW w:w="4460" w:type="dxa"/>
            <w:vAlign w:val="bottom"/>
            <w:gridSpan w:val="23"/>
          </w:tcPr>
          <w:p>
            <w:pPr>
              <w:spacing w:after="0" w:line="196" w:lineRule="exact"/>
              <w:rPr>
                <w:rFonts w:ascii="Arial" w:cs="Arial" w:eastAsia="Arial" w:hAnsi="Arial"/>
                <w:sz w:val="18"/>
                <w:szCs w:val="18"/>
                <w:color w:val="0000EE"/>
              </w:rPr>
            </w:pPr>
            <w:hyperlink r:id="rId237">
              <w:r>
                <w:rPr>
                  <w:rFonts w:ascii="Arial" w:cs="Arial" w:eastAsia="Arial" w:hAnsi="Arial"/>
                  <w:sz w:val="18"/>
                  <w:szCs w:val="18"/>
                  <w:color w:val="0000EE"/>
                </w:rPr>
                <w:t>between the Registrant and Piper Sandler &amp; Co</w:t>
              </w:r>
              <w:r>
                <w:rPr>
                  <w:rFonts w:ascii="Arial" w:cs="Arial" w:eastAsia="Arial" w:hAnsi="Arial"/>
                  <w:sz w:val="18"/>
                  <w:szCs w:val="18"/>
                  <w:color w:val="000000"/>
                </w:rPr>
                <w:t>.</w:t>
              </w:r>
            </w:hyperlink>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21.1</w:t>
            </w:r>
          </w:p>
        </w:tc>
        <w:tc>
          <w:tcPr>
            <w:tcW w:w="3420" w:type="dxa"/>
            <w:vAlign w:val="bottom"/>
            <w:tcBorders>
              <w:top w:val="single" w:sz="8" w:color="0000EE"/>
            </w:tcBorders>
            <w:gridSpan w:val="8"/>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Subsidiaries of the Registrant</w:t>
              </w:r>
            </w:hyperlink>
          </w:p>
        </w:tc>
        <w:tc>
          <w:tcPr>
            <w:tcW w:w="1040" w:type="dxa"/>
            <w:vAlign w:val="bottom"/>
            <w:gridSpan w:val="15"/>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23.1</w:t>
            </w:r>
          </w:p>
        </w:tc>
        <w:tc>
          <w:tcPr>
            <w:tcW w:w="432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87">
              <w:r>
                <w:rPr>
                  <w:rFonts w:ascii="Arial" w:cs="Arial" w:eastAsia="Arial" w:hAnsi="Arial"/>
                  <w:sz w:val="18"/>
                  <w:szCs w:val="18"/>
                  <w:color w:val="0000EE"/>
                  <w:w w:val="90"/>
                </w:rPr>
                <w:t>Consent of Independent Registered Public Accounting Firm</w:t>
              </w:r>
            </w:hyperlink>
          </w:p>
        </w:tc>
        <w:tc>
          <w:tcPr>
            <w:tcW w:w="140" w:type="dxa"/>
            <w:vAlign w:val="bottom"/>
            <w:gridSpan w:val="3"/>
          </w:tcPr>
          <w:p>
            <w:pPr>
              <w:spacing w:after="0"/>
              <w:rPr>
                <w:sz w:val="24"/>
                <w:szCs w:val="24"/>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24.1</w:t>
            </w:r>
          </w:p>
        </w:tc>
        <w:tc>
          <w:tcPr>
            <w:tcW w:w="4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172">
              <w:r>
                <w:rPr>
                  <w:rFonts w:ascii="Arial" w:cs="Arial" w:eastAsia="Arial" w:hAnsi="Arial"/>
                  <w:sz w:val="18"/>
                  <w:szCs w:val="18"/>
                  <w:color w:val="0000EE"/>
                  <w:w w:val="89"/>
                </w:rPr>
                <w:t>Power of Attorney (reference is made to the signature page</w:t>
              </w:r>
            </w:hyperlink>
          </w:p>
        </w:tc>
        <w:tc>
          <w:tcPr>
            <w:tcW w:w="20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172">
              <w:r>
                <w:rPr>
                  <w:rFonts w:ascii="Arial" w:cs="Arial" w:eastAsia="Arial" w:hAnsi="Arial"/>
                  <w:sz w:val="18"/>
                  <w:szCs w:val="18"/>
                  <w:color w:val="0000EE"/>
                  <w:w w:val="87"/>
                </w:rPr>
                <w:t>hereto)</w:t>
              </w:r>
            </w:hyperlink>
          </w:p>
        </w:tc>
        <w:tc>
          <w:tcPr>
            <w:tcW w:w="3940" w:type="dxa"/>
            <w:vAlign w:val="bottom"/>
            <w:gridSpan w:val="22"/>
          </w:tcPr>
          <w:p>
            <w:pPr>
              <w:spacing w:after="0"/>
              <w:rPr>
                <w:sz w:val="17"/>
                <w:szCs w:val="17"/>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31.1</w:t>
            </w:r>
          </w:p>
        </w:tc>
        <w:tc>
          <w:tcPr>
            <w:tcW w:w="4460" w:type="dxa"/>
            <w:vAlign w:val="bottom"/>
            <w:tcBorders>
              <w:bottom w:val="single" w:sz="8" w:color="0000EE"/>
            </w:tcBorders>
            <w:gridSpan w:val="23"/>
          </w:tcPr>
          <w:p>
            <w:pPr>
              <w:spacing w:after="0"/>
              <w:rPr>
                <w:rFonts w:ascii="Arial" w:cs="Arial" w:eastAsia="Arial" w:hAnsi="Arial"/>
                <w:sz w:val="18"/>
                <w:szCs w:val="18"/>
                <w:color w:val="0000EE"/>
                <w:w w:val="92"/>
              </w:rPr>
            </w:pPr>
            <w:hyperlink w:anchor="page188">
              <w:r>
                <w:rPr>
                  <w:rFonts w:ascii="Arial" w:cs="Arial" w:eastAsia="Arial" w:hAnsi="Arial"/>
                  <w:sz w:val="18"/>
                  <w:szCs w:val="18"/>
                  <w:color w:val="0000EE"/>
                  <w:w w:val="92"/>
                </w:rPr>
                <w:t>Certification of Principal Executive Officer Pursuant to Rules</w:t>
              </w:r>
            </w:hyperlink>
          </w:p>
        </w:tc>
      </w:tr>
      <w:tr>
        <w:trPr>
          <w:trHeight w:val="196"/>
        </w:trPr>
        <w:tc>
          <w:tcPr>
            <w:tcW w:w="1140" w:type="dxa"/>
            <w:vAlign w:val="bottom"/>
          </w:tcPr>
          <w:p>
            <w:pPr>
              <w:spacing w:after="0"/>
              <w:rPr>
                <w:sz w:val="17"/>
                <w:szCs w:val="17"/>
                <w:color w:val="auto"/>
              </w:rPr>
            </w:pPr>
          </w:p>
        </w:tc>
        <w:tc>
          <w:tcPr>
            <w:tcW w:w="43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188">
              <w:r>
                <w:rPr>
                  <w:rFonts w:ascii="Arial" w:cs="Arial" w:eastAsia="Arial" w:hAnsi="Arial"/>
                  <w:sz w:val="18"/>
                  <w:szCs w:val="18"/>
                  <w:color w:val="0000EE"/>
                  <w:w w:val="89"/>
                </w:rPr>
                <w:t>13a-14(a) and 15d-14(a) under the Securities Exchange Act</w:t>
              </w:r>
            </w:hyperlink>
          </w:p>
        </w:tc>
        <w:tc>
          <w:tcPr>
            <w:tcW w:w="16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188">
              <w:r>
                <w:rPr>
                  <w:rFonts w:ascii="Arial" w:cs="Arial" w:eastAsia="Arial" w:hAnsi="Arial"/>
                  <w:sz w:val="18"/>
                  <w:szCs w:val="18"/>
                  <w:color w:val="0000EE"/>
                  <w:w w:val="89"/>
                </w:rPr>
                <w:t>of 1934, as Adopted Pursuant to Section 302 of the Sarbanes-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60" w:type="dxa"/>
            <w:vAlign w:val="bottom"/>
            <w:gridSpan w:val="23"/>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Oxley Act of 2002</w:t>
              </w:r>
            </w:hyperlink>
          </w:p>
        </w:tc>
      </w:tr>
      <w:tr>
        <w:trPr>
          <w:trHeight w:val="20"/>
        </w:trPr>
        <w:tc>
          <w:tcPr>
            <w:tcW w:w="114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31.2</w:t>
            </w:r>
          </w:p>
        </w:tc>
        <w:tc>
          <w:tcPr>
            <w:tcW w:w="4460" w:type="dxa"/>
            <w:vAlign w:val="bottom"/>
            <w:gridSpan w:val="23"/>
          </w:tcPr>
          <w:p>
            <w:pPr>
              <w:spacing w:after="0"/>
              <w:rPr>
                <w:rFonts w:ascii="Arial" w:cs="Arial" w:eastAsia="Arial" w:hAnsi="Arial"/>
                <w:sz w:val="18"/>
                <w:szCs w:val="18"/>
                <w:color w:val="0000EE"/>
                <w:w w:val="97"/>
              </w:rPr>
            </w:pPr>
            <w:hyperlink w:anchor="page189">
              <w:r>
                <w:rPr>
                  <w:rFonts w:ascii="Arial" w:cs="Arial" w:eastAsia="Arial" w:hAnsi="Arial"/>
                  <w:sz w:val="18"/>
                  <w:szCs w:val="18"/>
                  <w:color w:val="0000EE"/>
                  <w:w w:val="97"/>
                </w:rPr>
                <w:t>Certification of Principal Financial and Accounting Officer</w:t>
              </w:r>
            </w:hyperlink>
          </w:p>
        </w:tc>
      </w:tr>
      <w:tr>
        <w:trPr>
          <w:trHeight w:val="196"/>
        </w:trPr>
        <w:tc>
          <w:tcPr>
            <w:tcW w:w="114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189">
              <w:r>
                <w:rPr>
                  <w:rFonts w:ascii="Arial" w:cs="Arial" w:eastAsia="Arial" w:hAnsi="Arial"/>
                  <w:sz w:val="18"/>
                  <w:szCs w:val="18"/>
                  <w:color w:val="0000EE"/>
                  <w:w w:val="88"/>
                </w:rPr>
                <w:t>Pursuant to Rules 13a-14(a) and 15d-14(a) under the</w:t>
              </w:r>
            </w:hyperlink>
          </w:p>
        </w:tc>
        <w:tc>
          <w:tcPr>
            <w:tcW w:w="460" w:type="dxa"/>
            <w:vAlign w:val="bottom"/>
            <w:tcBorders>
              <w:top w:val="single" w:sz="8" w:color="0000EE"/>
            </w:tcBorders>
            <w:gridSpan w:val="7"/>
          </w:tcPr>
          <w:p>
            <w:pPr>
              <w:spacing w:after="0"/>
              <w:rPr>
                <w:sz w:val="17"/>
                <w:szCs w:val="17"/>
                <w:color w:val="auto"/>
              </w:rPr>
            </w:pPr>
          </w:p>
        </w:tc>
        <w:tc>
          <w:tcPr>
            <w:tcW w:w="200" w:type="dxa"/>
            <w:vAlign w:val="bottom"/>
            <w:gridSpan w:val="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89">
              <w:r>
                <w:rPr>
                  <w:rFonts w:ascii="Arial" w:cs="Arial" w:eastAsia="Arial" w:hAnsi="Arial"/>
                  <w:sz w:val="18"/>
                  <w:szCs w:val="18"/>
                  <w:color w:val="0000EE"/>
                  <w:w w:val="89"/>
                </w:rPr>
                <w:t>Securities Exchange Act of 1934, as Adopted Pursuant to</w:t>
              </w:r>
            </w:hyperlink>
          </w:p>
        </w:tc>
        <w:tc>
          <w:tcPr>
            <w:tcW w:w="32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89">
              <w:r>
                <w:rPr>
                  <w:rFonts w:ascii="Arial" w:cs="Arial" w:eastAsia="Arial" w:hAnsi="Arial"/>
                  <w:sz w:val="18"/>
                  <w:szCs w:val="18"/>
                  <w:color w:val="0000EE"/>
                  <w:w w:val="90"/>
                </w:rPr>
                <w:t>Section 302 of the Sarbanes-Oxley Act of 2002</w:t>
              </w:r>
            </w:hyperlink>
          </w:p>
        </w:tc>
        <w:tc>
          <w:tcPr>
            <w:tcW w:w="1040" w:type="dxa"/>
            <w:vAlign w:val="bottom"/>
            <w:gridSpan w:val="15"/>
          </w:tcPr>
          <w:p>
            <w:pPr>
              <w:spacing w:after="0"/>
              <w:rPr>
                <w:sz w:val="17"/>
                <w:szCs w:val="17"/>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32.1‡</w:t>
            </w:r>
          </w:p>
        </w:tc>
        <w:tc>
          <w:tcPr>
            <w:tcW w:w="4460" w:type="dxa"/>
            <w:vAlign w:val="bottom"/>
            <w:gridSpan w:val="23"/>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Certification of Principal Executive Officer and Principal</w:t>
              </w:r>
            </w:hyperlink>
          </w:p>
        </w:tc>
      </w:tr>
      <w:tr>
        <w:trPr>
          <w:trHeight w:val="196"/>
        </w:trPr>
        <w:tc>
          <w:tcPr>
            <w:tcW w:w="11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190">
              <w:r>
                <w:rPr>
                  <w:rFonts w:ascii="Arial" w:cs="Arial" w:eastAsia="Arial" w:hAnsi="Arial"/>
                  <w:sz w:val="18"/>
                  <w:szCs w:val="18"/>
                  <w:color w:val="0000EE"/>
                  <w:w w:val="91"/>
                </w:rPr>
                <w:t>Financial and Accounting Officer Pursuant to 18 U.S.C.</w:t>
              </w:r>
            </w:hyperlink>
          </w:p>
        </w:tc>
        <w:tc>
          <w:tcPr>
            <w:tcW w:w="80" w:type="dxa"/>
            <w:vAlign w:val="bottom"/>
            <w:tcBorders>
              <w:top w:val="single" w:sz="8" w:color="0000EE"/>
            </w:tcBorders>
            <w:gridSpan w:val="2"/>
          </w:tcPr>
          <w:p>
            <w:pPr>
              <w:spacing w:after="0"/>
              <w:rPr>
                <w:sz w:val="17"/>
                <w:szCs w:val="17"/>
                <w:color w:val="auto"/>
              </w:rPr>
            </w:pPr>
          </w:p>
        </w:tc>
        <w:tc>
          <w:tcPr>
            <w:tcW w:w="34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460" w:type="dxa"/>
            <w:vAlign w:val="bottom"/>
            <w:gridSpan w:val="23"/>
          </w:tcPr>
          <w:p>
            <w:pPr>
              <w:spacing w:after="0" w:line="196" w:lineRule="exact"/>
              <w:rPr>
                <w:rFonts w:ascii="Arial" w:cs="Arial" w:eastAsia="Arial" w:hAnsi="Arial"/>
                <w:sz w:val="18"/>
                <w:szCs w:val="18"/>
                <w:color w:val="0000EE"/>
                <w:w w:val="97"/>
              </w:rPr>
            </w:pPr>
            <w:hyperlink w:anchor="page190">
              <w:r>
                <w:rPr>
                  <w:rFonts w:ascii="Arial" w:cs="Arial" w:eastAsia="Arial" w:hAnsi="Arial"/>
                  <w:sz w:val="18"/>
                  <w:szCs w:val="18"/>
                  <w:color w:val="0000EE"/>
                  <w:w w:val="97"/>
                </w:rPr>
                <w:t>Section 1350, as Adopted Pursuant to Section 906 of the</w:t>
              </w:r>
            </w:hyperlink>
          </w:p>
        </w:tc>
      </w:tr>
      <w:tr>
        <w:trPr>
          <w:trHeight w:val="196"/>
        </w:trPr>
        <w:tc>
          <w:tcPr>
            <w:tcW w:w="11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190">
              <w:r>
                <w:rPr>
                  <w:rFonts w:ascii="Arial" w:cs="Arial" w:eastAsia="Arial" w:hAnsi="Arial"/>
                  <w:sz w:val="18"/>
                  <w:szCs w:val="18"/>
                  <w:color w:val="0000EE"/>
                  <w:w w:val="92"/>
                </w:rPr>
                <w:t>Sarbanes-Oxley Act of 2002</w:t>
              </w:r>
            </w:hyperlink>
          </w:p>
        </w:tc>
        <w:tc>
          <w:tcPr>
            <w:tcW w:w="1940" w:type="dxa"/>
            <w:vAlign w:val="bottom"/>
            <w:tcBorders>
              <w:top w:val="single" w:sz="8" w:color="0000EE"/>
            </w:tcBorders>
            <w:gridSpan w:val="6"/>
          </w:tcPr>
          <w:p>
            <w:pPr>
              <w:spacing w:after="0"/>
              <w:rPr>
                <w:sz w:val="17"/>
                <w:szCs w:val="17"/>
                <w:color w:val="auto"/>
              </w:rPr>
            </w:pPr>
          </w:p>
        </w:tc>
        <w:tc>
          <w:tcPr>
            <w:tcW w:w="400" w:type="dxa"/>
            <w:vAlign w:val="bottom"/>
            <w:gridSpan w:val="11"/>
          </w:tcPr>
          <w:p>
            <w:pPr>
              <w:spacing w:after="0"/>
              <w:rPr>
                <w:sz w:val="17"/>
                <w:szCs w:val="17"/>
                <w:color w:val="auto"/>
              </w:rPr>
            </w:pPr>
          </w:p>
        </w:tc>
      </w:tr>
      <w:tr>
        <w:trPr>
          <w:trHeight w:val="33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4460" w:type="dxa"/>
            <w:vAlign w:val="bottom"/>
            <w:gridSpan w:val="23"/>
          </w:tcPr>
          <w:p>
            <w:pPr>
              <w:spacing w:after="0"/>
              <w:rPr>
                <w:sz w:val="20"/>
                <w:szCs w:val="20"/>
                <w:color w:val="auto"/>
              </w:rPr>
            </w:pPr>
            <w:r>
              <w:rPr>
                <w:rFonts w:ascii="Arial" w:cs="Arial" w:eastAsia="Arial" w:hAnsi="Arial"/>
                <w:sz w:val="18"/>
                <w:szCs w:val="18"/>
                <w:color w:val="auto"/>
                <w:w w:val="97"/>
              </w:rPr>
              <w:t>Inline XBRL Instance Document - the Instance Document</w:t>
            </w:r>
          </w:p>
        </w:tc>
      </w:tr>
      <w:tr>
        <w:trPr>
          <w:trHeight w:val="216"/>
        </w:trPr>
        <w:tc>
          <w:tcPr>
            <w:tcW w:w="1140" w:type="dxa"/>
            <w:vAlign w:val="bottom"/>
          </w:tcPr>
          <w:p>
            <w:pPr>
              <w:spacing w:after="0"/>
              <w:rPr>
                <w:sz w:val="18"/>
                <w:szCs w:val="18"/>
                <w:color w:val="auto"/>
              </w:rPr>
            </w:pPr>
          </w:p>
        </w:tc>
        <w:tc>
          <w:tcPr>
            <w:tcW w:w="4460" w:type="dxa"/>
            <w:vAlign w:val="bottom"/>
            <w:gridSpan w:val="23"/>
          </w:tcPr>
          <w:p>
            <w:pPr>
              <w:spacing w:after="0"/>
              <w:rPr>
                <w:sz w:val="20"/>
                <w:szCs w:val="20"/>
                <w:color w:val="auto"/>
              </w:rPr>
            </w:pPr>
            <w:r>
              <w:rPr>
                <w:rFonts w:ascii="Arial" w:cs="Arial" w:eastAsia="Arial" w:hAnsi="Arial"/>
                <w:sz w:val="18"/>
                <w:szCs w:val="18"/>
                <w:color w:val="auto"/>
                <w:w w:val="90"/>
              </w:rPr>
              <w:t>does not appear in the Interactive Data File because its XBRL</w:t>
            </w:r>
          </w:p>
        </w:tc>
      </w:tr>
      <w:tr>
        <w:trPr>
          <w:trHeight w:val="230"/>
        </w:trPr>
        <w:tc>
          <w:tcPr>
            <w:tcW w:w="1140" w:type="dxa"/>
            <w:vAlign w:val="bottom"/>
          </w:tcPr>
          <w:p>
            <w:pPr>
              <w:spacing w:after="0"/>
              <w:rPr>
                <w:sz w:val="20"/>
                <w:szCs w:val="20"/>
                <w:color w:val="auto"/>
              </w:rPr>
            </w:pPr>
          </w:p>
        </w:tc>
        <w:tc>
          <w:tcPr>
            <w:tcW w:w="4460" w:type="dxa"/>
            <w:vAlign w:val="bottom"/>
            <w:gridSpan w:val="23"/>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324"/>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44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446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30"/>
        </w:trPr>
        <w:tc>
          <w:tcPr>
            <w:tcW w:w="1140" w:type="dxa"/>
            <w:vAlign w:val="bottom"/>
          </w:tcPr>
          <w:p>
            <w:pPr>
              <w:spacing w:after="0"/>
              <w:rPr>
                <w:sz w:val="20"/>
                <w:szCs w:val="20"/>
                <w:color w:val="auto"/>
              </w:rPr>
            </w:pPr>
          </w:p>
        </w:tc>
        <w:tc>
          <w:tcPr>
            <w:tcW w:w="4460" w:type="dxa"/>
            <w:vAlign w:val="bottom"/>
            <w:gridSpan w:val="23"/>
          </w:tcPr>
          <w:p>
            <w:pPr>
              <w:spacing w:after="0"/>
              <w:rPr>
                <w:sz w:val="20"/>
                <w:szCs w:val="20"/>
                <w:color w:val="auto"/>
              </w:rPr>
            </w:pPr>
            <w:r>
              <w:rPr>
                <w:rFonts w:ascii="Arial" w:cs="Arial" w:eastAsia="Arial" w:hAnsi="Arial"/>
                <w:sz w:val="18"/>
                <w:szCs w:val="18"/>
                <w:color w:val="auto"/>
              </w:rPr>
              <w:t>Document</w:t>
            </w:r>
          </w:p>
        </w:tc>
      </w:tr>
    </w:tbl>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420" w:type="dxa"/>
            <w:vAlign w:val="bottom"/>
          </w:tcPr>
          <w:p>
            <w:pPr>
              <w:jc w:val="center"/>
              <w:ind w:left="70"/>
              <w:spacing w:after="0"/>
              <w:rPr>
                <w:sz w:val="20"/>
                <w:szCs w:val="20"/>
                <w:color w:val="auto"/>
              </w:rPr>
            </w:pPr>
            <w:r>
              <w:rPr>
                <w:rFonts w:ascii="Arial" w:cs="Arial" w:eastAsia="Arial" w:hAnsi="Arial"/>
                <w:sz w:val="18"/>
                <w:szCs w:val="18"/>
                <w:color w:val="auto"/>
                <w:w w:val="90"/>
              </w:rPr>
              <w:t>October 14, 2021</w:t>
            </w:r>
          </w:p>
        </w:tc>
      </w:tr>
      <w:tr>
        <w:trPr>
          <w:trHeight w:val="54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91"/>
              </w:rPr>
              <w:t>10.9</w:t>
            </w:r>
          </w:p>
        </w:tc>
        <w:tc>
          <w:tcPr>
            <w:tcW w:w="1420" w:type="dxa"/>
            <w:vAlign w:val="bottom"/>
          </w:tcPr>
          <w:p>
            <w:pPr>
              <w:jc w:val="center"/>
              <w:ind w:left="90"/>
              <w:spacing w:after="0"/>
              <w:rPr>
                <w:sz w:val="20"/>
                <w:szCs w:val="20"/>
                <w:color w:val="auto"/>
              </w:rPr>
            </w:pPr>
            <w:r>
              <w:rPr>
                <w:rFonts w:ascii="Arial" w:cs="Arial" w:eastAsia="Arial" w:hAnsi="Arial"/>
                <w:sz w:val="18"/>
                <w:szCs w:val="18"/>
                <w:color w:val="auto"/>
                <w:w w:val="90"/>
              </w:rPr>
              <w:t>July 2, 2020</w:t>
            </w:r>
          </w:p>
        </w:tc>
      </w:tr>
      <w:tr>
        <w:trPr>
          <w:trHeight w:val="756"/>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333-239651</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88"/>
              </w:rPr>
              <w:t>10.10</w:t>
            </w:r>
          </w:p>
        </w:tc>
        <w:tc>
          <w:tcPr>
            <w:tcW w:w="1420" w:type="dxa"/>
            <w:vAlign w:val="bottom"/>
          </w:tcPr>
          <w:p>
            <w:pPr>
              <w:jc w:val="center"/>
              <w:ind w:left="90"/>
              <w:spacing w:after="0"/>
              <w:rPr>
                <w:sz w:val="20"/>
                <w:szCs w:val="20"/>
                <w:color w:val="auto"/>
              </w:rPr>
            </w:pPr>
            <w:r>
              <w:rPr>
                <w:rFonts w:ascii="Arial" w:cs="Arial" w:eastAsia="Arial" w:hAnsi="Arial"/>
                <w:sz w:val="18"/>
                <w:szCs w:val="18"/>
                <w:color w:val="auto"/>
                <w:w w:val="90"/>
              </w:rPr>
              <w:t>July 2, 2020</w:t>
            </w:r>
          </w:p>
        </w:tc>
      </w:tr>
      <w:tr>
        <w:trPr>
          <w:trHeight w:val="742"/>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9"/>
              </w:rPr>
              <w:t>10-K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001-39398</w:t>
            </w:r>
          </w:p>
        </w:tc>
        <w:tc>
          <w:tcPr>
            <w:tcW w:w="820" w:type="dxa"/>
            <w:vAlign w:val="bottom"/>
          </w:tcPr>
          <w:p>
            <w:pPr>
              <w:jc w:val="center"/>
              <w:ind w:left="10"/>
              <w:spacing w:after="0"/>
              <w:rPr>
                <w:sz w:val="20"/>
                <w:szCs w:val="20"/>
                <w:color w:val="auto"/>
              </w:rPr>
            </w:pPr>
            <w:r>
              <w:rPr>
                <w:rFonts w:ascii="Arial" w:cs="Arial" w:eastAsia="Arial" w:hAnsi="Arial"/>
                <w:sz w:val="18"/>
                <w:szCs w:val="18"/>
                <w:color w:val="auto"/>
                <w:w w:val="88"/>
              </w:rPr>
              <w:t>10.11</w:t>
            </w:r>
          </w:p>
        </w:tc>
        <w:tc>
          <w:tcPr>
            <w:tcW w:w="1420" w:type="dxa"/>
            <w:vAlign w:val="bottom"/>
          </w:tcPr>
          <w:p>
            <w:pPr>
              <w:jc w:val="center"/>
              <w:ind w:left="90"/>
              <w:spacing w:after="0"/>
              <w:rPr>
                <w:sz w:val="20"/>
                <w:szCs w:val="20"/>
                <w:color w:val="auto"/>
              </w:rPr>
            </w:pPr>
            <w:r>
              <w:rPr>
                <w:rFonts w:ascii="Arial" w:cs="Arial" w:eastAsia="Arial" w:hAnsi="Arial"/>
                <w:sz w:val="18"/>
                <w:szCs w:val="18"/>
                <w:color w:val="auto"/>
                <w:w w:val="90"/>
              </w:rPr>
              <w:t>February 16,</w:t>
            </w:r>
          </w:p>
        </w:tc>
      </w:tr>
      <w:tr>
        <w:trPr>
          <w:trHeight w:val="230"/>
        </w:trPr>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jc w:val="center"/>
              <w:ind w:left="90"/>
              <w:spacing w:after="0"/>
              <w:rPr>
                <w:sz w:val="20"/>
                <w:szCs w:val="20"/>
                <w:color w:val="auto"/>
              </w:rPr>
            </w:pPr>
            <w:r>
              <w:rPr>
                <w:rFonts w:ascii="Arial" w:cs="Arial" w:eastAsia="Arial" w:hAnsi="Arial"/>
                <w:sz w:val="18"/>
                <w:szCs w:val="18"/>
                <w:color w:val="auto"/>
                <w:w w:val="89"/>
              </w:rPr>
              <w:t>2021</w:t>
            </w:r>
          </w:p>
        </w:tc>
      </w:tr>
      <w:tr>
        <w:trPr>
          <w:trHeight w:val="540"/>
        </w:trPr>
        <w:tc>
          <w:tcPr>
            <w:tcW w:w="640" w:type="dxa"/>
            <w:vAlign w:val="bottom"/>
          </w:tcPr>
          <w:p>
            <w:pPr>
              <w:jc w:val="center"/>
              <w:ind w:right="170"/>
              <w:spacing w:after="0"/>
              <w:rPr>
                <w:sz w:val="20"/>
                <w:szCs w:val="20"/>
                <w:color w:val="auto"/>
              </w:rPr>
            </w:pPr>
            <w:r>
              <w:rPr>
                <w:rFonts w:ascii="Arial" w:cs="Arial" w:eastAsia="Arial" w:hAnsi="Arial"/>
                <w:sz w:val="18"/>
                <w:szCs w:val="18"/>
                <w:color w:val="auto"/>
                <w:w w:val="92"/>
              </w:rPr>
              <w:t>S-3</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333-258448</w:t>
            </w:r>
          </w:p>
        </w:tc>
        <w:tc>
          <w:tcPr>
            <w:tcW w:w="820" w:type="dxa"/>
            <w:vAlign w:val="bottom"/>
          </w:tcPr>
          <w:p>
            <w:pPr>
              <w:jc w:val="center"/>
              <w:ind w:left="30"/>
              <w:spacing w:after="0"/>
              <w:rPr>
                <w:sz w:val="20"/>
                <w:szCs w:val="20"/>
                <w:color w:val="auto"/>
              </w:rPr>
            </w:pPr>
            <w:r>
              <w:rPr>
                <w:rFonts w:ascii="Arial" w:cs="Arial" w:eastAsia="Arial" w:hAnsi="Arial"/>
                <w:sz w:val="18"/>
                <w:szCs w:val="18"/>
                <w:color w:val="auto"/>
                <w:w w:val="87"/>
              </w:rPr>
              <w:t>1.2</w:t>
            </w:r>
          </w:p>
        </w:tc>
        <w:tc>
          <w:tcPr>
            <w:tcW w:w="1420" w:type="dxa"/>
            <w:vAlign w:val="bottom"/>
          </w:tcPr>
          <w:p>
            <w:pPr>
              <w:jc w:val="center"/>
              <w:ind w:left="70"/>
              <w:spacing w:after="0"/>
              <w:rPr>
                <w:sz w:val="20"/>
                <w:szCs w:val="20"/>
                <w:color w:val="auto"/>
              </w:rPr>
            </w:pPr>
            <w:r>
              <w:rPr>
                <w:rFonts w:ascii="Arial" w:cs="Arial" w:eastAsia="Arial" w:hAnsi="Arial"/>
                <w:sz w:val="18"/>
                <w:szCs w:val="18"/>
                <w:color w:val="auto"/>
                <w:w w:val="90"/>
              </w:rPr>
              <w:t>August 4, 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3">
            <w:col w:w="5760" w:space="180"/>
            <w:col w:w="4260" w:space="540"/>
            <w:col w:w="120"/>
          </w:cols>
          <w:pgMar w:left="320" w:top="338" w:right="7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28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680" w:type="dxa"/>
            <w:vAlign w:val="bottom"/>
          </w:tcPr>
          <w:p>
            <w:pPr>
              <w:spacing w:after="0"/>
              <w:rPr>
                <w:sz w:val="20"/>
                <w:szCs w:val="20"/>
                <w:color w:val="auto"/>
              </w:rPr>
            </w:pP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28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2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Document</w:t>
            </w:r>
          </w:p>
        </w:tc>
        <w:tc>
          <w:tcPr>
            <w:tcW w:w="2680" w:type="dxa"/>
            <w:vAlign w:val="bottom"/>
          </w:tcPr>
          <w:p>
            <w:pPr>
              <w:spacing w:after="0"/>
              <w:rPr>
                <w:sz w:val="20"/>
                <w:szCs w:val="20"/>
                <w:color w:val="auto"/>
              </w:rPr>
            </w:pPr>
          </w:p>
        </w:tc>
      </w:tr>
      <w:tr>
        <w:trPr>
          <w:trHeight w:val="310"/>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7280" w:type="dxa"/>
            <w:vAlign w:val="bottom"/>
          </w:tcPr>
          <w:p>
            <w:pPr>
              <w:ind w:left="240"/>
              <w:spacing w:after="0"/>
              <w:rPr>
                <w:sz w:val="20"/>
                <w:szCs w:val="20"/>
                <w:color w:val="auto"/>
              </w:rPr>
            </w:pPr>
            <w:r>
              <w:rPr>
                <w:rFonts w:ascii="Arial" w:cs="Arial" w:eastAsia="Arial" w:hAnsi="Arial"/>
                <w:sz w:val="18"/>
                <w:szCs w:val="18"/>
                <w:color w:val="auto"/>
              </w:rPr>
              <w:t>Cover Page Interactive Data File (formatted as Inline XBRL</w:t>
            </w:r>
          </w:p>
        </w:tc>
        <w:tc>
          <w:tcPr>
            <w:tcW w:w="2680" w:type="dxa"/>
            <w:vAlign w:val="bottom"/>
          </w:tcPr>
          <w:p>
            <w:pPr>
              <w:ind w:left="2540"/>
              <w:spacing w:after="0"/>
              <w:rPr>
                <w:sz w:val="20"/>
                <w:szCs w:val="20"/>
                <w:color w:val="auto"/>
              </w:rPr>
            </w:pPr>
            <w:r>
              <w:rPr>
                <w:rFonts w:ascii="Arial" w:cs="Arial" w:eastAsia="Arial" w:hAnsi="Arial"/>
                <w:sz w:val="18"/>
                <w:szCs w:val="18"/>
                <w:color w:val="auto"/>
                <w:w w:val="99"/>
              </w:rPr>
              <w:t>X</w:t>
            </w:r>
          </w:p>
        </w:tc>
      </w:tr>
      <w:tr>
        <w:trPr>
          <w:trHeight w:val="230"/>
        </w:trPr>
        <w:tc>
          <w:tcPr>
            <w:tcW w:w="92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Arial" w:cs="Arial" w:eastAsia="Arial" w:hAnsi="Arial"/>
                <w:sz w:val="18"/>
                <w:szCs w:val="18"/>
                <w:color w:val="auto"/>
              </w:rPr>
              <w:t>and included in exhibit 101)</w:t>
            </w:r>
          </w:p>
        </w:tc>
        <w:tc>
          <w:tcPr>
            <w:tcW w:w="2680" w:type="dxa"/>
            <w:vAlign w:val="bottom"/>
          </w:tcPr>
          <w:p>
            <w:pPr>
              <w:spacing w:after="0"/>
              <w:rPr>
                <w:sz w:val="20"/>
                <w:szCs w:val="20"/>
                <w:color w:val="auto"/>
              </w:rPr>
            </w:pPr>
          </w:p>
        </w:tc>
      </w:tr>
    </w:tbl>
    <w:p>
      <w:pPr>
        <w:spacing w:after="0" w:line="80" w:lineRule="exact"/>
        <w:rPr>
          <w:sz w:val="20"/>
          <w:szCs w:val="20"/>
          <w:color w:val="auto"/>
        </w:rPr>
      </w:pPr>
    </w:p>
    <w:p>
      <w:pPr>
        <w:ind w:left="1160" w:hanging="1062"/>
        <w:spacing w:after="0"/>
        <w:tabs>
          <w:tab w:leader="none" w:pos="116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Indicates a management or compensatory plan or arrangement in which directors or executive officers are eligible to participate.</w:t>
      </w:r>
    </w:p>
    <w:p>
      <w:pPr>
        <w:spacing w:after="0" w:line="129" w:lineRule="exact"/>
        <w:rPr>
          <w:sz w:val="20"/>
          <w:szCs w:val="20"/>
          <w:color w:val="auto"/>
        </w:rPr>
      </w:pPr>
    </w:p>
    <w:p>
      <w:pPr>
        <w:ind w:left="1160" w:hanging="1062"/>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Registrant has omitted portions of the exhibit as permitted under Item 601(b)(10) of Regulation S-K.</w:t>
      </w:r>
    </w:p>
    <w:p>
      <w:pPr>
        <w:spacing w:after="0" w:line="117" w:lineRule="exact"/>
        <w:rPr>
          <w:sz w:val="20"/>
          <w:szCs w:val="20"/>
          <w:color w:val="auto"/>
        </w:rPr>
      </w:pPr>
    </w:p>
    <w:p>
      <w:pPr>
        <w:jc w:val="both"/>
        <w:ind w:left="1160" w:right="180" w:hanging="1062"/>
        <w:spacing w:after="0" w:line="263" w:lineRule="auto"/>
        <w:tabs>
          <w:tab w:leader="none" w:pos="116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The certifications furnished in Exhibits 32.1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341" w:right="6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8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NURIX THERAPEUTICS, INC.</w:t>
      </w:r>
    </w:p>
    <w:p>
      <w:pPr>
        <w:spacing w:after="0" w:line="121" w:lineRule="exact"/>
        <w:rPr>
          <w:sz w:val="20"/>
          <w:szCs w:val="20"/>
          <w:color w:val="auto"/>
        </w:rPr>
      </w:pPr>
    </w:p>
    <w:p>
      <w:pPr>
        <w:spacing w:after="0"/>
        <w:tabs>
          <w:tab w:leader="none" w:pos="5500" w:val="left"/>
          <w:tab w:leader="none" w:pos="7820" w:val="left"/>
        </w:tabs>
        <w:rPr>
          <w:sz w:val="20"/>
          <w:szCs w:val="20"/>
          <w:color w:val="auto"/>
        </w:rPr>
      </w:pPr>
      <w:r>
        <w:rPr>
          <w:rFonts w:ascii="Arial" w:cs="Arial" w:eastAsia="Arial" w:hAnsi="Arial"/>
          <w:sz w:val="18"/>
          <w:szCs w:val="18"/>
          <w:color w:val="auto"/>
        </w:rPr>
        <w:t>Date: January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w:t>
      </w:r>
      <w:r>
        <w:rPr>
          <w:rFonts w:ascii="Arial" w:cs="Arial" w:eastAsia="Arial" w:hAnsi="Arial"/>
          <w:sz w:val="11"/>
          <w:szCs w:val="11"/>
          <w:color w:val="auto"/>
        </w:rPr>
        <w:t>RTHUR</w:t>
      </w:r>
      <w:r>
        <w:rPr>
          <w:rFonts w:ascii="Arial" w:cs="Arial" w:eastAsia="Arial" w:hAnsi="Arial"/>
          <w:sz w:val="17"/>
          <w:szCs w:val="17"/>
          <w:color w:val="auto"/>
        </w:rPr>
        <w:t xml:space="preserve"> T. S</w:t>
      </w:r>
      <w:r>
        <w:rPr>
          <w:rFonts w:ascii="Arial" w:cs="Arial" w:eastAsia="Arial" w:hAnsi="Arial"/>
          <w:sz w:val="11"/>
          <w:szCs w:val="11"/>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Arthur T. Sands, M.D., Ph.D.</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i w:val="1"/>
          <w:iCs w:val="1"/>
          <w:color w:val="auto"/>
        </w:rPr>
        <w:t>President, Chief Executive Officer and Director</w:t>
      </w:r>
    </w:p>
    <w:p>
      <w:pPr>
        <w:spacing w:after="0" w:line="328"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Arthur T. Sands and Hans van Houte,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spacing w:after="0" w:line="69"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1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A</w:t>
            </w:r>
            <w:r>
              <w:rPr>
                <w:rFonts w:ascii="Arial" w:cs="Arial" w:eastAsia="Arial" w:hAnsi="Arial"/>
                <w:sz w:val="9"/>
                <w:szCs w:val="9"/>
                <w:color w:val="auto"/>
                <w:w w:val="98"/>
              </w:rPr>
              <w:t>RTHUR</w:t>
            </w:r>
            <w:r>
              <w:rPr>
                <w:rFonts w:ascii="Arial" w:cs="Arial" w:eastAsia="Arial" w:hAnsi="Arial"/>
                <w:sz w:val="14"/>
                <w:szCs w:val="14"/>
                <w:color w:val="auto"/>
                <w:w w:val="98"/>
              </w:rPr>
              <w:t xml:space="preserve"> T. S</w:t>
            </w:r>
            <w:r>
              <w:rPr>
                <w:rFonts w:ascii="Arial" w:cs="Arial" w:eastAsia="Arial" w:hAnsi="Arial"/>
                <w:sz w:val="9"/>
                <w:szCs w:val="9"/>
                <w:color w:val="auto"/>
                <w:w w:val="98"/>
              </w:rPr>
              <w:t>ANDS</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President, Chief Executive Officer and 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6"/>
              </w:rPr>
              <w:t>Arthur T. Sands, M.D., Ph.D.</w:t>
            </w:r>
          </w:p>
        </w:tc>
        <w:tc>
          <w:tcPr>
            <w:tcW w:w="120" w:type="dxa"/>
            <w:vAlign w:val="bottom"/>
          </w:tcPr>
          <w:p>
            <w:pPr>
              <w:spacing w:after="0"/>
              <w:rPr>
                <w:sz w:val="15"/>
                <w:szCs w:val="15"/>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i w:val="1"/>
                <w:iCs w:val="1"/>
                <w:color w:val="auto"/>
                <w:w w:val="97"/>
              </w:rPr>
              <w:t>Principal Executive Officer</w:t>
            </w:r>
            <w:r>
              <w:rPr>
                <w:rFonts w:ascii="Arial" w:cs="Arial" w:eastAsia="Arial" w:hAnsi="Arial"/>
                <w:sz w:val="14"/>
                <w:szCs w:val="14"/>
                <w:color w:val="auto"/>
                <w:w w:val="97"/>
              </w:rPr>
              <w:t>)</w:t>
            </w: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w:t>
            </w:r>
            <w:r>
              <w:rPr>
                <w:rFonts w:ascii="Arial" w:cs="Arial" w:eastAsia="Arial" w:hAnsi="Arial"/>
                <w:sz w:val="9"/>
                <w:szCs w:val="9"/>
                <w:color w:val="auto"/>
              </w:rPr>
              <w:t>ANS VAN</w:t>
            </w:r>
            <w:r>
              <w:rPr>
                <w:rFonts w:ascii="Arial" w:cs="Arial" w:eastAsia="Arial" w:hAnsi="Arial"/>
                <w:sz w:val="14"/>
                <w:szCs w:val="14"/>
                <w:color w:val="auto"/>
              </w:rPr>
              <w:t xml:space="preserve"> H</w:t>
            </w:r>
            <w:r>
              <w:rPr>
                <w:rFonts w:ascii="Arial" w:cs="Arial" w:eastAsia="Arial" w:hAnsi="Arial"/>
                <w:sz w:val="9"/>
                <w:szCs w:val="9"/>
                <w:color w:val="auto"/>
              </w:rPr>
              <w:t>OUTE</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Chief Financial Officer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Hans van Houte</w:t>
            </w:r>
          </w:p>
        </w:tc>
        <w:tc>
          <w:tcPr>
            <w:tcW w:w="120" w:type="dxa"/>
            <w:vAlign w:val="bottom"/>
          </w:tcPr>
          <w:p>
            <w:pPr>
              <w:spacing w:after="0"/>
              <w:rPr>
                <w:sz w:val="15"/>
                <w:szCs w:val="15"/>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w:t>
            </w:r>
            <w:r>
              <w:rPr>
                <w:rFonts w:ascii="Arial" w:cs="Arial" w:eastAsia="Arial" w:hAnsi="Arial"/>
                <w:sz w:val="14"/>
                <w:szCs w:val="14"/>
                <w:i w:val="1"/>
                <w:iCs w:val="1"/>
                <w:color w:val="auto"/>
                <w:w w:val="97"/>
              </w:rPr>
              <w:t>Principal Financial and Accounting Officer</w:t>
            </w:r>
            <w:r>
              <w:rPr>
                <w:rFonts w:ascii="Arial" w:cs="Arial" w:eastAsia="Arial" w:hAnsi="Arial"/>
                <w:sz w:val="14"/>
                <w:szCs w:val="14"/>
                <w:color w:val="auto"/>
                <w:w w:val="97"/>
              </w:rPr>
              <w:t>)</w:t>
            </w: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D</w:t>
            </w:r>
            <w:r>
              <w:rPr>
                <w:rFonts w:ascii="Arial" w:cs="Arial" w:eastAsia="Arial" w:hAnsi="Arial"/>
                <w:sz w:val="9"/>
                <w:szCs w:val="9"/>
                <w:color w:val="auto"/>
              </w:rPr>
              <w:t>AVID</w:t>
            </w:r>
            <w:r>
              <w:rPr>
                <w:rFonts w:ascii="Arial" w:cs="Arial" w:eastAsia="Arial" w:hAnsi="Arial"/>
                <w:sz w:val="14"/>
                <w:szCs w:val="14"/>
                <w:color w:val="auto"/>
              </w:rPr>
              <w:t xml:space="preserve"> L. L</w:t>
            </w:r>
            <w:r>
              <w:rPr>
                <w:rFonts w:ascii="Arial" w:cs="Arial" w:eastAsia="Arial" w:hAnsi="Arial"/>
                <w:sz w:val="9"/>
                <w:szCs w:val="9"/>
                <w:color w:val="auto"/>
              </w:rPr>
              <w:t>ACEY</w:t>
            </w:r>
          </w:p>
        </w:tc>
        <w:tc>
          <w:tcPr>
            <w:tcW w:w="120" w:type="dxa"/>
            <w:vAlign w:val="bottom"/>
          </w:tcPr>
          <w:p>
            <w:pPr>
              <w:spacing w:after="0"/>
              <w:rPr>
                <w:sz w:val="24"/>
                <w:szCs w:val="24"/>
                <w:color w:val="auto"/>
              </w:rPr>
            </w:pPr>
          </w:p>
        </w:tc>
        <w:tc>
          <w:tcPr>
            <w:tcW w:w="498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Chairman and 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7"/>
              </w:rPr>
              <w:t>David L. Lacey, M.D.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J</w:t>
            </w:r>
            <w:r>
              <w:rPr>
                <w:rFonts w:ascii="Arial" w:cs="Arial" w:eastAsia="Arial" w:hAnsi="Arial"/>
                <w:sz w:val="9"/>
                <w:szCs w:val="9"/>
                <w:color w:val="auto"/>
                <w:w w:val="96"/>
              </w:rPr>
              <w:t>ULIA</w:t>
            </w:r>
            <w:r>
              <w:rPr>
                <w:rFonts w:ascii="Arial" w:cs="Arial" w:eastAsia="Arial" w:hAnsi="Arial"/>
                <w:sz w:val="14"/>
                <w:szCs w:val="14"/>
                <w:color w:val="auto"/>
                <w:w w:val="96"/>
              </w:rPr>
              <w:t xml:space="preserve"> P. G</w:t>
            </w:r>
            <w:r>
              <w:rPr>
                <w:rFonts w:ascii="Arial" w:cs="Arial" w:eastAsia="Arial" w:hAnsi="Arial"/>
                <w:sz w:val="9"/>
                <w:szCs w:val="9"/>
                <w:color w:val="auto"/>
                <w:w w:val="96"/>
              </w:rPr>
              <w:t>REGORY</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Julia P. Gregory</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L</w:t>
            </w:r>
            <w:r>
              <w:rPr>
                <w:rFonts w:ascii="Arial" w:cs="Arial" w:eastAsia="Arial" w:hAnsi="Arial"/>
                <w:sz w:val="9"/>
                <w:szCs w:val="9"/>
                <w:color w:val="auto"/>
              </w:rPr>
              <w:t>ORI</w:t>
            </w:r>
            <w:r>
              <w:rPr>
                <w:rFonts w:ascii="Arial" w:cs="Arial" w:eastAsia="Arial" w:hAnsi="Arial"/>
                <w:sz w:val="14"/>
                <w:szCs w:val="14"/>
                <w:color w:val="auto"/>
              </w:rPr>
              <w:t xml:space="preserve"> A. K</w:t>
            </w:r>
            <w:r>
              <w:rPr>
                <w:rFonts w:ascii="Arial" w:cs="Arial" w:eastAsia="Arial" w:hAnsi="Arial"/>
                <w:sz w:val="9"/>
                <w:szCs w:val="9"/>
                <w:color w:val="auto"/>
              </w:rPr>
              <w:t>UNKEL</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9"/>
              </w:rPr>
              <w:t>Lori A. Kunkel, M.D.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J</w:t>
            </w:r>
            <w:r>
              <w:rPr>
                <w:rFonts w:ascii="Arial" w:cs="Arial" w:eastAsia="Arial" w:hAnsi="Arial"/>
                <w:sz w:val="9"/>
                <w:szCs w:val="9"/>
                <w:color w:val="auto"/>
                <w:w w:val="97"/>
              </w:rPr>
              <w:t>UDITH</w:t>
            </w:r>
            <w:r>
              <w:rPr>
                <w:rFonts w:ascii="Arial" w:cs="Arial" w:eastAsia="Arial" w:hAnsi="Arial"/>
                <w:sz w:val="14"/>
                <w:szCs w:val="14"/>
                <w:color w:val="auto"/>
                <w:w w:val="97"/>
              </w:rPr>
              <w:t xml:space="preserve"> A. R</w:t>
            </w:r>
            <w:r>
              <w:rPr>
                <w:rFonts w:ascii="Arial" w:cs="Arial" w:eastAsia="Arial" w:hAnsi="Arial"/>
                <w:sz w:val="9"/>
                <w:szCs w:val="9"/>
                <w:color w:val="auto"/>
                <w:w w:val="97"/>
              </w:rPr>
              <w:t>EINSDORF</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Judith A. Reinsdorf, J.D.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w:t>
            </w:r>
            <w:r>
              <w:rPr>
                <w:rFonts w:ascii="Arial" w:cs="Arial" w:eastAsia="Arial" w:hAnsi="Arial"/>
                <w:sz w:val="9"/>
                <w:szCs w:val="9"/>
                <w:color w:val="auto"/>
              </w:rPr>
              <w:t>LAY</w:t>
            </w:r>
            <w:r>
              <w:rPr>
                <w:rFonts w:ascii="Arial" w:cs="Arial" w:eastAsia="Arial" w:hAnsi="Arial"/>
                <w:sz w:val="14"/>
                <w:szCs w:val="14"/>
                <w:color w:val="auto"/>
              </w:rPr>
              <w:t xml:space="preserve"> B. S</w:t>
            </w:r>
            <w:r>
              <w:rPr>
                <w:rFonts w:ascii="Arial" w:cs="Arial" w:eastAsia="Arial" w:hAnsi="Arial"/>
                <w:sz w:val="9"/>
                <w:szCs w:val="9"/>
                <w:color w:val="auto"/>
              </w:rPr>
              <w:t>IEGALL</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4"/>
              </w:rPr>
              <w:t>Clay B. Siegall, Ph.D.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/s/ P</w:t>
            </w:r>
            <w:r>
              <w:rPr>
                <w:rFonts w:ascii="Arial" w:cs="Arial" w:eastAsia="Arial" w:hAnsi="Arial"/>
                <w:sz w:val="9"/>
                <w:szCs w:val="9"/>
                <w:color w:val="auto"/>
                <w:w w:val="98"/>
              </w:rPr>
              <w:t>AUL</w:t>
            </w:r>
            <w:r>
              <w:rPr>
                <w:rFonts w:ascii="Arial" w:cs="Arial" w:eastAsia="Arial" w:hAnsi="Arial"/>
                <w:sz w:val="14"/>
                <w:szCs w:val="14"/>
                <w:color w:val="auto"/>
                <w:w w:val="98"/>
              </w:rPr>
              <w:t xml:space="preserve"> M. S</w:t>
            </w:r>
            <w:r>
              <w:rPr>
                <w:rFonts w:ascii="Arial" w:cs="Arial" w:eastAsia="Arial" w:hAnsi="Arial"/>
                <w:sz w:val="9"/>
                <w:szCs w:val="9"/>
                <w:color w:val="auto"/>
                <w:w w:val="98"/>
              </w:rPr>
              <w:t>ILVA</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Paul M. Silva</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J</w:t>
            </w:r>
            <w:r>
              <w:rPr>
                <w:rFonts w:ascii="Arial" w:cs="Arial" w:eastAsia="Arial" w:hAnsi="Arial"/>
                <w:sz w:val="9"/>
                <w:szCs w:val="9"/>
                <w:color w:val="auto"/>
                <w:w w:val="97"/>
              </w:rPr>
              <w:t>EFFREY</w:t>
            </w:r>
            <w:r>
              <w:rPr>
                <w:rFonts w:ascii="Arial" w:cs="Arial" w:eastAsia="Arial" w:hAnsi="Arial"/>
                <w:sz w:val="14"/>
                <w:szCs w:val="14"/>
                <w:color w:val="auto"/>
                <w:w w:val="97"/>
              </w:rPr>
              <w:t xml:space="preserve"> K. T</w:t>
            </w:r>
            <w:r>
              <w:rPr>
                <w:rFonts w:ascii="Arial" w:cs="Arial" w:eastAsia="Arial" w:hAnsi="Arial"/>
                <w:sz w:val="9"/>
                <w:szCs w:val="9"/>
                <w:color w:val="auto"/>
                <w:w w:val="97"/>
              </w:rPr>
              <w:t>ONG</w:t>
            </w:r>
          </w:p>
        </w:tc>
        <w:tc>
          <w:tcPr>
            <w:tcW w:w="120" w:type="dxa"/>
            <w:vAlign w:val="bottom"/>
          </w:tcPr>
          <w:p>
            <w:pPr>
              <w:spacing w:after="0"/>
              <w:rPr>
                <w:sz w:val="24"/>
                <w:szCs w:val="24"/>
                <w:color w:val="auto"/>
              </w:rPr>
            </w:pPr>
          </w:p>
        </w:tc>
        <w:tc>
          <w:tcPr>
            <w:tcW w:w="498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Director</w:t>
            </w:r>
          </w:p>
        </w:tc>
        <w:tc>
          <w:tcPr>
            <w:tcW w:w="2420" w:type="dxa"/>
            <w:vAlign w:val="bottom"/>
          </w:tcPr>
          <w:p>
            <w:pPr>
              <w:jc w:val="center"/>
              <w:spacing w:after="0"/>
              <w:rPr>
                <w:sz w:val="20"/>
                <w:szCs w:val="20"/>
                <w:color w:val="auto"/>
              </w:rPr>
            </w:pPr>
            <w:r>
              <w:rPr>
                <w:rFonts w:ascii="Arial" w:cs="Arial" w:eastAsia="Arial" w:hAnsi="Arial"/>
                <w:sz w:val="14"/>
                <w:szCs w:val="14"/>
                <w:color w:val="auto"/>
                <w:w w:val="90"/>
              </w:rPr>
              <w:t>January 28, 2022</w:t>
            </w:r>
          </w:p>
        </w:tc>
      </w:tr>
      <w:tr>
        <w:trPr>
          <w:trHeight w:val="18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3"/>
              </w:rPr>
              <w:t>Jeffrey K. Tong, Ph.D.</w:t>
            </w:r>
          </w:p>
        </w:tc>
        <w:tc>
          <w:tcPr>
            <w:tcW w:w="1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337" w:right="339" w:bottom="1440" w:gutter="0" w:footer="0" w:header="0"/>
        </w:sectPr>
      </w:pPr>
    </w:p>
    <w:bookmarkStart w:id="172" w:name="page173"/>
    <w:bookmarkEnd w:id="172"/>
    <w:p>
      <w:pPr>
        <w:ind w:left="10320"/>
        <w:spacing w:after="0"/>
        <w:rPr>
          <w:sz w:val="20"/>
          <w:szCs w:val="20"/>
          <w:color w:val="auto"/>
        </w:rPr>
      </w:pPr>
      <w:r>
        <w:rPr>
          <w:rFonts w:ascii="Arial" w:cs="Arial" w:eastAsia="Arial" w:hAnsi="Arial"/>
          <w:sz w:val="16"/>
          <w:szCs w:val="16"/>
          <w:b w:val="1"/>
          <w:bCs w:val="1"/>
          <w:color w:val="auto"/>
        </w:rPr>
        <w:t>Exhibit 10.9</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NURIX THERAPEUTICS, INC.</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July 15,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Hans van Houte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 Nurix Therapeutics,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RE: Continued Employment with Nurix Therapeutics,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Hans:</w:t>
      </w:r>
    </w:p>
    <w:p>
      <w:pPr>
        <w:spacing w:after="0" w:line="21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20"/>
          <w:szCs w:val="20"/>
          <w:color w:val="auto"/>
        </w:rPr>
        <w:t>This employment letter sets forth the terms confirms your continued employment as Chief Financial Officer of Nurix Therapeutics,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Nurix</w:t>
      </w:r>
      <w:r>
        <w:rPr>
          <w:rFonts w:ascii="Arial" w:cs="Arial" w:eastAsia="Arial" w:hAnsi="Arial"/>
          <w:sz w:val="20"/>
          <w:szCs w:val="20"/>
          <w:color w:val="auto"/>
        </w:rPr>
        <w:t>”). You will continue to report to the Company’s Chief Executive Officer. This employment letter amends and restates the employment letter entered into between you and Nurix, dated February 20, 2020 (the “</w:t>
      </w:r>
      <w:r>
        <w:rPr>
          <w:rFonts w:ascii="Arial" w:cs="Arial" w:eastAsia="Arial" w:hAnsi="Arial"/>
          <w:sz w:val="20"/>
          <w:szCs w:val="20"/>
          <w:b w:val="1"/>
          <w:bCs w:val="1"/>
          <w:color w:val="auto"/>
        </w:rPr>
        <w:t>Prior</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99" w:lineRule="exact"/>
        <w:rPr>
          <w:sz w:val="20"/>
          <w:szCs w:val="20"/>
          <w:color w:val="auto"/>
        </w:rPr>
      </w:pPr>
    </w:p>
    <w:p>
      <w:pPr>
        <w:ind w:left="1240" w:hanging="800"/>
        <w:spacing w:after="0"/>
        <w:tabs>
          <w:tab w:leader="none" w:pos="1240" w:val="left"/>
        </w:tabs>
        <w:numPr>
          <w:ilvl w:val="0"/>
          <w:numId w:val="6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Compensation</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010000"/>
        </w:rPr>
      </w:pPr>
    </w:p>
    <w:p>
      <w:pPr>
        <w:jc w:val="both"/>
        <w:ind w:right="20" w:firstLine="872"/>
        <w:spacing w:after="0" w:line="253" w:lineRule="auto"/>
        <w:tabs>
          <w:tab w:leader="none" w:pos="1649" w:val="left"/>
        </w:tabs>
        <w:numPr>
          <w:ilvl w:val="1"/>
          <w:numId w:val="66"/>
        </w:numPr>
        <w:rPr>
          <w:rFonts w:ascii="Arial" w:cs="Arial" w:eastAsia="Arial" w:hAnsi="Arial"/>
          <w:sz w:val="20"/>
          <w:szCs w:val="20"/>
          <w:color w:val="010000"/>
        </w:rPr>
      </w:pPr>
      <w:r>
        <w:rPr>
          <w:rFonts w:ascii="Arial" w:cs="Arial" w:eastAsia="Arial" w:hAnsi="Arial"/>
          <w:sz w:val="20"/>
          <w:szCs w:val="20"/>
          <w:b w:val="1"/>
          <w:bCs w:val="1"/>
          <w:u w:val="single" w:color="auto"/>
          <w:color w:val="auto"/>
        </w:rPr>
        <w:t>Salary</w:t>
      </w:r>
      <w:r>
        <w:rPr>
          <w:rFonts w:ascii="Arial" w:cs="Arial" w:eastAsia="Arial" w:hAnsi="Arial"/>
          <w:sz w:val="20"/>
          <w:szCs w:val="20"/>
          <w:color w:val="auto"/>
        </w:rPr>
        <w:t>. In this position, the Company will pay you an annual base salary of $400,000 per year, payable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Company’s standard payroll schedule. Your pay will be periodically reviewed as a part of the Company’s regular reviews of compensation.</w:t>
      </w:r>
    </w:p>
    <w:p>
      <w:pPr>
        <w:spacing w:after="0" w:line="177" w:lineRule="exact"/>
        <w:rPr>
          <w:rFonts w:ascii="Arial" w:cs="Arial" w:eastAsia="Arial" w:hAnsi="Arial"/>
          <w:sz w:val="20"/>
          <w:szCs w:val="20"/>
          <w:color w:val="010000"/>
        </w:rPr>
      </w:pPr>
    </w:p>
    <w:p>
      <w:pPr>
        <w:jc w:val="both"/>
        <w:ind w:firstLine="872"/>
        <w:spacing w:after="0" w:line="248" w:lineRule="auto"/>
        <w:tabs>
          <w:tab w:leader="none" w:pos="1660" w:val="left"/>
        </w:tabs>
        <w:numPr>
          <w:ilvl w:val="1"/>
          <w:numId w:val="66"/>
        </w:numPr>
        <w:rPr>
          <w:rFonts w:ascii="Arial" w:cs="Arial" w:eastAsia="Arial" w:hAnsi="Arial"/>
          <w:sz w:val="20"/>
          <w:szCs w:val="20"/>
          <w:color w:val="010000"/>
        </w:rPr>
      </w:pPr>
      <w:r>
        <w:rPr>
          <w:rFonts w:ascii="Arial" w:cs="Arial" w:eastAsia="Arial" w:hAnsi="Arial"/>
          <w:sz w:val="20"/>
          <w:szCs w:val="20"/>
          <w:b w:val="1"/>
          <w:bCs w:val="1"/>
          <w:u w:val="single" w:color="auto"/>
          <w:color w:val="auto"/>
        </w:rPr>
        <w:t>Bonus</w:t>
      </w:r>
      <w:r>
        <w:rPr>
          <w:rFonts w:ascii="Arial" w:cs="Arial" w:eastAsia="Arial" w:hAnsi="Arial"/>
          <w:sz w:val="20"/>
          <w:szCs w:val="20"/>
          <w:color w:val="auto"/>
        </w:rPr>
        <w:t>. You will be eligible to receive a cash incentive annual bonus of up to 35% of your base salary, based upon the</w:t>
      </w:r>
      <w:r>
        <w:rPr>
          <w:rFonts w:ascii="Arial" w:cs="Arial" w:eastAsia="Arial" w:hAnsi="Arial"/>
          <w:sz w:val="20"/>
          <w:szCs w:val="20"/>
          <w:b w:val="1"/>
          <w:bCs w:val="1"/>
          <w:color w:val="auto"/>
        </w:rPr>
        <w:t xml:space="preserve"> </w:t>
      </w:r>
      <w:r>
        <w:rPr>
          <w:rFonts w:ascii="Arial" w:cs="Arial" w:eastAsia="Arial" w:hAnsi="Arial"/>
          <w:sz w:val="20"/>
          <w:szCs w:val="20"/>
          <w:color w:val="auto"/>
        </w:rPr>
        <w:t>achievement of both Company and personal goals. Any annual bonus earned will be paid no later than March 15</w:t>
      </w:r>
      <w:r>
        <w:rPr>
          <w:rFonts w:ascii="Arial" w:cs="Arial" w:eastAsia="Arial" w:hAnsi="Arial"/>
          <w:sz w:val="16"/>
          <w:szCs w:val="16"/>
          <w:color w:val="auto"/>
        </w:rPr>
        <w:t>th</w:t>
      </w:r>
      <w:r>
        <w:rPr>
          <w:rFonts w:ascii="Arial" w:cs="Arial" w:eastAsia="Arial" w:hAnsi="Arial"/>
          <w:sz w:val="20"/>
          <w:szCs w:val="20"/>
          <w:color w:val="auto"/>
        </w:rPr>
        <w:t xml:space="preserve"> of the year following the year in which such bonus was earned. Please note that bonus programs, payouts and criterion are subject to change or adjustment as the business needs at the Company may require.</w:t>
      </w:r>
    </w:p>
    <w:p>
      <w:pPr>
        <w:spacing w:after="0" w:line="183" w:lineRule="exact"/>
        <w:rPr>
          <w:rFonts w:ascii="Arial" w:cs="Arial" w:eastAsia="Arial" w:hAnsi="Arial"/>
          <w:sz w:val="20"/>
          <w:szCs w:val="20"/>
          <w:color w:val="010000"/>
        </w:rPr>
      </w:pPr>
    </w:p>
    <w:p>
      <w:pPr>
        <w:ind w:firstLine="872"/>
        <w:spacing w:after="0" w:line="267" w:lineRule="auto"/>
        <w:tabs>
          <w:tab w:leader="none" w:pos="1649" w:val="left"/>
        </w:tabs>
        <w:numPr>
          <w:ilvl w:val="1"/>
          <w:numId w:val="66"/>
        </w:numPr>
        <w:rPr>
          <w:rFonts w:ascii="Arial" w:cs="Arial" w:eastAsia="Arial" w:hAnsi="Arial"/>
          <w:sz w:val="20"/>
          <w:szCs w:val="20"/>
          <w:color w:val="010000"/>
        </w:rPr>
      </w:pPr>
      <w:r>
        <w:rPr>
          <w:rFonts w:ascii="Arial" w:cs="Arial" w:eastAsia="Arial" w:hAnsi="Arial"/>
          <w:sz w:val="20"/>
          <w:szCs w:val="20"/>
          <w:b w:val="1"/>
          <w:bCs w:val="1"/>
          <w:u w:val="single" w:color="auto"/>
          <w:color w:val="auto"/>
        </w:rPr>
        <w:t>Equity Awards</w:t>
      </w:r>
      <w:r>
        <w:rPr>
          <w:rFonts w:ascii="Arial" w:cs="Arial" w:eastAsia="Arial" w:hAnsi="Arial"/>
          <w:sz w:val="20"/>
          <w:szCs w:val="20"/>
          <w:color w:val="auto"/>
        </w:rPr>
        <w:t>. You currently hold Company equity grants. You will be eligible for future discretionary equity grants at</w:t>
      </w:r>
      <w:r>
        <w:rPr>
          <w:rFonts w:ascii="Arial" w:cs="Arial" w:eastAsia="Arial" w:hAnsi="Arial"/>
          <w:sz w:val="20"/>
          <w:szCs w:val="20"/>
          <w:b w:val="1"/>
          <w:bCs w:val="1"/>
          <w:color w:val="auto"/>
        </w:rPr>
        <w:t xml:space="preserve"> </w:t>
      </w:r>
      <w:r>
        <w:rPr>
          <w:rFonts w:ascii="Arial" w:cs="Arial" w:eastAsia="Arial" w:hAnsi="Arial"/>
          <w:sz w:val="20"/>
          <w:szCs w:val="20"/>
          <w:color w:val="auto"/>
        </w:rPr>
        <w:t>the sole discretion of the Company.</w:t>
      </w:r>
    </w:p>
    <w:p>
      <w:pPr>
        <w:spacing w:after="0" w:line="163" w:lineRule="exact"/>
        <w:rPr>
          <w:rFonts w:ascii="Arial" w:cs="Arial" w:eastAsia="Arial" w:hAnsi="Arial"/>
          <w:sz w:val="20"/>
          <w:szCs w:val="20"/>
          <w:color w:val="010000"/>
        </w:rPr>
      </w:pPr>
    </w:p>
    <w:p>
      <w:pPr>
        <w:jc w:val="both"/>
        <w:ind w:firstLine="440"/>
        <w:spacing w:after="0" w:line="245" w:lineRule="auto"/>
        <w:tabs>
          <w:tab w:leader="none" w:pos="1229" w:val="left"/>
        </w:tabs>
        <w:numPr>
          <w:ilvl w:val="0"/>
          <w:numId w:val="6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Employee Benefits</w:t>
      </w:r>
      <w:r>
        <w:rPr>
          <w:rFonts w:ascii="Arial" w:cs="Arial" w:eastAsia="Arial" w:hAnsi="Arial"/>
          <w:sz w:val="20"/>
          <w:szCs w:val="20"/>
          <w:color w:val="auto"/>
        </w:rPr>
        <w:t>. You will be entitled to participate in employee benefit plans currently and hereafter maintained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of general applicability to other employees of the Company subject to the eligibility requirements of each such benefit plan. The Company, in its sole discretion, may amend, suspend or terminate its employee benefits at any time, with or without notice. In addition, you will be entitled to vacation in accordance with the Company’s vacation policy, as in effect from time to time. We also acknowledge that you are a participant in, or will become a participant in, the Company’s Severance and Change in Control Plan (the “</w:t>
      </w:r>
      <w:r>
        <w:rPr>
          <w:rFonts w:ascii="Arial" w:cs="Arial" w:eastAsia="Arial" w:hAnsi="Arial"/>
          <w:sz w:val="20"/>
          <w:szCs w:val="20"/>
          <w:b w:val="1"/>
          <w:bCs w:val="1"/>
          <w:color w:val="auto"/>
        </w:rPr>
        <w:t>Severance &amp; Change in</w:t>
      </w:r>
      <w:r>
        <w:rPr>
          <w:rFonts w:ascii="Arial" w:cs="Arial" w:eastAsia="Arial" w:hAnsi="Arial"/>
          <w:sz w:val="20"/>
          <w:szCs w:val="20"/>
          <w:color w:val="auto"/>
        </w:rPr>
        <w:t xml:space="preserve"> </w:t>
      </w:r>
      <w:r>
        <w:rPr>
          <w:rFonts w:ascii="Arial" w:cs="Arial" w:eastAsia="Arial" w:hAnsi="Arial"/>
          <w:sz w:val="20"/>
          <w:szCs w:val="20"/>
          <w:b w:val="1"/>
          <w:bCs w:val="1"/>
          <w:color w:val="auto"/>
        </w:rPr>
        <w:t>Control Plan</w:t>
      </w:r>
      <w:r>
        <w:rPr>
          <w:rFonts w:ascii="Arial" w:cs="Arial" w:eastAsia="Arial" w:hAnsi="Arial"/>
          <w:sz w:val="20"/>
          <w:szCs w:val="20"/>
          <w:color w:val="auto"/>
        </w:rPr>
        <w:t>”).</w:t>
      </w:r>
    </w:p>
    <w:p>
      <w:pPr>
        <w:spacing w:after="0" w:line="184" w:lineRule="exact"/>
        <w:rPr>
          <w:rFonts w:ascii="Arial" w:cs="Arial" w:eastAsia="Arial" w:hAnsi="Arial"/>
          <w:sz w:val="20"/>
          <w:szCs w:val="20"/>
          <w:b w:val="1"/>
          <w:bCs w:val="1"/>
          <w:color w:val="010000"/>
        </w:rPr>
      </w:pPr>
    </w:p>
    <w:p>
      <w:pPr>
        <w:ind w:firstLine="440"/>
        <w:spacing w:after="0" w:line="267" w:lineRule="auto"/>
        <w:tabs>
          <w:tab w:leader="none" w:pos="1229" w:val="left"/>
        </w:tabs>
        <w:numPr>
          <w:ilvl w:val="0"/>
          <w:numId w:val="6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By signing this letter agreement, you reaffirm the terms and conditions of the confidential</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and invention assignment agreement by and between you and the Company.</w:t>
      </w:r>
    </w:p>
    <w:p>
      <w:pPr>
        <w:spacing w:after="0" w:line="163" w:lineRule="exact"/>
        <w:rPr>
          <w:rFonts w:ascii="Arial" w:cs="Arial" w:eastAsia="Arial" w:hAnsi="Arial"/>
          <w:sz w:val="20"/>
          <w:szCs w:val="20"/>
          <w:b w:val="1"/>
          <w:bCs w:val="1"/>
          <w:color w:val="010000"/>
        </w:rPr>
      </w:pPr>
    </w:p>
    <w:p>
      <w:pPr>
        <w:jc w:val="both"/>
        <w:ind w:firstLine="440"/>
        <w:spacing w:after="0" w:line="262" w:lineRule="auto"/>
        <w:tabs>
          <w:tab w:leader="none" w:pos="1229" w:val="left"/>
        </w:tabs>
        <w:numPr>
          <w:ilvl w:val="0"/>
          <w:numId w:val="66"/>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 Conflicting Obligations</w:t>
      </w:r>
      <w:r>
        <w:rPr>
          <w:rFonts w:ascii="Arial" w:cs="Arial" w:eastAsia="Arial" w:hAnsi="Arial"/>
          <w:sz w:val="19"/>
          <w:szCs w:val="19"/>
          <w:color w:val="auto"/>
        </w:rPr>
        <w:t>. You understand and agree that by signing this letter agreement, you represent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384810</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spacing w:after="0" w:line="244" w:lineRule="auto"/>
        <w:rPr>
          <w:sz w:val="20"/>
          <w:szCs w:val="20"/>
          <w:color w:val="auto"/>
        </w:rPr>
      </w:pPr>
      <w:r>
        <w:rPr>
          <w:rFonts w:ascii="Arial" w:cs="Arial" w:eastAsia="Arial" w:hAnsi="Arial"/>
          <w:sz w:val="20"/>
          <w:szCs w:val="20"/>
          <w:color w:val="auto"/>
        </w:rPr>
        <w:t>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88" w:lineRule="exact"/>
        <w:rPr>
          <w:sz w:val="20"/>
          <w:szCs w:val="20"/>
          <w:color w:val="auto"/>
        </w:rPr>
      </w:pPr>
    </w:p>
    <w:p>
      <w:pPr>
        <w:jc w:val="both"/>
        <w:ind w:firstLine="440"/>
        <w:spacing w:after="0" w:line="248" w:lineRule="auto"/>
        <w:tabs>
          <w:tab w:leader="none" w:pos="1229" w:val="left"/>
        </w:tabs>
        <w:numPr>
          <w:ilvl w:val="0"/>
          <w:numId w:val="67"/>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Outside Activities</w:t>
      </w:r>
      <w:r>
        <w:rPr>
          <w:rFonts w:ascii="Arial" w:cs="Arial" w:eastAsia="Arial" w:hAnsi="Arial"/>
          <w:sz w:val="20"/>
          <w:szCs w:val="20"/>
          <w:color w:val="auto"/>
        </w:rPr>
        <w:t>. While you render services to the Company, you agree that you will not engage in any other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83" w:lineRule="exact"/>
        <w:rPr>
          <w:rFonts w:ascii="Arial" w:cs="Arial" w:eastAsia="Arial" w:hAnsi="Arial"/>
          <w:sz w:val="20"/>
          <w:szCs w:val="20"/>
          <w:b w:val="1"/>
          <w:bCs w:val="1"/>
          <w:color w:val="010000"/>
        </w:rPr>
      </w:pPr>
    </w:p>
    <w:p>
      <w:pPr>
        <w:jc w:val="both"/>
        <w:ind w:firstLine="440"/>
        <w:spacing w:after="0" w:line="253" w:lineRule="auto"/>
        <w:tabs>
          <w:tab w:leader="none" w:pos="1229" w:val="left"/>
        </w:tabs>
        <w:numPr>
          <w:ilvl w:val="0"/>
          <w:numId w:val="67"/>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General Obligations</w:t>
      </w:r>
      <w:r>
        <w:rPr>
          <w:rFonts w:ascii="Arial" w:cs="Arial" w:eastAsia="Arial" w:hAnsi="Arial"/>
          <w:sz w:val="20"/>
          <w:szCs w:val="20"/>
          <w:color w:val="auto"/>
        </w:rPr>
        <w:t>. As an employee, you will be expected to adhere to the Company’s standards of professionalism,</w:t>
      </w:r>
      <w:r>
        <w:rPr>
          <w:rFonts w:ascii="Arial" w:cs="Arial" w:eastAsia="Arial" w:hAnsi="Arial"/>
          <w:sz w:val="20"/>
          <w:szCs w:val="20"/>
          <w:b w:val="1"/>
          <w:bCs w:val="1"/>
          <w:color w:val="auto"/>
        </w:rPr>
        <w:t xml:space="preserve"> </w:t>
      </w:r>
      <w:r>
        <w:rPr>
          <w:rFonts w:ascii="Arial" w:cs="Arial" w:eastAsia="Arial" w:hAnsi="Arial"/>
          <w:sz w:val="20"/>
          <w:szCs w:val="20"/>
          <w:color w:val="auto"/>
        </w:rPr>
        <w:t>loyalty, integrity, honesty, reliability and respect for all. You will also be expected to comply with the Company’s policies and procedures. The Company is an equal opportunity employer.</w:t>
      </w:r>
    </w:p>
    <w:p>
      <w:pPr>
        <w:spacing w:after="0" w:line="177" w:lineRule="exact"/>
        <w:rPr>
          <w:rFonts w:ascii="Arial" w:cs="Arial" w:eastAsia="Arial" w:hAnsi="Arial"/>
          <w:sz w:val="20"/>
          <w:szCs w:val="20"/>
          <w:b w:val="1"/>
          <w:bCs w:val="1"/>
          <w:color w:val="010000"/>
        </w:rPr>
      </w:pPr>
    </w:p>
    <w:p>
      <w:pPr>
        <w:jc w:val="both"/>
        <w:ind w:firstLine="440"/>
        <w:spacing w:after="0" w:line="277" w:lineRule="auto"/>
        <w:tabs>
          <w:tab w:leader="none" w:pos="1229" w:val="left"/>
        </w:tabs>
        <w:numPr>
          <w:ilvl w:val="0"/>
          <w:numId w:val="6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Employment with the Company is for no specific period of time. Your employment with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Although your job duties, title, compensation and benefits, as well as the Company’s personnel policies and procedures, may change from time to time, the “at will” nature of your employment may only be changed in an express written agreement signed by you and Company’s Chief Executive Officer.</w:t>
      </w:r>
    </w:p>
    <w:p>
      <w:pPr>
        <w:spacing w:after="0" w:line="159" w:lineRule="exact"/>
        <w:rPr>
          <w:rFonts w:ascii="Arial" w:cs="Arial" w:eastAsia="Arial" w:hAnsi="Arial"/>
          <w:sz w:val="18"/>
          <w:szCs w:val="18"/>
          <w:b w:val="1"/>
          <w:bCs w:val="1"/>
          <w:color w:val="010000"/>
        </w:rPr>
      </w:pPr>
    </w:p>
    <w:p>
      <w:pPr>
        <w:ind w:left="1240" w:hanging="800"/>
        <w:spacing w:after="0"/>
        <w:tabs>
          <w:tab w:leader="none" w:pos="1240" w:val="left"/>
        </w:tabs>
        <w:numPr>
          <w:ilvl w:val="0"/>
          <w:numId w:val="67"/>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Withholdings</w:t>
      </w:r>
      <w:r>
        <w:rPr>
          <w:rFonts w:ascii="Arial" w:cs="Arial" w:eastAsia="Arial" w:hAnsi="Arial"/>
          <w:sz w:val="19"/>
          <w:szCs w:val="19"/>
          <w:color w:val="auto"/>
        </w:rPr>
        <w:t>. All forms of compensation paid to you as an employee of the Company shall be less all applicable</w:t>
      </w:r>
    </w:p>
    <w:p>
      <w:pPr>
        <w:spacing w:after="0" w:line="33" w:lineRule="exact"/>
        <w:rPr>
          <w:rFonts w:ascii="Arial" w:cs="Arial" w:eastAsia="Arial" w:hAnsi="Arial"/>
          <w:sz w:val="19"/>
          <w:szCs w:val="19"/>
          <w:b w:val="1"/>
          <w:bCs w:val="1"/>
          <w:color w:val="010000"/>
        </w:rPr>
      </w:pPr>
    </w:p>
    <w:p>
      <w:pPr>
        <w:spacing w:after="0"/>
        <w:rPr>
          <w:rFonts w:ascii="Arial" w:cs="Arial" w:eastAsia="Arial" w:hAnsi="Arial"/>
          <w:sz w:val="19"/>
          <w:szCs w:val="19"/>
          <w:b w:val="1"/>
          <w:bCs w:val="1"/>
          <w:color w:val="010000"/>
        </w:rPr>
      </w:pPr>
      <w:r>
        <w:rPr>
          <w:rFonts w:ascii="Arial" w:cs="Arial" w:eastAsia="Arial" w:hAnsi="Arial"/>
          <w:sz w:val="20"/>
          <w:szCs w:val="20"/>
          <w:color w:val="auto"/>
        </w:rPr>
        <w:t>withholdings.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IGNATURE</w:t>
      </w:r>
      <w:r>
        <w:rPr>
          <w:rFonts w:ascii="Arial" w:cs="Arial" w:eastAsia="Arial" w:hAnsi="Arial"/>
          <w:sz w:val="20"/>
          <w:szCs w:val="20"/>
          <w:color w:val="auto"/>
        </w:rPr>
        <w:t xml:space="preserve"> P</w:t>
      </w:r>
      <w:r>
        <w:rPr>
          <w:rFonts w:ascii="Arial" w:cs="Arial" w:eastAsia="Arial" w:hAnsi="Arial"/>
          <w:sz w:val="13"/>
          <w:szCs w:val="13"/>
          <w:color w:val="auto"/>
        </w:rPr>
        <w:t>AGE</w:t>
      </w:r>
      <w:r>
        <w:rPr>
          <w:rFonts w:ascii="Arial" w:cs="Arial" w:eastAsia="Arial" w:hAnsi="Arial"/>
          <w:sz w:val="20"/>
          <w:szCs w:val="20"/>
          <w:color w:val="auto"/>
        </w:rPr>
        <w:t xml:space="preserve"> F</w:t>
      </w:r>
      <w:r>
        <w:rPr>
          <w:rFonts w:ascii="Arial" w:cs="Arial" w:eastAsia="Arial" w:hAnsi="Arial"/>
          <w:sz w:val="13"/>
          <w:szCs w:val="13"/>
          <w:color w:val="auto"/>
        </w:rPr>
        <w:t>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4" w:name="page175"/>
    <w:bookmarkEnd w:id="174"/>
    <w:p>
      <w:pPr>
        <w:jc w:val="both"/>
        <w:ind w:firstLine="432"/>
        <w:spacing w:after="0" w:line="291" w:lineRule="auto"/>
        <w:rPr>
          <w:sz w:val="20"/>
          <w:szCs w:val="20"/>
          <w:color w:val="auto"/>
        </w:rPr>
      </w:pPr>
      <w:r>
        <w:rPr>
          <w:rFonts w:ascii="Arial" w:cs="Arial" w:eastAsia="Arial" w:hAnsi="Arial"/>
          <w:sz w:val="18"/>
          <w:szCs w:val="18"/>
          <w:color w:val="auto"/>
        </w:rPr>
        <w:t>This letter agreement and the Severance &amp; Change in Control Plan supersede and replace any prior understandings or agreements, whether oral, written or implied, between you and the Company regarding the matters described in this letter, including, without limitation, the Prior Agreement. This letter will be governed by the laws of California, without regard to its conflict of laws provisions.</w:t>
      </w:r>
    </w:p>
    <w:p>
      <w:pPr>
        <w:sectPr>
          <w:pgSz w:w="11900" w:h="16838" w:orient="portrait"/>
          <w:cols w:equalWidth="0" w:num="1">
            <w:col w:w="11240"/>
          </w:cols>
          <w:pgMar w:left="320" w:top="3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Hans van Houte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/s/ Hans van Houte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061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Signature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July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061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Very truly yours,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NURIX THERAPEUTICS, INC.</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Arthur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2061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Arthur Sands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Chief Executive Officer</w:t>
      </w:r>
    </w:p>
    <w:p>
      <w:pPr>
        <w:spacing w:after="0" w:line="2830" w:lineRule="exact"/>
        <w:rPr>
          <w:sz w:val="20"/>
          <w:szCs w:val="20"/>
          <w:color w:val="auto"/>
        </w:rPr>
      </w:pPr>
    </w:p>
    <w:p>
      <w:pPr>
        <w:sectPr>
          <w:pgSz w:w="11900" w:h="16838" w:orient="portrait"/>
          <w:cols w:equalWidth="0" w:num="2">
            <w:col w:w="5480" w:space="720"/>
            <w:col w:w="5040"/>
          </w:cols>
          <w:pgMar w:left="320" w:top="366" w:right="339" w:bottom="1440"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w:t>
      </w:r>
      <w:r>
        <w:rPr>
          <w:rFonts w:ascii="Arial" w:cs="Arial" w:eastAsia="Arial" w:hAnsi="Arial"/>
          <w:sz w:val="12"/>
          <w:szCs w:val="12"/>
          <w:color w:val="auto"/>
        </w:rPr>
        <w:t>IGNATURE</w:t>
      </w:r>
      <w:r>
        <w:rPr>
          <w:rFonts w:ascii="Arial" w:cs="Arial" w:eastAsia="Arial" w:hAnsi="Arial"/>
          <w:sz w:val="19"/>
          <w:szCs w:val="19"/>
          <w:color w:val="auto"/>
        </w:rPr>
        <w:t xml:space="preserve"> P</w:t>
      </w:r>
      <w:r>
        <w:rPr>
          <w:rFonts w:ascii="Arial" w:cs="Arial" w:eastAsia="Arial" w:hAnsi="Arial"/>
          <w:sz w:val="12"/>
          <w:szCs w:val="12"/>
          <w:color w:val="auto"/>
        </w:rPr>
        <w:t>AGE TO</w:t>
      </w:r>
      <w:r>
        <w:rPr>
          <w:rFonts w:ascii="Arial" w:cs="Arial" w:eastAsia="Arial" w:hAnsi="Arial"/>
          <w:sz w:val="19"/>
          <w:szCs w:val="19"/>
          <w:color w:val="auto"/>
        </w:rPr>
        <w:t xml:space="preserve"> R</w:t>
      </w:r>
      <w:r>
        <w:rPr>
          <w:rFonts w:ascii="Arial" w:cs="Arial" w:eastAsia="Arial" w:hAnsi="Arial"/>
          <w:sz w:val="12"/>
          <w:szCs w:val="12"/>
          <w:color w:val="auto"/>
        </w:rPr>
        <w:t>ESTATED</w:t>
      </w:r>
      <w:r>
        <w:rPr>
          <w:rFonts w:ascii="Arial" w:cs="Arial" w:eastAsia="Arial" w:hAnsi="Arial"/>
          <w:sz w:val="19"/>
          <w:szCs w:val="19"/>
          <w:color w:val="auto"/>
        </w:rPr>
        <w:t xml:space="preserve"> E</w:t>
      </w:r>
      <w:r>
        <w:rPr>
          <w:rFonts w:ascii="Arial" w:cs="Arial" w:eastAsia="Arial" w:hAnsi="Arial"/>
          <w:sz w:val="12"/>
          <w:szCs w:val="12"/>
          <w:color w:val="auto"/>
        </w:rPr>
        <w:t>MPLOYMENT</w:t>
      </w:r>
      <w:r>
        <w:rPr>
          <w:rFonts w:ascii="Arial" w:cs="Arial" w:eastAsia="Arial" w:hAnsi="Arial"/>
          <w:sz w:val="19"/>
          <w:szCs w:val="19"/>
          <w:color w:val="auto"/>
        </w:rPr>
        <w:t xml:space="preserve"> A</w:t>
      </w:r>
      <w:r>
        <w:rPr>
          <w:rFonts w:ascii="Arial" w:cs="Arial" w:eastAsia="Arial" w:hAnsi="Arial"/>
          <w:sz w:val="12"/>
          <w:szCs w:val="12"/>
          <w:color w:val="auto"/>
        </w:rPr>
        <w:t>GREEMENT</w:t>
      </w:r>
      <w:r>
        <w:rPr>
          <w:rFonts w:ascii="Arial" w:cs="Arial" w:eastAsia="Arial" w:hAnsi="Arial"/>
          <w:sz w:val="19"/>
          <w:szCs w:val="19"/>
          <w:color w:val="auto"/>
        </w:rPr>
        <w:t>]</w:t>
      </w:r>
    </w:p>
    <w:p>
      <w:pPr>
        <w:sectPr>
          <w:pgSz w:w="11900" w:h="16838" w:orient="portrait"/>
          <w:cols w:equalWidth="0" w:num="1">
            <w:col w:w="11240"/>
          </w:cols>
          <w:pgMar w:left="320" w:top="366" w:right="339" w:bottom="1440" w:gutter="0" w:footer="0" w:header="0"/>
          <w:type w:val="continuous"/>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NURIX THERAPEUTICS,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SEVERANCE AND CHANGE IN CONTROL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January 19,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SECTION 1</w:t>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PURPOSE</w:t>
      </w:r>
    </w:p>
    <w:p>
      <w:pPr>
        <w:spacing w:after="0" w:line="20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The Board of Nurix Therapeutics, Inc., a Delaware corporation (together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considers it in the best interests of the stockholders of the Company to reinforce the continued attention and dedication of certain key employees of the Company to their duties of employment without personal distraction or conflict of interest, including as a result of the possibility or occurrence of a change in control of the Company. Accordingly, the Company will provide designated individuals with rights to receive severance payments and other benefits upon a Covered Termination pursuant to this Executive Severance and Change in Control Plan (this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as set forth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ELIGIBILITY</w:t>
      </w:r>
    </w:p>
    <w:p>
      <w:pPr>
        <w:spacing w:after="0" w:line="200" w:lineRule="exact"/>
        <w:rPr>
          <w:sz w:val="20"/>
          <w:szCs w:val="20"/>
          <w:color w:val="auto"/>
        </w:rPr>
      </w:pPr>
    </w:p>
    <w:p>
      <w:pPr>
        <w:jc w:val="both"/>
        <w:ind w:firstLine="216"/>
        <w:spacing w:after="0" w:line="243"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Eligibility for Participation</w:t>
      </w:r>
      <w:r>
        <w:rPr>
          <w:rFonts w:ascii="Arial" w:cs="Arial" w:eastAsia="Arial" w:hAnsi="Arial"/>
          <w:sz w:val="20"/>
          <w:szCs w:val="20"/>
          <w:color w:val="auto"/>
        </w:rPr>
        <w:t xml:space="preserve">. The Board may select from among Eligible Employees to participate in the Plan, provided that the Company’s Chief Executive Officer and Section 16 Officers will automatically participate in the Plan upon hiring with, or promotion to, such title or qualification. Each such individual will become a Participant upon his or her execution and delivery to the Company of an acknowledgement of participation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(as such form may be amended or modified by the Board, a “</w:t>
      </w:r>
      <w:r>
        <w:rPr>
          <w:rFonts w:ascii="Arial" w:cs="Arial" w:eastAsia="Arial" w:hAnsi="Arial"/>
          <w:sz w:val="20"/>
          <w:szCs w:val="20"/>
          <w:b w:val="1"/>
          <w:bCs w:val="1"/>
          <w:i w:val="1"/>
          <w:iCs w:val="1"/>
          <w:color w:val="auto"/>
        </w:rPr>
        <w:t>Participation Agreement</w:t>
      </w:r>
      <w:r>
        <w:rPr>
          <w:rFonts w:ascii="Arial" w:cs="Arial" w:eastAsia="Arial" w:hAnsi="Arial"/>
          <w:sz w:val="20"/>
          <w:szCs w:val="20"/>
          <w:color w:val="auto"/>
        </w:rPr>
        <w:t>”), provided that if the Board or the Committee does not expressly require it, no Participation Agreement will be necessary to participate in this Plan.</w:t>
      </w:r>
    </w:p>
    <w:p>
      <w:pPr>
        <w:spacing w:after="0" w:line="196"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Termination of Participation</w:t>
      </w:r>
      <w:r>
        <w:rPr>
          <w:rFonts w:ascii="Arial" w:cs="Arial" w:eastAsia="Arial" w:hAnsi="Arial"/>
          <w:sz w:val="20"/>
          <w:szCs w:val="20"/>
          <w:color w:val="auto"/>
        </w:rPr>
        <w:t>. An individual shall cease to be a Participant on the date that such individual terminates service with the Company or otherwise ceases to qualify as an Eligible Employee for any reason, in each case other than in connection with a Covered Termination.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PAYMENTS AND BENEFITS</w:t>
      </w:r>
    </w:p>
    <w:p>
      <w:pPr>
        <w:spacing w:after="0" w:line="200"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Covered Termination outside the Change in Control Period</w:t>
      </w:r>
      <w:r>
        <w:rPr>
          <w:rFonts w:ascii="Arial" w:cs="Arial" w:eastAsia="Arial" w:hAnsi="Arial"/>
          <w:sz w:val="20"/>
          <w:szCs w:val="20"/>
          <w:color w:val="auto"/>
        </w:rPr>
        <w:t xml:space="preserve">. If any Participant experiences a Covered Termination other than during a Change in Control Period, the Participant shall be entitled to receive his or her Accrued Benefits and, subject to the requirements of </w:t>
      </w:r>
      <w:r>
        <w:rPr>
          <w:rFonts w:ascii="Arial" w:cs="Arial" w:eastAsia="Arial" w:hAnsi="Arial"/>
          <w:sz w:val="20"/>
          <w:szCs w:val="20"/>
          <w:u w:val="single" w:color="auto"/>
          <w:color w:val="auto"/>
        </w:rPr>
        <w:t>Section 3.3</w:t>
      </w:r>
      <w:r>
        <w:rPr>
          <w:rFonts w:ascii="Arial" w:cs="Arial" w:eastAsia="Arial" w:hAnsi="Arial"/>
          <w:sz w:val="20"/>
          <w:szCs w:val="20"/>
          <w:color w:val="auto"/>
        </w:rPr>
        <w:t>, the following payments and benefits:</w:t>
      </w:r>
    </w:p>
    <w:p>
      <w:pPr>
        <w:spacing w:after="0" w:line="186" w:lineRule="exact"/>
        <w:rPr>
          <w:sz w:val="20"/>
          <w:szCs w:val="20"/>
          <w:color w:val="auto"/>
        </w:rPr>
      </w:pPr>
    </w:p>
    <w:p>
      <w:pPr>
        <w:jc w:val="both"/>
        <w:ind w:firstLine="872"/>
        <w:spacing w:after="0" w:line="244" w:lineRule="auto"/>
        <w:tabs>
          <w:tab w:leader="none" w:pos="1731" w:val="left"/>
        </w:tabs>
        <w:numPr>
          <w:ilvl w:val="0"/>
          <w:numId w:val="68"/>
        </w:numPr>
        <w:rPr>
          <w:rFonts w:ascii="Arial" w:cs="Arial" w:eastAsia="Arial" w:hAnsi="Arial"/>
          <w:sz w:val="20"/>
          <w:szCs w:val="20"/>
          <w:color w:val="auto"/>
        </w:rPr>
      </w:pPr>
      <w:r>
        <w:rPr>
          <w:rFonts w:ascii="Arial" w:cs="Arial" w:eastAsia="Arial" w:hAnsi="Arial"/>
          <w:sz w:val="20"/>
          <w:szCs w:val="20"/>
          <w:i w:val="1"/>
          <w:iCs w:val="1"/>
          <w:color w:val="auto"/>
        </w:rPr>
        <w:t>Cash Severance</w:t>
      </w:r>
      <w:r>
        <w:rPr>
          <w:rFonts w:ascii="Arial" w:cs="Arial" w:eastAsia="Arial" w:hAnsi="Arial"/>
          <w:sz w:val="20"/>
          <w:szCs w:val="20"/>
          <w:color w:val="auto"/>
        </w:rPr>
        <w:t>. An amount equal to the sum of (i) the product of (A) the Participant’s Severance Multiplier</w:t>
      </w:r>
      <w:r>
        <w:rPr>
          <w:rFonts w:ascii="Arial" w:cs="Arial" w:eastAsia="Arial" w:hAnsi="Arial"/>
          <w:sz w:val="20"/>
          <w:szCs w:val="20"/>
          <w:i w:val="1"/>
          <w:iCs w:val="1"/>
          <w:color w:val="auto"/>
        </w:rPr>
        <w:t xml:space="preserve"> multiplied </w:t>
      </w:r>
      <w:r>
        <w:rPr>
          <w:rFonts w:ascii="Arial" w:cs="Arial" w:eastAsia="Arial" w:hAnsi="Arial"/>
          <w:sz w:val="20"/>
          <w:szCs w:val="20"/>
          <w:color w:val="auto"/>
        </w:rPr>
        <w:t>by (B) the Participant’s Base Salary</w:t>
      </w:r>
      <w:r>
        <w:rPr>
          <w:rFonts w:ascii="Arial" w:cs="Arial" w:eastAsia="Arial" w:hAnsi="Arial"/>
          <w:sz w:val="20"/>
          <w:szCs w:val="20"/>
          <w:i w:val="1"/>
          <w:iCs w:val="1"/>
          <w:color w:val="auto"/>
        </w:rPr>
        <w:t>,</w:t>
      </w:r>
      <w:r>
        <w:rPr>
          <w:rFonts w:ascii="Arial" w:cs="Arial" w:eastAsia="Arial" w:hAnsi="Arial"/>
          <w:sz w:val="20"/>
          <w:szCs w:val="20"/>
          <w:color w:val="auto"/>
        </w:rPr>
        <w:t xml:space="preserve"> and (ii) any annual bonus that has been earned for the Company’s prior fiscal year, but not yet paid. The foregoing amounts shall be payable in a cash lump-sum, less applicable withholding, to be paid as soon as administratively practicable following the date the Release (defined below) is not subject to revocation and, in any event, within 60 days following the date of the Covered Termination.</w:t>
      </w:r>
    </w:p>
    <w:p>
      <w:pPr>
        <w:spacing w:after="0" w:line="194" w:lineRule="exact"/>
        <w:rPr>
          <w:sz w:val="20"/>
          <w:szCs w:val="20"/>
          <w:color w:val="auto"/>
        </w:rPr>
      </w:pPr>
    </w:p>
    <w:p>
      <w:pPr>
        <w:ind w:firstLine="864"/>
        <w:spacing w:after="0" w:line="260"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i w:val="1"/>
          <w:iCs w:val="1"/>
          <w:color w:val="auto"/>
        </w:rPr>
        <w:t>Continued Healthcare Coverage</w:t>
      </w:r>
      <w:r>
        <w:rPr>
          <w:rFonts w:ascii="Arial" w:cs="Arial" w:eastAsia="Arial" w:hAnsi="Arial"/>
          <w:sz w:val="20"/>
          <w:szCs w:val="20"/>
          <w:color w:val="auto"/>
        </w:rPr>
        <w:t>. If the Participant elects to receive continued healthcare coverage pursuant to the provisions of COBRA, the Company shall continue the Participant’s coverage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directly pay, or reimburse the Participant for, the premium for the Participant and the Participant’s covered dependents through the earlier of</w:t>
      </w:r>
    </w:p>
    <w:p>
      <w:pPr>
        <w:spacing w:after="0" w:line="39" w:lineRule="exact"/>
        <w:rPr>
          <w:sz w:val="20"/>
          <w:szCs w:val="20"/>
          <w:color w:val="auto"/>
        </w:rPr>
      </w:pPr>
    </w:p>
    <w:p>
      <w:pPr>
        <w:jc w:val="both"/>
        <w:ind w:firstLine="8"/>
        <w:spacing w:after="0"/>
        <w:tabs>
          <w:tab w:leader="none" w:pos="251"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number of months following the Participant’s Covered Termination equal to the Participant’s COBRA Severance Period and (ii) the date that the Participant and the Participant’s covered dependents become eligible for coverage under another employer’s plans (the “</w:t>
      </w:r>
      <w:r>
        <w:rPr>
          <w:rFonts w:ascii="Arial" w:cs="Arial" w:eastAsia="Arial" w:hAnsi="Arial"/>
          <w:sz w:val="20"/>
          <w:szCs w:val="20"/>
          <w:b w:val="1"/>
          <w:bCs w:val="1"/>
          <w:i w:val="1"/>
          <w:iCs w:val="1"/>
          <w:color w:val="auto"/>
        </w:rPr>
        <w:t>Continuation Period</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as soon as administratively practicable following the date the Release becomes effective,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Continuation Period that, in lieu of paying or reimbursing the premiums, the Company shall instead provide the Participant with a monthly cash payment equal to the amount the Company would have otherwise paid pursuant to this </w:t>
      </w:r>
      <w:r>
        <w:rPr>
          <w:rFonts w:ascii="Arial" w:cs="Arial" w:eastAsia="Arial" w:hAnsi="Arial"/>
          <w:sz w:val="20"/>
          <w:szCs w:val="20"/>
          <w:u w:val="single" w:color="auto"/>
          <w:color w:val="auto"/>
        </w:rPr>
        <w:t>Section 3.1(b)</w:t>
      </w:r>
      <w:r>
        <w:rPr>
          <w:rFonts w:ascii="Arial" w:cs="Arial" w:eastAsia="Arial" w:hAnsi="Arial"/>
          <w:sz w:val="20"/>
          <w:szCs w:val="20"/>
          <w:color w:val="auto"/>
        </w:rPr>
        <w:t>, less applicable tax withholdings.</w:t>
      </w:r>
    </w:p>
    <w:p>
      <w:pPr>
        <w:spacing w:after="0" w:line="196"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Covered Termination within the Change in Control Period</w:t>
      </w:r>
      <w:r>
        <w:rPr>
          <w:rFonts w:ascii="Arial" w:cs="Arial" w:eastAsia="Arial" w:hAnsi="Arial"/>
          <w:sz w:val="20"/>
          <w:szCs w:val="20"/>
          <w:color w:val="auto"/>
        </w:rPr>
        <w:t xml:space="preserve">. If any Participant experiences a Covered Termination during a Change in Control Period, then in lieu of the payments provided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hereof, the Participant shall be entitled to receive his or her Accrued Benefits and, subject to the requirements of </w:t>
      </w:r>
      <w:r>
        <w:rPr>
          <w:rFonts w:ascii="Arial" w:cs="Arial" w:eastAsia="Arial" w:hAnsi="Arial"/>
          <w:sz w:val="20"/>
          <w:szCs w:val="20"/>
          <w:u w:val="single" w:color="auto"/>
          <w:color w:val="auto"/>
        </w:rPr>
        <w:t>Section 3.3</w:t>
      </w:r>
      <w:r>
        <w:rPr>
          <w:rFonts w:ascii="Arial" w:cs="Arial" w:eastAsia="Arial" w:hAnsi="Arial"/>
          <w:sz w:val="20"/>
          <w:szCs w:val="20"/>
          <w:color w:val="auto"/>
        </w:rPr>
        <w:t>, the following payments and benefits:</w:t>
      </w:r>
    </w:p>
    <w:p>
      <w:pPr>
        <w:spacing w:after="0" w:line="186" w:lineRule="exact"/>
        <w:rPr>
          <w:sz w:val="20"/>
          <w:szCs w:val="20"/>
          <w:color w:val="auto"/>
        </w:rPr>
      </w:pPr>
    </w:p>
    <w:p>
      <w:pPr>
        <w:jc w:val="both"/>
        <w:ind w:firstLine="872"/>
        <w:spacing w:after="0" w:line="257" w:lineRule="auto"/>
        <w:tabs>
          <w:tab w:leader="none" w:pos="1731" w:val="left"/>
        </w:tabs>
        <w:numPr>
          <w:ilvl w:val="0"/>
          <w:numId w:val="70"/>
        </w:numPr>
        <w:rPr>
          <w:rFonts w:ascii="Arial" w:cs="Arial" w:eastAsia="Arial" w:hAnsi="Arial"/>
          <w:sz w:val="19"/>
          <w:szCs w:val="19"/>
          <w:color w:val="auto"/>
        </w:rPr>
      </w:pPr>
      <w:r>
        <w:rPr>
          <w:rFonts w:ascii="Arial" w:cs="Arial" w:eastAsia="Arial" w:hAnsi="Arial"/>
          <w:sz w:val="19"/>
          <w:szCs w:val="19"/>
          <w:i w:val="1"/>
          <w:iCs w:val="1"/>
          <w:color w:val="auto"/>
        </w:rPr>
        <w:t>Cash Severance</w:t>
      </w:r>
      <w:r>
        <w:rPr>
          <w:rFonts w:ascii="Arial" w:cs="Arial" w:eastAsia="Arial" w:hAnsi="Arial"/>
          <w:sz w:val="19"/>
          <w:szCs w:val="19"/>
          <w:color w:val="auto"/>
        </w:rPr>
        <w:t>. An amount equal to the sum of (i) the product of (A) the Participant’s CIC Severance Multiplier</w:t>
      </w:r>
      <w:r>
        <w:rPr>
          <w:rFonts w:ascii="Arial" w:cs="Arial" w:eastAsia="Arial" w:hAnsi="Arial"/>
          <w:sz w:val="19"/>
          <w:szCs w:val="19"/>
          <w:i w:val="1"/>
          <w:iCs w:val="1"/>
          <w:color w:val="auto"/>
        </w:rPr>
        <w:t xml:space="preserve"> multiplied </w:t>
      </w:r>
      <w:r>
        <w:rPr>
          <w:rFonts w:ascii="Arial" w:cs="Arial" w:eastAsia="Arial" w:hAnsi="Arial"/>
          <w:sz w:val="19"/>
          <w:szCs w:val="19"/>
          <w:color w:val="auto"/>
        </w:rPr>
        <w:t>by (B) the Participant’s Base Salary, (ii) any annual bonus that has been earned for the Company’s prior fiscal year, but not yet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paid, and (iii) the product of (A) the Participant’s CIC Bonus Multiplier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(B) the Participant’s target annual cash bonus (assuming achievement of performance goals at 100% of target) for the fiscal year in which the Covered Termination occurs; provided that in clauses (i) and (iii), such amounts shall be calculated at the rate equal to the higher of (x) the rate in effect immediately prior to the Participant’s Covered Termination and (y) the rate in effect immediately prior to the Change in Control. The foregoing amounts shall be payable in a cash lump-sum, less applicable withholdings, as soon as administratively practicable following the date the Release becomes effective and in any event, within 60 days following the date of the Covered Termination.</w:t>
      </w:r>
    </w:p>
    <w:p>
      <w:pPr>
        <w:spacing w:after="0" w:line="180" w:lineRule="exact"/>
        <w:rPr>
          <w:rFonts w:ascii="Arial" w:cs="Arial" w:eastAsia="Arial" w:hAnsi="Arial"/>
          <w:sz w:val="19"/>
          <w:szCs w:val="19"/>
          <w:color w:val="auto"/>
        </w:rPr>
      </w:pPr>
    </w:p>
    <w:p>
      <w:pPr>
        <w:jc w:val="both"/>
        <w:ind w:firstLine="872"/>
        <w:spacing w:after="0" w:line="271" w:lineRule="auto"/>
        <w:tabs>
          <w:tab w:leader="none" w:pos="1742"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Continued Healthcare Coverage</w:t>
      </w:r>
      <w:r>
        <w:rPr>
          <w:rFonts w:ascii="Arial" w:cs="Arial" w:eastAsia="Arial" w:hAnsi="Arial"/>
          <w:sz w:val="18"/>
          <w:szCs w:val="18"/>
          <w:color w:val="auto"/>
        </w:rPr>
        <w:t>. If the Participant elects to receive continued healthcare coverage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COBRA, the Company shall continue a Participant’s benefit plan coverage and directly pay, or reimburse the Participant for, the premium for the Participant and the Participant’s covered dependents through the earlier of (i) the number of months following the Participant’s Covered Termination, equal to the Participant’s CIC COBRA Period and (ii) the date that the Participant and the Participant’s covered dependents become eligible for coverage under another employer’s plans (the “</w:t>
      </w:r>
      <w:r>
        <w:rPr>
          <w:rFonts w:ascii="Arial" w:cs="Arial" w:eastAsia="Arial" w:hAnsi="Arial"/>
          <w:sz w:val="18"/>
          <w:szCs w:val="18"/>
          <w:b w:val="1"/>
          <w:bCs w:val="1"/>
          <w:i w:val="1"/>
          <w:iCs w:val="1"/>
          <w:color w:val="auto"/>
        </w:rPr>
        <w:t>CIC Continuation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as soon as administratively practicable following the date the Release becomes effective, the Company shall pay to the Participant a cash lump-sum payment equal to the monthly premiums that would have been paid on behalf of the Participant had such payments commenced on the date of the Covered Termination. Notwithstanding the foregoing, the Company may elect at any time during the CIC Continuation Period that, in lieu of paying or reimbursing the premiums, the Company shall instead provide the Participant with a monthly cash payment equal to the amount the Company would have otherwise paid pursuant to this </w:t>
      </w:r>
      <w:r>
        <w:rPr>
          <w:rFonts w:ascii="Arial" w:cs="Arial" w:eastAsia="Arial" w:hAnsi="Arial"/>
          <w:sz w:val="18"/>
          <w:szCs w:val="18"/>
          <w:u w:val="single" w:color="auto"/>
          <w:color w:val="auto"/>
        </w:rPr>
        <w:t>Section 3.2(b)</w:t>
      </w:r>
      <w:r>
        <w:rPr>
          <w:rFonts w:ascii="Arial" w:cs="Arial" w:eastAsia="Arial" w:hAnsi="Arial"/>
          <w:sz w:val="18"/>
          <w:szCs w:val="18"/>
          <w:color w:val="auto"/>
        </w:rPr>
        <w:t>, less applicable tax withholdings.</w:t>
      </w:r>
    </w:p>
    <w:p>
      <w:pPr>
        <w:spacing w:after="0" w:line="174"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Equity Awards.</w:t>
      </w:r>
      <w:r>
        <w:rPr>
          <w:rFonts w:ascii="Arial" w:cs="Arial" w:eastAsia="Arial" w:hAnsi="Arial"/>
          <w:sz w:val="18"/>
          <w:szCs w:val="18"/>
          <w:color w:val="auto"/>
        </w:rPr>
        <w:t xml:space="preserve"> Each then-outstanding and unvested Equity Award held by the Participant shall automatically become vested, and if applicable, exercisable and any forfeiture restrictions or rights of repurchase thereon shall lapse, in each case with respect to 100% of the shares underlying his or her outstanding Equity Awards as of the date of the Covered Termination for all Participants;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performance-based vesting criteria shall be treated in accordance with the applicable award agreement or other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equity incentive plan governing the terms of such equity award. Any award that is not assumed or substituted for following a Change in Control shall accelerate in full;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performance-based vesting criteria shall be treated in accordance with the applicable award agreement or other applicable equity incentive plan governing the terms of such equity award.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7" w:name="page178"/>
    <w:bookmarkEnd w:id="177"/>
    <w:p>
      <w:pPr>
        <w:jc w:val="both"/>
        <w:ind w:firstLine="216"/>
        <w:spacing w:after="0" w:line="27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No Participant will be eligible for the severance payment and benefits described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as applicable, unless the Participant has executed a general release of all claims that the Participant may have against the Company (or its successor) or entities or persons affiliated with the Company (or its successor), in the form prescribed and to be provided to the Participant by the Company (or its successor)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such Release becomes effective on or before the 60</w:t>
      </w:r>
      <w:r>
        <w:rPr>
          <w:rFonts w:ascii="Arial" w:cs="Arial" w:eastAsia="Arial" w:hAnsi="Arial"/>
          <w:sz w:val="14"/>
          <w:szCs w:val="14"/>
          <w:color w:val="auto"/>
        </w:rPr>
        <w:t>th</w:t>
      </w:r>
      <w:r>
        <w:rPr>
          <w:rFonts w:ascii="Arial" w:cs="Arial" w:eastAsia="Arial" w:hAnsi="Arial"/>
          <w:sz w:val="18"/>
          <w:szCs w:val="18"/>
          <w:color w:val="auto"/>
        </w:rPr>
        <w:t xml:space="preserve"> day following date of the Covered Termination. If the Participant fails to return the Release on or before such deadline, or if the Participant revokes the Release, then the Participant will not be entitled to any severance payments or benefits described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w:t>
      </w:r>
      <w:r>
        <w:rPr>
          <w:rFonts w:ascii="Arial" w:cs="Arial" w:eastAsia="Arial" w:hAnsi="Arial"/>
          <w:sz w:val="18"/>
          <w:szCs w:val="18"/>
          <w:color w:val="auto"/>
        </w:rPr>
        <w:t>, as applicable.</w:t>
      </w:r>
    </w:p>
    <w:p>
      <w:pPr>
        <w:spacing w:after="0" w:line="165" w:lineRule="exact"/>
        <w:rPr>
          <w:sz w:val="20"/>
          <w:szCs w:val="20"/>
          <w:color w:val="auto"/>
        </w:rPr>
      </w:pPr>
    </w:p>
    <w:p>
      <w:pPr>
        <w:jc w:val="both"/>
        <w:ind w:firstLine="216"/>
        <w:spacing w:after="0" w:line="26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Section 280G; Limitation on Payments</w:t>
      </w:r>
      <w:r>
        <w:rPr>
          <w:rFonts w:ascii="Arial" w:cs="Arial" w:eastAsia="Arial" w:hAnsi="Arial"/>
          <w:sz w:val="18"/>
          <w:szCs w:val="18"/>
          <w:color w:val="auto"/>
        </w:rPr>
        <w:t>. Notwithstanding anything in this Plan to the contrary, if any payment or distribution to a Participant pursuant to this Plan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xml:space="preserve">”), then such Payment shall either be (A) delivered in full or (B) delivered as to such lesser extent as would result in no portion of such Payment being subject to the Excise Tax, whichever of the foregoing amounts, after taking into account the applicable federal, state and local income taxes and the Excise Tax, results in the receipt by the Participant on an after-tax basis of the largest payment, notwithstanding that all or some portion of the Payment may be taxable under Section 4999 of the Code. The accounting firm engaged by the Company for general audit purposes as of the date prior to the effective date of the Change in Control, or such other person or entity as determined in good faith by the Company, shall perform the foregoing calculations and the Company shall bear all expenses with respect to the determinations by such accounting firm required to be made hereunder. Any good faith determinations of the accounting firm made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shall be final, binding and conclusive upon all parties. Any reduction in payments and/or benefits pursuant to the foregoing shall be made in accordance with Section 409A of the Code in the following order (1) Payments that do not constitute “nonqualified compensation” subject to Section 409A of the Code shall be reduced first; and (2) all other Payments shall then be reduced as follows: (a) reduction of cash payments;</w:t>
      </w:r>
    </w:p>
    <w:p>
      <w:pPr>
        <w:spacing w:after="0" w:line="6" w:lineRule="exact"/>
        <w:rPr>
          <w:sz w:val="20"/>
          <w:szCs w:val="20"/>
          <w:color w:val="auto"/>
        </w:rPr>
      </w:pPr>
    </w:p>
    <w:p>
      <w:pPr>
        <w:ind w:firstLine="8"/>
        <w:spacing w:after="0" w:line="244" w:lineRule="auto"/>
        <w:tabs>
          <w:tab w:leader="none" w:pos="309" w:val="left"/>
        </w:tabs>
        <w:numPr>
          <w:ilvl w:val="0"/>
          <w:numId w:val="71"/>
        </w:numPr>
        <w:rPr>
          <w:rFonts w:ascii="Arial" w:cs="Arial" w:eastAsia="Arial" w:hAnsi="Arial"/>
          <w:sz w:val="20"/>
          <w:szCs w:val="20"/>
          <w:color w:val="auto"/>
        </w:rPr>
      </w:pPr>
      <w:r>
        <w:rPr>
          <w:rFonts w:ascii="Arial" w:cs="Arial" w:eastAsia="Arial" w:hAnsi="Arial"/>
          <w:sz w:val="20"/>
          <w:szCs w:val="20"/>
          <w:color w:val="auto"/>
        </w:rPr>
        <w:t>cancellation of accelerated vesting of equity awards other than stock options, if any; (c) cancellation of accelerated vesting of stock options, and (d) reduction of other benefits payable to the Participant.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200"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Administration; Duties and Powers of the Committee</w:t>
      </w:r>
      <w:r>
        <w:rPr>
          <w:rFonts w:ascii="Arial" w:cs="Arial" w:eastAsia="Arial" w:hAnsi="Arial"/>
          <w:sz w:val="20"/>
          <w:szCs w:val="20"/>
          <w:color w:val="auto"/>
        </w:rPr>
        <w:t>. The Compensation Committee of the Board (the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have the duties, power and authority to conduct the general administration of the Plan in accordance with its provisions and shall have the power to:</w:t>
      </w:r>
    </w:p>
    <w:p>
      <w:pPr>
        <w:spacing w:after="0" w:line="186" w:lineRule="exact"/>
        <w:rPr>
          <w:sz w:val="20"/>
          <w:szCs w:val="20"/>
          <w:color w:val="auto"/>
        </w:rPr>
      </w:pPr>
    </w:p>
    <w:p>
      <w:pPr>
        <w:ind w:firstLine="872"/>
        <w:spacing w:after="0" w:line="260" w:lineRule="auto"/>
        <w:tabs>
          <w:tab w:leader="none" w:pos="1731" w:val="left"/>
        </w:tabs>
        <w:numPr>
          <w:ilvl w:val="0"/>
          <w:numId w:val="72"/>
        </w:numPr>
        <w:rPr>
          <w:rFonts w:ascii="Arial" w:cs="Arial" w:eastAsia="Arial" w:hAnsi="Arial"/>
          <w:sz w:val="20"/>
          <w:szCs w:val="20"/>
          <w:color w:val="auto"/>
        </w:rPr>
      </w:pPr>
      <w:r>
        <w:rPr>
          <w:rFonts w:ascii="Arial" w:cs="Arial" w:eastAsia="Arial" w:hAnsi="Arial"/>
          <w:sz w:val="20"/>
          <w:szCs w:val="20"/>
          <w:color w:val="auto"/>
        </w:rPr>
        <w:t>determine which Eligible Employee shall be selected as Participants, including non-executive Eligible Employees, and the tiers at which any such Eligible Employees shall participate;</w:t>
      </w:r>
    </w:p>
    <w:p>
      <w:pPr>
        <w:spacing w:after="0" w:line="176" w:lineRule="exact"/>
        <w:rPr>
          <w:rFonts w:ascii="Arial" w:cs="Arial" w:eastAsia="Arial" w:hAnsi="Arial"/>
          <w:sz w:val="20"/>
          <w:szCs w:val="20"/>
          <w:color w:val="auto"/>
        </w:rPr>
      </w:pPr>
    </w:p>
    <w:p>
      <w:pPr>
        <w:ind w:right="20" w:firstLine="872"/>
        <w:spacing w:after="0" w:line="260" w:lineRule="auto"/>
        <w:tabs>
          <w:tab w:leader="none" w:pos="1742" w:val="left"/>
        </w:tabs>
        <w:numPr>
          <w:ilvl w:val="0"/>
          <w:numId w:val="72"/>
        </w:numPr>
        <w:rPr>
          <w:rFonts w:ascii="Arial" w:cs="Arial" w:eastAsia="Arial" w:hAnsi="Arial"/>
          <w:sz w:val="20"/>
          <w:szCs w:val="20"/>
          <w:color w:val="auto"/>
        </w:rPr>
      </w:pPr>
      <w:r>
        <w:rPr>
          <w:rFonts w:ascii="Arial" w:cs="Arial" w:eastAsia="Arial" w:hAnsi="Arial"/>
          <w:sz w:val="20"/>
          <w:szCs w:val="20"/>
          <w:color w:val="auto"/>
        </w:rPr>
        <w:t>make any determinations concerning the Plan, including whether any individual is an Eligible Employee or Participant and whether a Covered Termination or other termination of service has occurred;</w:t>
      </w:r>
    </w:p>
    <w:p>
      <w:pPr>
        <w:spacing w:after="0" w:line="176" w:lineRule="exact"/>
        <w:rPr>
          <w:rFonts w:ascii="Arial" w:cs="Arial" w:eastAsia="Arial" w:hAnsi="Arial"/>
          <w:sz w:val="20"/>
          <w:szCs w:val="20"/>
          <w:color w:val="auto"/>
        </w:rPr>
      </w:pPr>
    </w:p>
    <w:p>
      <w:pPr>
        <w:ind w:firstLine="872"/>
        <w:spacing w:after="0" w:line="260" w:lineRule="auto"/>
        <w:tabs>
          <w:tab w:leader="none" w:pos="1731" w:val="left"/>
        </w:tabs>
        <w:numPr>
          <w:ilvl w:val="0"/>
          <w:numId w:val="72"/>
        </w:numPr>
        <w:rPr>
          <w:rFonts w:ascii="Arial" w:cs="Arial" w:eastAsia="Arial" w:hAnsi="Arial"/>
          <w:sz w:val="20"/>
          <w:szCs w:val="20"/>
          <w:color w:val="auto"/>
        </w:rPr>
      </w:pPr>
      <w:r>
        <w:rPr>
          <w:rFonts w:ascii="Arial" w:cs="Arial" w:eastAsia="Arial" w:hAnsi="Arial"/>
          <w:sz w:val="20"/>
          <w:szCs w:val="20"/>
          <w:color w:val="auto"/>
        </w:rPr>
        <w:t>construe and interpret this Plan, any Participation Agreement and any other agreement or document executed pursuant to this Plan, and modify any Participation Agreement as it shall deem necessary;</w:t>
      </w:r>
    </w:p>
    <w:p>
      <w:pPr>
        <w:spacing w:after="0" w:line="176" w:lineRule="exact"/>
        <w:rPr>
          <w:rFonts w:ascii="Arial" w:cs="Arial" w:eastAsia="Arial" w:hAnsi="Arial"/>
          <w:sz w:val="20"/>
          <w:szCs w:val="20"/>
          <w:color w:val="auto"/>
        </w:rPr>
      </w:pPr>
    </w:p>
    <w:p>
      <w:pPr>
        <w:ind w:right="20" w:firstLine="872"/>
        <w:spacing w:after="0" w:line="260" w:lineRule="auto"/>
        <w:tabs>
          <w:tab w:leader="none" w:pos="1742" w:val="left"/>
        </w:tabs>
        <w:numPr>
          <w:ilvl w:val="0"/>
          <w:numId w:val="72"/>
        </w:numPr>
        <w:rPr>
          <w:rFonts w:ascii="Arial" w:cs="Arial" w:eastAsia="Arial" w:hAnsi="Arial"/>
          <w:sz w:val="20"/>
          <w:szCs w:val="20"/>
          <w:color w:val="auto"/>
        </w:rPr>
      </w:pPr>
      <w:r>
        <w:rPr>
          <w:rFonts w:ascii="Arial" w:cs="Arial" w:eastAsia="Arial" w:hAnsi="Arial"/>
          <w:sz w:val="20"/>
          <w:szCs w:val="20"/>
          <w:color w:val="auto"/>
        </w:rPr>
        <w:t>subject to any limitations under the Plan or applicable laws, prescribe, amend and rescind rules and regulations as it shall deem necessary for the efficient administration of the Plan;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8" w:name="page179"/>
    <w:bookmarkEnd w:id="178"/>
    <w:p>
      <w:pPr>
        <w:ind w:firstLine="872"/>
        <w:spacing w:after="0" w:line="260" w:lineRule="auto"/>
        <w:tabs>
          <w:tab w:leader="none" w:pos="1731" w:val="left"/>
        </w:tabs>
        <w:numPr>
          <w:ilvl w:val="0"/>
          <w:numId w:val="73"/>
        </w:numPr>
        <w:rPr>
          <w:rFonts w:ascii="Arial" w:cs="Arial" w:eastAsia="Arial" w:hAnsi="Arial"/>
          <w:sz w:val="20"/>
          <w:szCs w:val="20"/>
          <w:color w:val="auto"/>
        </w:rPr>
      </w:pPr>
      <w:r>
        <w:rPr>
          <w:rFonts w:ascii="Arial" w:cs="Arial" w:eastAsia="Arial" w:hAnsi="Arial"/>
          <w:sz w:val="20"/>
          <w:szCs w:val="20"/>
          <w:color w:val="auto"/>
        </w:rPr>
        <w:t>make all other decisions and determinations (including factual determinations) as the Board may deem necessary or advisable in carrying out its duties and responsibilities or exercising its powers.</w:t>
      </w:r>
    </w:p>
    <w:p>
      <w:pPr>
        <w:spacing w:after="0" w:line="177"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Delegation of Authority</w:t>
      </w:r>
      <w:r>
        <w:rPr>
          <w:rFonts w:ascii="Arial" w:cs="Arial" w:eastAsia="Arial" w:hAnsi="Arial"/>
          <w:sz w:val="19"/>
          <w:szCs w:val="19"/>
          <w:color w:val="auto"/>
        </w:rPr>
        <w:t xml:space="preserve">. The Committee may from time to time delegate to a committee of one or more members of the Committee the authority to take any actions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Any delegation hereunder shall be subject to the restrictions and limits that the Committee specifies at the time of such delegation, and the Committee may, at any time rescind the authority so delegated or appoint a new delegate. In its sole discretion, the Board may, at any time and from time to time, exercise any and all rights and duties of the Committee under the Plan except with respect to matters which under applicable securities laws and exchange listing rules are required to be determined in the sole discretion of the Committee. Any references in this Plan to the Committee shall be construed as a reference to the committee to which the Committee has delegated such authority, if any.</w:t>
      </w:r>
    </w:p>
    <w:p>
      <w:pPr>
        <w:spacing w:after="0" w:line="185"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Decisions Binding</w:t>
      </w:r>
      <w:r>
        <w:rPr>
          <w:rFonts w:ascii="Arial" w:cs="Arial" w:eastAsia="Arial" w:hAnsi="Arial"/>
          <w:sz w:val="20"/>
          <w:szCs w:val="20"/>
          <w:color w:val="auto"/>
        </w:rPr>
        <w:t>. Any determination made by the Committee with respect to this Plan or any Participation Agreement shall be final, binding and conclusive on all parties.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AMENDMENT; TERMINATION</w:t>
      </w:r>
    </w:p>
    <w:p>
      <w:pPr>
        <w:spacing w:after="0" w:line="20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color w:val="auto"/>
        </w:rPr>
        <w:t>The initial term of this Plan shall be for a period commencing on the Effective Date and ending on the third anniversary of the Effective Date, and shall thereafter automatically renew for successive three-year periods, unless earlier terminated in accordance with this section. The Plan may otherwise be amended, modified, suspended or earlier terminated by the Committee, in its sole discretion. Notwithstanding anything herein to the contrary, in no event shall any amendment, modification, suspension or termination adversely affect the rights of any Participant who is then receiving or entitled to receive payments or benefits under the Plan, without the prior written consent of such Participant.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200" w:lineRule="exact"/>
        <w:rPr>
          <w:sz w:val="20"/>
          <w:szCs w:val="20"/>
          <w:color w:val="auto"/>
        </w:rPr>
      </w:pPr>
    </w:p>
    <w:p>
      <w:pPr>
        <w:jc w:val="both"/>
        <w:ind w:firstLine="216"/>
        <w:spacing w:after="0" w:line="243"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Non-Solicitation</w:t>
      </w:r>
      <w:r>
        <w:rPr>
          <w:rFonts w:ascii="Arial" w:cs="Arial" w:eastAsia="Arial" w:hAnsi="Arial"/>
          <w:sz w:val="20"/>
          <w:szCs w:val="20"/>
          <w:color w:val="auto"/>
        </w:rPr>
        <w:t>. As a condition of participation in this Plan, each Participant shall have agreed, in addition to any non-solicitation obligation in existence in any other agreement with the Company (including any offer letter, employment agreement or proprietary information or confidentiality agreement), that during the 12-month period following the Participant’s termination of service with the Company for any reason, the Participant shall not in any capacity, whether directly or indirectly, solicit or attempt to solicit away from the Company any of its officers or employees; provided, however, that a general advertisement to which an employee of the Company responds shall in no event be deemed to result in a breach of this Section 6.1.</w:t>
      </w:r>
    </w:p>
    <w:p>
      <w:pPr>
        <w:spacing w:after="0" w:line="196" w:lineRule="exact"/>
        <w:rPr>
          <w:sz w:val="20"/>
          <w:szCs w:val="20"/>
          <w:color w:val="auto"/>
        </w:rPr>
      </w:pPr>
    </w:p>
    <w:p>
      <w:pPr>
        <w:jc w:val="both"/>
        <w:ind w:firstLine="216"/>
        <w:spacing w:after="0" w:line="243"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Cooperation and Non-Disparagement</w:t>
      </w:r>
      <w:r>
        <w:rPr>
          <w:rFonts w:ascii="Arial" w:cs="Arial" w:eastAsia="Arial" w:hAnsi="Arial"/>
          <w:sz w:val="20"/>
          <w:szCs w:val="20"/>
          <w:color w:val="auto"/>
        </w:rPr>
        <w:t>. For the period commencing on the effective date of his or her Covered Termination and ending on the one-year anniversary of such date, each Participant shall cooperate with the Company and use his or her best efforts to assist the Company with the transition of his or duties to a successor. The Participant shall further agree to not to disparage, criticize or defame the Company, its affiliates and their respective affiliates, directors, officers, agents, partners, stockholders or employees at any time during or following his or her termination of service. Nothing in this Section 6.2 shall have application to any evidence or testimony required by any court, arbitrator or government agency.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auto"/>
        </w:rPr>
        <w:t>SECTION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SUCCESSORS; ASSIGNMENT</w:t>
      </w:r>
    </w:p>
    <w:p>
      <w:pPr>
        <w:spacing w:after="0" w:line="200" w:lineRule="exact"/>
        <w:rPr>
          <w:sz w:val="20"/>
          <w:szCs w:val="20"/>
          <w:color w:val="auto"/>
        </w:rPr>
      </w:pPr>
    </w:p>
    <w:p>
      <w:pPr>
        <w:jc w:val="both"/>
        <w:ind w:firstLine="224"/>
        <w:spacing w:after="0" w:line="246"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Successors</w:t>
      </w:r>
      <w:r>
        <w:rPr>
          <w:rFonts w:ascii="Arial" w:cs="Arial" w:eastAsia="Arial" w:hAnsi="Arial"/>
          <w:sz w:val="20"/>
          <w:szCs w:val="20"/>
          <w:color w:val="auto"/>
        </w:rPr>
        <w:t>. The Company shall require any successor (whether pursuant to a Change in Control, direct or indirect, and whether by purchase, merger, consolidation, liquidation or otherwise) to all or substantially all of the business and/or assets of the Company to expressly assume and agree to perform the obligations under this Plan in the same manner and to the same extent as the Company would be required to perform in the absence of such a succession of the Company.</w:t>
      </w:r>
    </w:p>
    <w:p>
      <w:pPr>
        <w:spacing w:after="0" w:line="191" w:lineRule="exact"/>
        <w:rPr>
          <w:sz w:val="20"/>
          <w:szCs w:val="20"/>
          <w:color w:val="auto"/>
        </w:rPr>
      </w:pPr>
    </w:p>
    <w:p>
      <w:pPr>
        <w:jc w:val="both"/>
        <w:ind w:firstLine="216"/>
        <w:spacing w:after="0" w:line="243"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Assignment by Participants</w:t>
      </w:r>
      <w:r>
        <w:rPr>
          <w:rFonts w:ascii="Arial" w:cs="Arial" w:eastAsia="Arial" w:hAnsi="Arial"/>
          <w:sz w:val="20"/>
          <w:szCs w:val="20"/>
          <w:color w:val="auto"/>
        </w:rPr>
        <w:t xml:space="preserve">. This Plan and the rights of each Participant hereunder shall inure to the benefit of, and be enforceable by, each Participant and the Company, and their respective successors, assigns, heirs, executors and administrators;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Participant may not assign any of his or her duties hereunder and may not assign any of his or her rights hereunder without the express written consent of the Company. If a Participant should die while any amount would still be payable to the Participant hereunder had the Participant continued to live, all such amounts, unless otherwise provided herein, shall be paid in accordance with the terms of Plan to the Participant’s estate.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 PROVISIONS</w:t>
      </w:r>
    </w:p>
    <w:p>
      <w:pPr>
        <w:spacing w:after="0" w:line="200"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16" w:lineRule="exact"/>
        <w:rPr>
          <w:sz w:val="20"/>
          <w:szCs w:val="20"/>
          <w:color w:val="auto"/>
        </w:rPr>
      </w:pPr>
    </w:p>
    <w:p>
      <w:pPr>
        <w:jc w:val="both"/>
        <w:ind w:firstLine="872"/>
        <w:spacing w:after="0" w:line="310" w:lineRule="auto"/>
        <w:tabs>
          <w:tab w:leader="none" w:pos="1731"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Separation from Service; Installments. </w:t>
      </w:r>
      <w:r>
        <w:rPr>
          <w:rFonts w:ascii="Arial" w:cs="Arial" w:eastAsia="Arial" w:hAnsi="Arial"/>
          <w:sz w:val="16"/>
          <w:szCs w:val="16"/>
          <w:color w:val="auto"/>
        </w:rPr>
        <w:t>For purposes of this Plan, no payment will be made to any Participant upon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the Participant’s employment unless such termination constitutes a “separation from service” within the meaning of Section 409A of the Code. It is intended that the right of any Participant to receive installment payments pursuant to this Plan shall be treated as a right to receive a series of separate and distinct payments for purposes of Section 409A of the Code. It is further intended that all payments and benefits hereunder satisfy, to the greatest extent possible, the exemption from the application of Section 409A of the Code (and any state law of similar effect) provided under Treasury Regulation Section 1.409A-1(b)(4) (as a “short-term deferral”) and are otherwise exempt from or comply with Section 409A of the Code. Accordingly, to the maximum extent permitted, this Plan shall be interpreted in accordance with that intent. To the extent necessary to comply with Section 409A of the Code, if the designated payment period for any payment under this Plan begins in one taxable year and ends in the next taxable year, the payment will commence or otherwise be made in the later taxable year.</w:t>
      </w:r>
    </w:p>
    <w:p>
      <w:pPr>
        <w:spacing w:after="0" w:line="142" w:lineRule="exact"/>
        <w:rPr>
          <w:rFonts w:ascii="Arial" w:cs="Arial" w:eastAsia="Arial" w:hAnsi="Arial"/>
          <w:sz w:val="16"/>
          <w:szCs w:val="16"/>
          <w:color w:val="auto"/>
        </w:rPr>
      </w:pPr>
    </w:p>
    <w:p>
      <w:pPr>
        <w:jc w:val="both"/>
        <w:ind w:firstLine="872"/>
        <w:spacing w:after="0" w:line="257" w:lineRule="auto"/>
        <w:tabs>
          <w:tab w:leader="none" w:pos="1742" w:val="left"/>
        </w:tabs>
        <w:numPr>
          <w:ilvl w:val="0"/>
          <w:numId w:val="74"/>
        </w:numPr>
        <w:rPr>
          <w:rFonts w:ascii="Arial" w:cs="Arial" w:eastAsia="Arial" w:hAnsi="Arial"/>
          <w:sz w:val="19"/>
          <w:szCs w:val="19"/>
          <w:color w:val="auto"/>
        </w:rPr>
      </w:pPr>
      <w:r>
        <w:rPr>
          <w:rFonts w:ascii="Arial" w:cs="Arial" w:eastAsia="Arial" w:hAnsi="Arial"/>
          <w:sz w:val="19"/>
          <w:szCs w:val="19"/>
          <w:i w:val="1"/>
          <w:iCs w:val="1"/>
          <w:color w:val="auto"/>
        </w:rPr>
        <w:t xml:space="preserve">Specified Employee. </w:t>
      </w:r>
      <w:r>
        <w:rPr>
          <w:rFonts w:ascii="Arial" w:cs="Arial" w:eastAsia="Arial" w:hAnsi="Arial"/>
          <w:sz w:val="19"/>
          <w:szCs w:val="19"/>
          <w:color w:val="auto"/>
        </w:rPr>
        <w:t>For purposes of Section 409A of the Code, if the Company determines that a Participant is a</w:t>
      </w:r>
      <w:r>
        <w:rPr>
          <w:rFonts w:ascii="Arial" w:cs="Arial" w:eastAsia="Arial" w:hAnsi="Arial"/>
          <w:sz w:val="19"/>
          <w:szCs w:val="19"/>
          <w:i w:val="1"/>
          <w:iCs w:val="1"/>
          <w:color w:val="auto"/>
        </w:rPr>
        <w:t xml:space="preserve"> </w:t>
      </w:r>
      <w:r>
        <w:rPr>
          <w:rFonts w:ascii="Arial" w:cs="Arial" w:eastAsia="Arial" w:hAnsi="Arial"/>
          <w:sz w:val="19"/>
          <w:szCs w:val="19"/>
          <w:color w:val="auto"/>
        </w:rPr>
        <w:t>“specified employee” under Section 409A(a)(2)(B)(i) of the Code at the time of his or her separation from service, then to the extent delayed commencement of any portion of the payments or benefits to which the Participant is entitled pursuant to this Plan is required in order to avoid a prohibited distribution under Section 409A(a)(2)(B)(i) of the Code, such portion shall not be provided to the Participant until the earlier (i) the expiration of the six-month period measured from the Participant’s separation from service or (ii) the date of the Participant’s death. As soon as administratively practicable following the expiration of the applicable Section 409A(2)(B)(i) period, all payments deferred pursuant to the preceding sentence shall paid in a lump-sum to the Participant and any remaining payments due pursuant to the Plan shall be paid as otherwise provided herein.</w:t>
      </w:r>
    </w:p>
    <w:p>
      <w:pPr>
        <w:spacing w:after="0" w:line="180" w:lineRule="exact"/>
        <w:rPr>
          <w:sz w:val="20"/>
          <w:szCs w:val="20"/>
          <w:color w:val="auto"/>
        </w:rPr>
      </w:pPr>
    </w:p>
    <w:p>
      <w:pPr>
        <w:ind w:firstLine="224"/>
        <w:spacing w:after="0" w:line="26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Withholding Taxes</w:t>
      </w:r>
      <w:r>
        <w:rPr>
          <w:rFonts w:ascii="Arial" w:cs="Arial" w:eastAsia="Arial" w:hAnsi="Arial"/>
          <w:sz w:val="20"/>
          <w:szCs w:val="20"/>
          <w:color w:val="auto"/>
        </w:rPr>
        <w:t>. All payments made under this Plan shall be subject to reduction to reflect such federal, state, local foreign or other taxes or charges as are required to be withheld pursuant to any applicable law or regulation.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0" w:name="page181"/>
    <w:bookmarkEnd w:id="180"/>
    <w:p>
      <w:pPr>
        <w:jc w:val="both"/>
        <w:ind w:firstLine="224"/>
        <w:spacing w:after="0" w:line="246"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Source of Payments</w:t>
      </w:r>
      <w:r>
        <w:rPr>
          <w:rFonts w:ascii="Arial" w:cs="Arial" w:eastAsia="Arial" w:hAnsi="Arial"/>
          <w:sz w:val="20"/>
          <w:szCs w:val="20"/>
          <w:color w:val="auto"/>
        </w:rPr>
        <w:t>. All payments provided under this Plan shall be paid in cash from the general funds of the Company, and no special or separate fund or other segregation of assets shall be required to be made to assure payment. To the extent that any person acquires a right to receive payments from the Company under this Plan, such right shall be no greater than the right of an unsecured creditor of the Company.</w:t>
      </w:r>
    </w:p>
    <w:p>
      <w:pPr>
        <w:spacing w:after="0" w:line="191" w:lineRule="exact"/>
        <w:rPr>
          <w:sz w:val="20"/>
          <w:szCs w:val="20"/>
          <w:color w:val="auto"/>
        </w:rPr>
      </w:pPr>
    </w:p>
    <w:p>
      <w:pPr>
        <w:jc w:val="both"/>
        <w:ind w:firstLine="216"/>
        <w:spacing w:after="0" w:line="27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To ensure efficient and economical resolution of any and all disputes that might arise in connection with this Plan, all such disputes shall be settled by arbitration conducted before one arbitrator sitting in the State of California, or such other location agreed by the parties hereto, in accordance with the rules for expedited resolution of employment disputes of the American Arbitration Association then in effect. The arbitrator shall issue a written decision that contains the essential findings and conclusions on which the decision is based and such determination shall be final and binding on the parties. The Company shall pay the arbitrator’s fees and arbitration expenses and any other costs associated with the arbitration or arbitration hearing that are unique to arbitration;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Participant may voluntarily pay up to one-half of the costs and fees, or if the Company is successful in any legal or equitable action against the Participant, the Company shall be entitled to seek reimbursement from the Participant of up to one-half of the arbitration fees.</w:t>
      </w:r>
    </w:p>
    <w:p>
      <w:pPr>
        <w:spacing w:after="0" w:line="168" w:lineRule="exact"/>
        <w:rPr>
          <w:sz w:val="20"/>
          <w:szCs w:val="20"/>
          <w:color w:val="auto"/>
        </w:rPr>
      </w:pPr>
    </w:p>
    <w:p>
      <w:pPr>
        <w:jc w:val="both"/>
        <w:ind w:firstLine="216"/>
        <w:spacing w:after="0" w:line="243"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Notice</w:t>
      </w:r>
      <w:r>
        <w:rPr>
          <w:rFonts w:ascii="Arial" w:cs="Arial" w:eastAsia="Arial" w:hAnsi="Arial"/>
          <w:sz w:val="20"/>
          <w:szCs w:val="20"/>
          <w:color w:val="auto"/>
        </w:rPr>
        <w:t>. Notices and all other communications contemplated by this Plan shall be in writing and shall be deemed to have been duly given when personally delivered or when mailed by United States Post Office, by registered or certified mail, postage prepaid, addressed to the other party. In the case of the Company, mailed notices shall be addressed to its corporate headquarters and directed to the attention of Chief Executive Officer (and in the case of any communication from the Chief Executive Officer to the Company, the Chief Executive Officer will direct it to the Board). In the case of any Participant, mailed notices shall be addressed to the Participant at the Participant’s home address that the Company has on file for the Participant.</w:t>
      </w:r>
    </w:p>
    <w:p>
      <w:pPr>
        <w:spacing w:after="0" w:line="196" w:lineRule="exact"/>
        <w:rPr>
          <w:sz w:val="20"/>
          <w:szCs w:val="20"/>
          <w:color w:val="auto"/>
        </w:rPr>
      </w:pPr>
    </w:p>
    <w:p>
      <w:pPr>
        <w:jc w:val="both"/>
        <w:ind w:right="20" w:firstLine="216"/>
        <w:spacing w:after="0" w:line="260"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or provisions of this Plan shall not affect the validity or enforceability of any other provision hereof, which shall remain in full force and effect.</w:t>
      </w:r>
    </w:p>
    <w:p>
      <w:pPr>
        <w:spacing w:after="0" w:line="177"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At-Will Employment</w:t>
      </w:r>
      <w:r>
        <w:rPr>
          <w:rFonts w:ascii="Arial" w:cs="Arial" w:eastAsia="Arial" w:hAnsi="Arial"/>
          <w:sz w:val="20"/>
          <w:szCs w:val="20"/>
          <w:color w:val="auto"/>
        </w:rPr>
        <w:t>. Nothing in this Plan or any Participation Agreement shall confer upon any Participant any right to employment or continuation of employment. The Company and each Participant shall each have reserved the right terminate employment of the Participant at any time and for any reason, with or without cause or prior notice.</w:t>
      </w:r>
    </w:p>
    <w:p>
      <w:pPr>
        <w:spacing w:after="0" w:line="186"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Choice of Law</w:t>
      </w:r>
      <w:r>
        <w:rPr>
          <w:rFonts w:ascii="Arial" w:cs="Arial" w:eastAsia="Arial" w:hAnsi="Arial"/>
          <w:sz w:val="20"/>
          <w:szCs w:val="20"/>
          <w:color w:val="auto"/>
        </w:rPr>
        <w:t>. The validity, interpretation, construction and performance of this Plan shall be governed by the laws of the State of California (without regard to choice-of-law provisions).</w:t>
      </w:r>
    </w:p>
    <w:p>
      <w:pPr>
        <w:spacing w:after="0" w:line="177" w:lineRule="exact"/>
        <w:rPr>
          <w:sz w:val="20"/>
          <w:szCs w:val="20"/>
          <w:color w:val="auto"/>
        </w:rPr>
      </w:pPr>
    </w:p>
    <w:p>
      <w:pPr>
        <w:jc w:val="both"/>
        <w:ind w:firstLine="216"/>
        <w:spacing w:after="0" w:line="250"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Waiver</w:t>
      </w:r>
      <w:r>
        <w:rPr>
          <w:rFonts w:ascii="Arial" w:cs="Arial" w:eastAsia="Arial" w:hAnsi="Arial"/>
          <w:sz w:val="20"/>
          <w:szCs w:val="20"/>
          <w:color w:val="auto"/>
        </w:rPr>
        <w:t>. No waiver by the Board or any Participant at any time of any breach by the other party of, or compliance with, any condition or provision of this Plan to be performed by such other party shall be deemed a waiver of any other provision at that time, or of the same or any other provision at any prior or subsequent time.</w:t>
      </w:r>
    </w:p>
    <w:p>
      <w:pPr>
        <w:spacing w:after="0" w:line="186" w:lineRule="exact"/>
        <w:rPr>
          <w:sz w:val="20"/>
          <w:szCs w:val="20"/>
          <w:color w:val="auto"/>
        </w:rPr>
      </w:pPr>
    </w:p>
    <w:p>
      <w:pPr>
        <w:jc w:val="both"/>
        <w:ind w:firstLine="216"/>
        <w:spacing w:after="0" w:line="243"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Plan, together with any Participation Agreement, (if execution and delivery of such is required by the Board or Committee), shall constitute the entire agreement between the Company and each Participant with regard to cash payments, benefits or equity acceleration in connection with a termination of employment or a Change in Control. All understandings and agreements preceding the date of execution of a Participant’s Participation Agreement or, if execution and delivery of a Participation Agreement was not required by the Board, the effective date of Participant’s enrollment in this Plan, as they apply to any subject matter other than cash payments, benefits and equity acceleration in connection with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1" w:name="page182"/>
    <w:bookmarkEnd w:id="181"/>
    <w:p>
      <w:pPr>
        <w:jc w:val="both"/>
        <w:spacing w:after="0" w:line="269" w:lineRule="auto"/>
        <w:rPr>
          <w:sz w:val="20"/>
          <w:szCs w:val="20"/>
          <w:color w:val="auto"/>
        </w:rPr>
      </w:pPr>
      <w:r>
        <w:rPr>
          <w:rFonts w:ascii="Arial" w:cs="Arial" w:eastAsia="Arial" w:hAnsi="Arial"/>
          <w:sz w:val="19"/>
          <w:szCs w:val="19"/>
          <w:color w:val="auto"/>
        </w:rPr>
        <w:t>a termination of employment or a Change in Control shall not be superseded and shall remain fully in effect. All prior understandings and agreements with respect to cash payments, benefits and equity acceleration in connection with a termination of employment or a Change in Control shall be superseded by this Plan and the Participation Agreement, as applicable.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Capitalized terms not otherwise defined in the Plan shall have the meanings set forth below:</w:t>
      </w:r>
    </w:p>
    <w:p>
      <w:pPr>
        <w:spacing w:after="0" w:line="216" w:lineRule="exact"/>
        <w:rPr>
          <w:sz w:val="20"/>
          <w:szCs w:val="20"/>
          <w:color w:val="auto"/>
        </w:rPr>
      </w:pPr>
    </w:p>
    <w:p>
      <w:pPr>
        <w:jc w:val="both"/>
        <w:ind w:firstLine="216"/>
        <w:spacing w:after="0" w:line="246" w:lineRule="auto"/>
        <w:rPr>
          <w:sz w:val="20"/>
          <w:szCs w:val="20"/>
          <w:color w:val="auto"/>
        </w:rPr>
      </w:pPr>
      <w:r>
        <w:rPr>
          <w:rFonts w:ascii="Arial" w:cs="Arial" w:eastAsia="Arial" w:hAnsi="Arial"/>
          <w:sz w:val="20"/>
          <w:szCs w:val="20"/>
          <w:color w:val="auto"/>
        </w:rPr>
        <w:t>9.1 “</w:t>
      </w:r>
      <w:r>
        <w:rPr>
          <w:rFonts w:ascii="Arial" w:cs="Arial" w:eastAsia="Arial" w:hAnsi="Arial"/>
          <w:sz w:val="20"/>
          <w:szCs w:val="20"/>
          <w:b w:val="1"/>
          <w:bCs w:val="1"/>
          <w:i w:val="1"/>
          <w:iCs w:val="1"/>
          <w:color w:val="auto"/>
        </w:rPr>
        <w:t>Accrued Benefits</w:t>
      </w:r>
      <w:r>
        <w:rPr>
          <w:rFonts w:ascii="Arial" w:cs="Arial" w:eastAsia="Arial" w:hAnsi="Arial"/>
          <w:sz w:val="20"/>
          <w:szCs w:val="20"/>
          <w:color w:val="auto"/>
        </w:rPr>
        <w:t>” means the Participant’s accrued but unpaid base salary or wages, accrued vacation pay (if applicable), unreimbursed business expenses for which proper documentation is provided, and other vested amounts and benefits earned by (but not yet paid to) or owed to the Participant under any applicable employee benefit plan of the Company through and including the date of the Covered Termination.</w:t>
      </w:r>
    </w:p>
    <w:p>
      <w:pPr>
        <w:spacing w:after="0" w:line="191"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means the Participant’s annual base salary in effect on the date of the Participant’s Covered Termination.</w:t>
      </w:r>
    </w:p>
    <w:p>
      <w:pPr>
        <w:spacing w:after="0" w:line="216"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6" w:lineRule="exact"/>
        <w:rPr>
          <w:sz w:val="20"/>
          <w:szCs w:val="20"/>
          <w:color w:val="auto"/>
        </w:rPr>
      </w:pPr>
    </w:p>
    <w:p>
      <w:pPr>
        <w:jc w:val="both"/>
        <w:ind w:firstLine="216"/>
        <w:spacing w:after="0" w:line="272" w:lineRule="auto"/>
        <w:rPr>
          <w:sz w:val="20"/>
          <w:szCs w:val="20"/>
          <w:color w:val="auto"/>
        </w:rPr>
      </w:pPr>
      <w:r>
        <w:rPr>
          <w:rFonts w:ascii="Arial" w:cs="Arial" w:eastAsia="Arial" w:hAnsi="Arial"/>
          <w:sz w:val="18"/>
          <w:szCs w:val="18"/>
          <w:color w:val="auto"/>
        </w:rPr>
        <w:t>9.4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the Participant (i) has been convicted of, or has pleaded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felony or crime involving moral turpitude, (ii) has engaged in a willful act of misconduct, or committed any act of fraud, theft, embezzlement, misappropriation of funds, breach of fiduciary duty or other willful act of material dishonesty against the Company, (iii) other than in the case of a termination of employment during the Change in Control Period, has materially failed or refused to satisfactorily perform the material duties lawfully and reasonably assigned to the Participant or has performed such material duties with gross negligence; (iv) has breached any material term or condition of his or her employment agreement, or Employment, Confidential Information and Intellectual Property Assignment Agreement with the Company or any other material agreement with the Company or (v) acted in willful violation or disregard of any written Company policy or practice, including a code of conduct, which results in material loss, damage or injury to the Company; in each case provided that any of the foregoing may be cured, if curable, within 30 days’ notice from the Company.</w:t>
      </w:r>
    </w:p>
    <w:p>
      <w:pPr>
        <w:spacing w:after="0" w:line="170"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amended.</w:t>
      </w:r>
    </w:p>
    <w:p>
      <w:pPr>
        <w:spacing w:after="0" w:line="216"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21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9"/>
          <w:szCs w:val="19"/>
          <w:color w:val="auto"/>
        </w:rPr>
        <w:t>9.7 “</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provided that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2" w:name="page183"/>
    <w:bookmarkEnd w:id="182"/>
    <w:p>
      <w:pPr>
        <w:ind w:firstLine="224"/>
        <w:spacing w:after="0" w:line="235" w:lineRule="auto"/>
        <w:framePr w:w="1020" w:h="406" w:wrap="auto" w:vAnchor="page" w:hAnchor="page" w:x="280" w:y="6457"/>
        <w:rPr>
          <w:rFonts w:ascii="Arial" w:cs="Arial" w:eastAsia="Arial" w:hAnsi="Arial"/>
          <w:sz w:val="18"/>
          <w:szCs w:val="18"/>
          <w:color w:val="auto"/>
        </w:rPr>
      </w:pPr>
      <w:r>
        <w:rPr>
          <w:rFonts w:ascii="Arial" w:cs="Arial" w:eastAsia="Arial" w:hAnsi="Arial"/>
          <w:sz w:val="18"/>
          <w:szCs w:val="18"/>
          <w:color w:val="auto"/>
        </w:rPr>
        <w:t>9.16 Committee.</w:t>
      </w:r>
    </w:p>
    <w:p>
      <w:pPr>
        <w:spacing w:after="0"/>
        <w:rPr>
          <w:sz w:val="20"/>
          <w:szCs w:val="20"/>
          <w:color w:val="auto"/>
        </w:rPr>
      </w:pPr>
      <w:r>
        <w:rPr>
          <w:rFonts w:ascii="Arial" w:cs="Arial" w:eastAsia="Arial" w:hAnsi="Arial"/>
          <w:sz w:val="20"/>
          <w:szCs w:val="20"/>
          <w:color w:val="auto"/>
        </w:rPr>
        <w:t>event also qualifies as a change in control under U.S. Treasury Regulation 1.409A-3(i)(5)(v) or 1.409A-3(i)(5)(vii).</w:t>
      </w:r>
    </w:p>
    <w:p>
      <w:pPr>
        <w:spacing w:after="0" w:line="216" w:lineRule="exact"/>
        <w:rPr>
          <w:rFonts w:ascii="Arial" w:cs="Arial" w:eastAsia="Arial" w:hAnsi="Arial"/>
          <w:sz w:val="18"/>
          <w:szCs w:val="18"/>
          <w:color w:val="auto"/>
        </w:rPr>
      </w:pPr>
    </w:p>
    <w:p>
      <w:pPr>
        <w:ind w:left="220"/>
        <w:spacing w:after="0"/>
        <w:tabs>
          <w:tab w:leader="none" w:pos="110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commencing on the effective date of a Change in Control and ending twelve</w:t>
      </w:r>
    </w:p>
    <w:p>
      <w:pPr>
        <w:spacing w:after="0" w:line="1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20"/>
          <w:szCs w:val="20"/>
          <w:color w:val="auto"/>
        </w:rPr>
        <w:t>(12) months following a Change in Control.</w:t>
      </w:r>
    </w:p>
    <w:p>
      <w:pPr>
        <w:spacing w:after="0" w:line="200" w:lineRule="exact"/>
        <w:rPr>
          <w:rFonts w:ascii="Arial" w:cs="Arial" w:eastAsia="Arial" w:hAnsi="Arial"/>
          <w:sz w:val="18"/>
          <w:szCs w:val="18"/>
          <w:color w:val="auto"/>
        </w:rPr>
      </w:pPr>
    </w:p>
    <w:p>
      <w:pPr>
        <w:jc w:val="both"/>
        <w:ind w:firstLine="216"/>
        <w:spacing w:after="0" w:line="260" w:lineRule="auto"/>
        <w:rPr>
          <w:sz w:val="20"/>
          <w:szCs w:val="20"/>
          <w:color w:val="auto"/>
        </w:rPr>
      </w:pPr>
      <w:r>
        <w:rPr>
          <w:rFonts w:ascii="Arial" w:cs="Arial" w:eastAsia="Arial" w:hAnsi="Arial"/>
          <w:sz w:val="20"/>
          <w:szCs w:val="20"/>
          <w:color w:val="auto"/>
        </w:rPr>
        <w:t>9.9 “</w:t>
      </w:r>
      <w:r>
        <w:rPr>
          <w:rFonts w:ascii="Arial" w:cs="Arial" w:eastAsia="Arial" w:hAnsi="Arial"/>
          <w:sz w:val="20"/>
          <w:szCs w:val="20"/>
          <w:b w:val="1"/>
          <w:bCs w:val="1"/>
          <w:i w:val="1"/>
          <w:iCs w:val="1"/>
          <w:color w:val="auto"/>
        </w:rPr>
        <w:t>CIC Bonus Multiplier</w:t>
      </w:r>
      <w:r>
        <w:rPr>
          <w:rFonts w:ascii="Arial" w:cs="Arial" w:eastAsia="Arial" w:hAnsi="Arial"/>
          <w:sz w:val="20"/>
          <w:szCs w:val="20"/>
          <w:color w:val="auto"/>
        </w:rPr>
        <w:t>” means (i) 1.0 times Participant’s target annual cash bonus for Tier 1 Participants and (ii) 1.0 times Participant’s target annual cash bonus for Tier 2 Participants.</w:t>
      </w:r>
    </w:p>
    <w:p>
      <w:pPr>
        <w:spacing w:after="0" w:line="177" w:lineRule="exact"/>
        <w:rPr>
          <w:rFonts w:ascii="Arial" w:cs="Arial" w:eastAsia="Arial" w:hAnsi="Arial"/>
          <w:sz w:val="18"/>
          <w:szCs w:val="18"/>
          <w:color w:val="auto"/>
        </w:rPr>
      </w:pPr>
    </w:p>
    <w:p>
      <w:pPr>
        <w:jc w:val="both"/>
        <w:ind w:firstLine="216"/>
        <w:spacing w:after="0" w:line="260" w:lineRule="auto"/>
        <w:rPr>
          <w:sz w:val="20"/>
          <w:szCs w:val="20"/>
          <w:color w:val="auto"/>
        </w:rPr>
      </w:pPr>
      <w:r>
        <w:rPr>
          <w:rFonts w:ascii="Arial" w:cs="Arial" w:eastAsia="Arial" w:hAnsi="Arial"/>
          <w:sz w:val="20"/>
          <w:szCs w:val="20"/>
          <w:color w:val="auto"/>
        </w:rPr>
        <w:t>9.10 “</w:t>
      </w:r>
      <w:r>
        <w:rPr>
          <w:rFonts w:ascii="Arial" w:cs="Arial" w:eastAsia="Arial" w:hAnsi="Arial"/>
          <w:sz w:val="20"/>
          <w:szCs w:val="20"/>
          <w:b w:val="1"/>
          <w:bCs w:val="1"/>
          <w:i w:val="1"/>
          <w:iCs w:val="1"/>
          <w:color w:val="auto"/>
        </w:rPr>
        <w:t>CIC Severance Multiplier</w:t>
      </w:r>
      <w:r>
        <w:rPr>
          <w:rFonts w:ascii="Arial" w:cs="Arial" w:eastAsia="Arial" w:hAnsi="Arial"/>
          <w:sz w:val="20"/>
          <w:szCs w:val="20"/>
          <w:color w:val="auto"/>
        </w:rPr>
        <w:t>” means (i) 2.0 times Participant’s Base Salary for Tier 1 Participants and (ii) 1.0 times the Participant’s Base Salary for Tier 2 Participants.</w:t>
      </w:r>
    </w:p>
    <w:p>
      <w:pPr>
        <w:spacing w:after="0" w:line="177" w:lineRule="exact"/>
        <w:rPr>
          <w:rFonts w:ascii="Arial" w:cs="Arial" w:eastAsia="Arial" w:hAnsi="Arial"/>
          <w:sz w:val="18"/>
          <w:szCs w:val="18"/>
          <w:color w:val="auto"/>
        </w:rPr>
      </w:pPr>
    </w:p>
    <w:p>
      <w:pPr>
        <w:ind w:left="220"/>
        <w:spacing w:after="0"/>
        <w:tabs>
          <w:tab w:leader="none" w:pos="120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CIC COBRA Period</w:t>
      </w:r>
      <w:r>
        <w:rPr>
          <w:rFonts w:ascii="Arial" w:cs="Arial" w:eastAsia="Arial" w:hAnsi="Arial"/>
          <w:sz w:val="18"/>
          <w:szCs w:val="18"/>
          <w:color w:val="auto"/>
        </w:rPr>
        <w:t>” means (i) 24 months for Tier 1 Participants and (ii) 12 months for Tier 2 Participants.</w:t>
      </w:r>
    </w:p>
    <w:p>
      <w:pPr>
        <w:spacing w:after="0" w:line="216" w:lineRule="exact"/>
        <w:rPr>
          <w:rFonts w:ascii="Arial" w:cs="Arial" w:eastAsia="Arial" w:hAnsi="Arial"/>
          <w:sz w:val="18"/>
          <w:szCs w:val="18"/>
          <w:color w:val="auto"/>
        </w:rPr>
      </w:pPr>
    </w:p>
    <w:p>
      <w:pPr>
        <w:ind w:left="220"/>
        <w:spacing w:after="0"/>
        <w:tabs>
          <w:tab w:leader="none" w:pos="120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COBRA Severance Period</w:t>
      </w:r>
      <w:r>
        <w:rPr>
          <w:rFonts w:ascii="Arial" w:cs="Arial" w:eastAsia="Arial" w:hAnsi="Arial"/>
          <w:sz w:val="18"/>
          <w:szCs w:val="18"/>
          <w:color w:val="auto"/>
        </w:rPr>
        <w:t>” means (i) 12 months for Tier 1 Participants and (ii) 9 months for Tier 2 Participants.</w:t>
      </w:r>
    </w:p>
    <w:p>
      <w:pPr>
        <w:spacing w:after="0" w:line="216" w:lineRule="exact"/>
        <w:rPr>
          <w:rFonts w:ascii="Arial" w:cs="Arial" w:eastAsia="Arial" w:hAnsi="Arial"/>
          <w:sz w:val="18"/>
          <w:szCs w:val="18"/>
          <w:color w:val="auto"/>
        </w:rPr>
      </w:pPr>
    </w:p>
    <w:p>
      <w:pPr>
        <w:jc w:val="both"/>
        <w:ind w:firstLine="224"/>
        <w:spacing w:after="0" w:line="244" w:lineRule="auto"/>
        <w:rPr>
          <w:sz w:val="20"/>
          <w:szCs w:val="20"/>
          <w:color w:val="auto"/>
        </w:rPr>
      </w:pPr>
      <w:r>
        <w:rPr>
          <w:rFonts w:ascii="Arial" w:cs="Arial" w:eastAsia="Arial" w:hAnsi="Arial"/>
          <w:sz w:val="20"/>
          <w:szCs w:val="20"/>
          <w:color w:val="auto"/>
        </w:rPr>
        <w:t>9.13 “</w:t>
      </w:r>
      <w:r>
        <w:rPr>
          <w:rFonts w:ascii="Arial" w:cs="Arial" w:eastAsia="Arial" w:hAnsi="Arial"/>
          <w:sz w:val="20"/>
          <w:szCs w:val="20"/>
          <w:b w:val="1"/>
          <w:bCs w:val="1"/>
          <w:i w:val="1"/>
          <w:iCs w:val="1"/>
          <w:color w:val="auto"/>
        </w:rPr>
        <w:t>Covered Termination</w:t>
      </w:r>
      <w:r>
        <w:rPr>
          <w:rFonts w:ascii="Arial" w:cs="Arial" w:eastAsia="Arial" w:hAnsi="Arial"/>
          <w:sz w:val="20"/>
          <w:szCs w:val="20"/>
          <w:color w:val="auto"/>
        </w:rPr>
        <w:t>” means (a) the termination of a Participant’s employment by the Company or any subsidiary, as applicable, without Cause, or (b) the Participant’s termination of his or her employment with the Company or any subsidiary, as applicable, for Good Reason. A Covered Termination shall not include a termination of any Participant’s employment by reason of the Participant’s death or disability, the termination of a Participant’s employment for Cause or the Participant’s termination of his or her employment without Good Reason.</w:t>
      </w:r>
    </w:p>
    <w:p>
      <w:pPr>
        <w:spacing w:after="0" w:line="194" w:lineRule="exact"/>
        <w:rPr>
          <w:rFonts w:ascii="Arial" w:cs="Arial" w:eastAsia="Arial" w:hAnsi="Arial"/>
          <w:sz w:val="18"/>
          <w:szCs w:val="18"/>
          <w:color w:val="auto"/>
        </w:rPr>
      </w:pPr>
    </w:p>
    <w:p>
      <w:pPr>
        <w:jc w:val="both"/>
        <w:ind w:firstLine="224"/>
        <w:spacing w:after="0" w:line="250" w:lineRule="auto"/>
        <w:rPr>
          <w:sz w:val="20"/>
          <w:szCs w:val="20"/>
          <w:color w:val="auto"/>
        </w:rPr>
      </w:pPr>
      <w:r>
        <w:rPr>
          <w:rFonts w:ascii="Arial" w:cs="Arial" w:eastAsia="Arial" w:hAnsi="Arial"/>
          <w:sz w:val="20"/>
          <w:szCs w:val="20"/>
          <w:color w:val="auto"/>
        </w:rPr>
        <w:t>9.14 “</w:t>
      </w:r>
      <w:r>
        <w:rPr>
          <w:rFonts w:ascii="Arial" w:cs="Arial" w:eastAsia="Arial" w:hAnsi="Arial"/>
          <w:sz w:val="20"/>
          <w:szCs w:val="20"/>
          <w:b w:val="1"/>
          <w:bCs w:val="1"/>
          <w:i w:val="1"/>
          <w:iCs w:val="1"/>
          <w:color w:val="auto"/>
        </w:rPr>
        <w:t>Designated Company Office</w:t>
      </w:r>
      <w:r>
        <w:rPr>
          <w:rFonts w:ascii="Arial" w:cs="Arial" w:eastAsia="Arial" w:hAnsi="Arial"/>
          <w:sz w:val="20"/>
          <w:szCs w:val="20"/>
          <w:color w:val="auto"/>
        </w:rPr>
        <w:t>” means the geographic location at which the Participant must perform services or to which Participant may be required to return to provide services in-person, as determined by the Company or as set forth on the Participation Agreement, as applicable.</w:t>
      </w:r>
    </w:p>
    <w:p>
      <w:pPr>
        <w:spacing w:after="0" w:line="186" w:lineRule="exact"/>
        <w:rPr>
          <w:rFonts w:ascii="Arial" w:cs="Arial" w:eastAsia="Arial" w:hAnsi="Arial"/>
          <w:sz w:val="18"/>
          <w:szCs w:val="18"/>
          <w:color w:val="auto"/>
        </w:rPr>
      </w:pPr>
    </w:p>
    <w:p>
      <w:pPr>
        <w:ind w:left="240"/>
        <w:spacing w:after="0"/>
        <w:tabs>
          <w:tab w:leader="none" w:pos="1200" w:val="left"/>
        </w:tabs>
        <w:rPr>
          <w:sz w:val="20"/>
          <w:szCs w:val="20"/>
          <w:color w:val="auto"/>
        </w:rPr>
      </w:pPr>
      <w:r>
        <w:rPr>
          <w:rFonts w:ascii="Arial" w:cs="Arial" w:eastAsia="Arial" w:hAnsi="Arial"/>
          <w:sz w:val="20"/>
          <w:szCs w:val="20"/>
          <w:color w:val="auto"/>
        </w:rPr>
        <w:t>9.15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individual who is a United States based employee of the Company or any of its subsidiaries.</w:t>
      </w:r>
    </w:p>
    <w:p>
      <w:pPr>
        <w:spacing w:after="0" w:line="216" w:lineRule="exact"/>
        <w:rPr>
          <w:rFonts w:ascii="Arial" w:cs="Arial" w:eastAsia="Arial" w:hAnsi="Arial"/>
          <w:sz w:val="18"/>
          <w:szCs w:val="18"/>
          <w:color w:val="auto"/>
        </w:rPr>
      </w:pPr>
    </w:p>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the amendment and restatement of this Plan is adopted and approved by the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firstLine="224"/>
        <w:spacing w:after="0" w:line="287" w:lineRule="auto"/>
        <w:rPr>
          <w:sz w:val="20"/>
          <w:szCs w:val="20"/>
          <w:color w:val="auto"/>
        </w:rPr>
      </w:pPr>
      <w:r>
        <w:rPr>
          <w:rFonts w:ascii="Arial" w:cs="Arial" w:eastAsia="Arial" w:hAnsi="Arial"/>
          <w:sz w:val="19"/>
          <w:szCs w:val="19"/>
          <w:color w:val="auto"/>
        </w:rPr>
        <w:t>9.17 “</w:t>
      </w:r>
      <w:r>
        <w:rPr>
          <w:rFonts w:ascii="Arial" w:cs="Arial" w:eastAsia="Arial" w:hAnsi="Arial"/>
          <w:sz w:val="19"/>
          <w:szCs w:val="19"/>
          <w:b w:val="1"/>
          <w:bCs w:val="1"/>
          <w:i w:val="1"/>
          <w:iCs w:val="1"/>
          <w:color w:val="auto"/>
        </w:rPr>
        <w:t>Equity Award</w:t>
      </w:r>
      <w:r>
        <w:rPr>
          <w:rFonts w:ascii="Arial" w:cs="Arial" w:eastAsia="Arial" w:hAnsi="Arial"/>
          <w:sz w:val="19"/>
          <w:szCs w:val="19"/>
          <w:color w:val="auto"/>
        </w:rPr>
        <w:t>” means all options to purchase shares of Company common stock as well as any and all other stock-based awards granted to the Participant, including but not limited to restricted stock, restricted stock units and stock appreciation rights.</w:t>
      </w:r>
    </w:p>
    <w:p>
      <w:pPr>
        <w:spacing w:after="0" w:line="148" w:lineRule="exact"/>
        <w:rPr>
          <w:rFonts w:ascii="Arial" w:cs="Arial" w:eastAsia="Arial" w:hAnsi="Arial"/>
          <w:sz w:val="18"/>
          <w:szCs w:val="18"/>
          <w:color w:val="auto"/>
        </w:rPr>
      </w:pPr>
    </w:p>
    <w:p>
      <w:pPr>
        <w:jc w:val="both"/>
        <w:ind w:firstLine="224"/>
        <w:spacing w:after="0" w:line="256" w:lineRule="auto"/>
        <w:rPr>
          <w:sz w:val="20"/>
          <w:szCs w:val="20"/>
          <w:color w:val="auto"/>
        </w:rPr>
      </w:pPr>
      <w:r>
        <w:rPr>
          <w:rFonts w:ascii="Arial" w:cs="Arial" w:eastAsia="Arial" w:hAnsi="Arial"/>
          <w:sz w:val="19"/>
          <w:szCs w:val="19"/>
          <w:color w:val="auto"/>
        </w:rPr>
        <w:t>9.18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xml:space="preserve">” means </w:t>
      </w:r>
      <w:r>
        <w:rPr>
          <w:rFonts w:ascii="Arial" w:cs="Arial" w:eastAsia="Arial" w:hAnsi="Arial"/>
          <w:sz w:val="20"/>
          <w:szCs w:val="20"/>
          <w:color w:val="auto"/>
        </w:rPr>
        <w:t>a</w:t>
      </w:r>
      <w:r>
        <w:rPr>
          <w:rFonts w:ascii="Arial" w:cs="Arial" w:eastAsia="Arial" w:hAnsi="Arial"/>
          <w:sz w:val="19"/>
          <w:szCs w:val="19"/>
          <w:color w:val="auto"/>
        </w:rPr>
        <w:t xml:space="preserve"> cessation of the Participant’s employment as a result of the Participant’s resignation within 120 days after the occurrence of one or more of the following without the Participant’s consent: (i) a reduction of more than 10% in Participant’s base salary as an employee of the Company, except to the extent that the Company implements an equal percentage reduction applicable to all executive officers and management personnel; (ii) a material reduction in the Participant’s duties, responsibilities or authority at the Company; provided that this clause (ii) shall only apply in the case of a termination during a Change in Control Period; (iii) a change in the geographic location at which the Participant must perform services which results in an increase in the one-way commute of the Participant by more than 50 miles, provided that the Company’s requirement that Participant work remotely or return to work at Participant’s Designated Company Office following a current or future remote work period required by the Company in its sole discretion shall not constitute the foregoing change in geographic location; or (iv) a successor of the Company does not assume this Plan. A resignation for Good Reason will not be deemed to have</w:t>
      </w:r>
    </w:p>
    <w:p>
      <w:pPr>
        <w:spacing w:after="0" w:line="186"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3" w:name="page184"/>
    <w:bookmarkEnd w:id="183"/>
    <w:p>
      <w:pPr>
        <w:spacing w:after="0" w:line="260" w:lineRule="auto"/>
        <w:rPr>
          <w:sz w:val="20"/>
          <w:szCs w:val="20"/>
          <w:color w:val="auto"/>
        </w:rPr>
      </w:pPr>
      <w:r>
        <w:rPr>
          <w:rFonts w:ascii="Arial" w:cs="Arial" w:eastAsia="Arial" w:hAnsi="Arial"/>
          <w:sz w:val="20"/>
          <w:szCs w:val="20"/>
          <w:color w:val="auto"/>
        </w:rPr>
        <w:t>occurred unless the Participant gives the Company written notice of the condition within 90 days after the condition comes into existence and the Company fails to remedy the condition within 30 days after receiving the Participant’s written notice.</w:t>
      </w:r>
    </w:p>
    <w:p>
      <w:pPr>
        <w:spacing w:after="0" w:line="177" w:lineRule="exact"/>
        <w:rPr>
          <w:sz w:val="20"/>
          <w:szCs w:val="20"/>
          <w:color w:val="auto"/>
        </w:rPr>
      </w:pPr>
    </w:p>
    <w:p>
      <w:pPr>
        <w:ind w:left="240"/>
        <w:spacing w:after="0"/>
        <w:tabs>
          <w:tab w:leader="none" w:pos="1200" w:val="left"/>
        </w:tabs>
        <w:rPr>
          <w:sz w:val="20"/>
          <w:szCs w:val="20"/>
          <w:color w:val="auto"/>
        </w:rPr>
      </w:pPr>
      <w:r>
        <w:rPr>
          <w:rFonts w:ascii="Arial" w:cs="Arial" w:eastAsia="Arial" w:hAnsi="Arial"/>
          <w:sz w:val="20"/>
          <w:szCs w:val="20"/>
          <w:color w:val="auto"/>
        </w:rPr>
        <w:t>9.19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each individual who has become a Participant and remains a Participant pursuant to Section 2 hereof.</w:t>
      </w:r>
    </w:p>
    <w:p>
      <w:pPr>
        <w:spacing w:after="0" w:line="216" w:lineRule="exact"/>
        <w:rPr>
          <w:sz w:val="20"/>
          <w:szCs w:val="20"/>
          <w:color w:val="auto"/>
        </w:rPr>
      </w:pPr>
    </w:p>
    <w:p>
      <w:pPr>
        <w:ind w:firstLine="224"/>
        <w:spacing w:after="0" w:line="260" w:lineRule="auto"/>
        <w:rPr>
          <w:sz w:val="20"/>
          <w:szCs w:val="20"/>
          <w:color w:val="auto"/>
        </w:rPr>
      </w:pPr>
      <w:r>
        <w:rPr>
          <w:rFonts w:ascii="Arial" w:cs="Arial" w:eastAsia="Arial" w:hAnsi="Arial"/>
          <w:sz w:val="20"/>
          <w:szCs w:val="20"/>
          <w:color w:val="auto"/>
        </w:rPr>
        <w:t>9.20 “</w:t>
      </w:r>
      <w:r>
        <w:rPr>
          <w:rFonts w:ascii="Arial" w:cs="Arial" w:eastAsia="Arial" w:hAnsi="Arial"/>
          <w:sz w:val="20"/>
          <w:szCs w:val="20"/>
          <w:b w:val="1"/>
          <w:bCs w:val="1"/>
          <w:i w:val="1"/>
          <w:iCs w:val="1"/>
          <w:color w:val="auto"/>
        </w:rPr>
        <w:t>Section 16 Officer</w:t>
      </w:r>
      <w:r>
        <w:rPr>
          <w:rFonts w:ascii="Arial" w:cs="Arial" w:eastAsia="Arial" w:hAnsi="Arial"/>
          <w:sz w:val="20"/>
          <w:szCs w:val="20"/>
          <w:color w:val="auto"/>
        </w:rPr>
        <w:t>” means an Eligible Employee who is deemed an “officer” subject to the provisions of Section 16 of the Securities Exchange Act of 1934, as amended.</w:t>
      </w:r>
    </w:p>
    <w:p>
      <w:pPr>
        <w:spacing w:after="0" w:line="177" w:lineRule="exact"/>
        <w:rPr>
          <w:sz w:val="20"/>
          <w:szCs w:val="20"/>
          <w:color w:val="auto"/>
        </w:rPr>
      </w:pPr>
    </w:p>
    <w:p>
      <w:pPr>
        <w:ind w:right="20" w:firstLine="224"/>
        <w:spacing w:after="0" w:line="260" w:lineRule="auto"/>
        <w:rPr>
          <w:sz w:val="20"/>
          <w:szCs w:val="20"/>
          <w:color w:val="auto"/>
        </w:rPr>
      </w:pPr>
      <w:r>
        <w:rPr>
          <w:rFonts w:ascii="Arial" w:cs="Arial" w:eastAsia="Arial" w:hAnsi="Arial"/>
          <w:sz w:val="20"/>
          <w:szCs w:val="20"/>
          <w:color w:val="auto"/>
        </w:rPr>
        <w:t>9.21 “</w:t>
      </w:r>
      <w:r>
        <w:rPr>
          <w:rFonts w:ascii="Arial" w:cs="Arial" w:eastAsia="Arial" w:hAnsi="Arial"/>
          <w:sz w:val="20"/>
          <w:szCs w:val="20"/>
          <w:b w:val="1"/>
          <w:bCs w:val="1"/>
          <w:i w:val="1"/>
          <w:iCs w:val="1"/>
          <w:color w:val="auto"/>
        </w:rPr>
        <w:t>Severance Multiplier</w:t>
      </w:r>
      <w:r>
        <w:rPr>
          <w:rFonts w:ascii="Arial" w:cs="Arial" w:eastAsia="Arial" w:hAnsi="Arial"/>
          <w:sz w:val="20"/>
          <w:szCs w:val="20"/>
          <w:color w:val="auto"/>
        </w:rPr>
        <w:t>” means (i) 1.0 times the Participant’s Base Salary for Tier 1 Participants, and (ii) 0.75 times the Participant’s Base Salary for Tier 2 Participants.</w:t>
      </w:r>
    </w:p>
    <w:p>
      <w:pPr>
        <w:spacing w:after="0" w:line="177" w:lineRule="exact"/>
        <w:rPr>
          <w:sz w:val="20"/>
          <w:szCs w:val="20"/>
          <w:color w:val="auto"/>
        </w:rPr>
      </w:pPr>
    </w:p>
    <w:p>
      <w:pPr>
        <w:ind w:left="240"/>
        <w:spacing w:after="0"/>
        <w:tabs>
          <w:tab w:leader="none" w:pos="1200" w:val="left"/>
        </w:tabs>
        <w:rPr>
          <w:sz w:val="20"/>
          <w:szCs w:val="20"/>
          <w:color w:val="auto"/>
        </w:rPr>
      </w:pPr>
      <w:r>
        <w:rPr>
          <w:rFonts w:ascii="Arial" w:cs="Arial" w:eastAsia="Arial" w:hAnsi="Arial"/>
          <w:sz w:val="20"/>
          <w:szCs w:val="20"/>
          <w:color w:val="auto"/>
        </w:rPr>
        <w:t>9.22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Tier 1 Participant</w:t>
      </w:r>
      <w:r>
        <w:rPr>
          <w:rFonts w:ascii="Arial" w:cs="Arial" w:eastAsia="Arial" w:hAnsi="Arial"/>
          <w:sz w:val="18"/>
          <w:szCs w:val="18"/>
          <w:color w:val="auto"/>
        </w:rPr>
        <w:t>” means the Company’s Chief Executive Officer.</w:t>
      </w:r>
    </w:p>
    <w:p>
      <w:pPr>
        <w:spacing w:after="0" w:line="216" w:lineRule="exact"/>
        <w:rPr>
          <w:sz w:val="20"/>
          <w:szCs w:val="20"/>
          <w:color w:val="auto"/>
        </w:rPr>
      </w:pPr>
    </w:p>
    <w:p>
      <w:pPr>
        <w:ind w:firstLine="224"/>
        <w:spacing w:after="0" w:line="260" w:lineRule="auto"/>
        <w:rPr>
          <w:sz w:val="20"/>
          <w:szCs w:val="20"/>
          <w:color w:val="auto"/>
        </w:rPr>
      </w:pPr>
      <w:r>
        <w:rPr>
          <w:rFonts w:ascii="Arial" w:cs="Arial" w:eastAsia="Arial" w:hAnsi="Arial"/>
          <w:sz w:val="20"/>
          <w:szCs w:val="20"/>
          <w:color w:val="auto"/>
        </w:rPr>
        <w:t>9.23 “</w:t>
      </w:r>
      <w:r>
        <w:rPr>
          <w:rFonts w:ascii="Arial" w:cs="Arial" w:eastAsia="Arial" w:hAnsi="Arial"/>
          <w:sz w:val="20"/>
          <w:szCs w:val="20"/>
          <w:b w:val="1"/>
          <w:bCs w:val="1"/>
          <w:i w:val="1"/>
          <w:iCs w:val="1"/>
          <w:color w:val="auto"/>
        </w:rPr>
        <w:t>Tier 2 Participant</w:t>
      </w:r>
      <w:r>
        <w:rPr>
          <w:rFonts w:ascii="Arial" w:cs="Arial" w:eastAsia="Arial" w:hAnsi="Arial"/>
          <w:sz w:val="20"/>
          <w:szCs w:val="20"/>
          <w:color w:val="auto"/>
        </w:rPr>
        <w:t>” means a Section 16 Officer or an Eligible Employee who is selected by the Board to participate in this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PARTICIPATION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URIX</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XECUTIVE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EVERANCE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ND</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HANGE</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ONTROL</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Contingent upon his or her execution and delivery of this Participation Agreement, [____________] is hereby enrolled as a</w:t>
      </w:r>
    </w:p>
    <w:p>
      <w:pPr>
        <w:spacing w:after="0" w:line="2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Participant in the Nurix Therapeutics,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Executive Severance and Change in Control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at the level indicated below:</w:t>
      </w:r>
    </w:p>
    <w:p>
      <w:pPr>
        <w:spacing w:after="0" w:line="185" w:lineRule="exact"/>
        <w:rPr>
          <w:sz w:val="20"/>
          <w:szCs w:val="20"/>
          <w:color w:val="auto"/>
        </w:rPr>
      </w:pPr>
    </w:p>
    <w:p>
      <w:pPr>
        <w:ind w:left="1720" w:hanging="848"/>
        <w:spacing w:after="0"/>
        <w:tabs>
          <w:tab w:leader="none" w:pos="1720" w:val="left"/>
        </w:tabs>
        <w:numPr>
          <w:ilvl w:val="0"/>
          <w:numId w:val="75"/>
        </w:numPr>
        <w:rPr>
          <w:rFonts w:ascii="MS PGothic" w:cs="MS PGothic" w:eastAsia="MS PGothic" w:hAnsi="MS PGothic"/>
          <w:sz w:val="18"/>
          <w:szCs w:val="18"/>
          <w:color w:val="auto"/>
        </w:rPr>
      </w:pPr>
      <w:r>
        <w:rPr>
          <w:rFonts w:ascii="Arial" w:cs="Arial" w:eastAsia="Arial" w:hAnsi="Arial"/>
          <w:sz w:val="20"/>
          <w:szCs w:val="20"/>
          <w:b w:val="1"/>
          <w:bCs w:val="1"/>
          <w:color w:val="auto"/>
        </w:rPr>
        <w:t>Tier 1 Participant</w:t>
      </w:r>
    </w:p>
    <w:p>
      <w:pPr>
        <w:spacing w:after="0" w:line="215" w:lineRule="exact"/>
        <w:rPr>
          <w:rFonts w:ascii="MS PGothic" w:cs="MS PGothic" w:eastAsia="MS PGothic" w:hAnsi="MS PGothic"/>
          <w:sz w:val="18"/>
          <w:szCs w:val="18"/>
          <w:color w:val="auto"/>
        </w:rPr>
      </w:pPr>
    </w:p>
    <w:p>
      <w:pPr>
        <w:ind w:left="1680" w:hanging="808"/>
        <w:spacing w:after="0"/>
        <w:tabs>
          <w:tab w:leader="none" w:pos="1680" w:val="left"/>
        </w:tabs>
        <w:numPr>
          <w:ilvl w:val="0"/>
          <w:numId w:val="75"/>
        </w:numPr>
        <w:rPr>
          <w:rFonts w:ascii="MS PGothic" w:cs="MS PGothic" w:eastAsia="MS PGothic" w:hAnsi="MS PGothic"/>
          <w:sz w:val="18"/>
          <w:szCs w:val="18"/>
          <w:color w:val="auto"/>
        </w:rPr>
      </w:pPr>
      <w:r>
        <w:rPr>
          <w:rFonts w:ascii="Arial" w:cs="Arial" w:eastAsia="Arial" w:hAnsi="Arial"/>
          <w:sz w:val="20"/>
          <w:szCs w:val="20"/>
          <w:b w:val="1"/>
          <w:bCs w:val="1"/>
          <w:color w:val="auto"/>
        </w:rPr>
        <w:t>Tier 2 Participant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By his or her signature below, the Participant hereby acknowledges and agrees that:</w:t>
      </w:r>
    </w:p>
    <w:p>
      <w:pPr>
        <w:spacing w:after="0" w:line="216" w:lineRule="exact"/>
        <w:rPr>
          <w:sz w:val="20"/>
          <w:szCs w:val="20"/>
          <w:color w:val="auto"/>
        </w:rPr>
      </w:pPr>
    </w:p>
    <w:p>
      <w:pPr>
        <w:ind w:left="1740" w:hanging="436"/>
        <w:spacing w:after="0" w:line="260" w:lineRule="auto"/>
        <w:tabs>
          <w:tab w:leader="none" w:pos="1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Participant’s Designated Company Office is [[the Company’s office located in [_____________]][insert other location, as applicable]].]</w:t>
      </w:r>
    </w:p>
    <w:p>
      <w:pPr>
        <w:spacing w:after="0" w:line="176" w:lineRule="exact"/>
        <w:rPr>
          <w:rFonts w:ascii="Arial" w:cs="Arial" w:eastAsia="Arial" w:hAnsi="Arial"/>
          <w:sz w:val="20"/>
          <w:szCs w:val="20"/>
          <w:color w:val="auto"/>
        </w:rPr>
      </w:pPr>
    </w:p>
    <w:p>
      <w:pPr>
        <w:ind w:left="1740" w:hanging="436"/>
        <w:spacing w:after="0"/>
        <w:tabs>
          <w:tab w:leader="none" w:pos="1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Participant has received and reviewed a copy of the Plan;</w:t>
      </w:r>
    </w:p>
    <w:p>
      <w:pPr>
        <w:spacing w:after="0" w:line="229" w:lineRule="exact"/>
        <w:rPr>
          <w:rFonts w:ascii="Arial" w:cs="Arial" w:eastAsia="Arial" w:hAnsi="Arial"/>
          <w:sz w:val="20"/>
          <w:szCs w:val="20"/>
          <w:color w:val="auto"/>
        </w:rPr>
      </w:pPr>
    </w:p>
    <w:p>
      <w:pPr>
        <w:ind w:left="1740" w:right="20" w:hanging="436"/>
        <w:spacing w:after="0" w:line="260" w:lineRule="auto"/>
        <w:tabs>
          <w:tab w:leader="none" w:pos="1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Any payment or benefit under the Plan shall be subject to the terms and conditions of this Participation Agreement and the Plan;</w:t>
      </w:r>
    </w:p>
    <w:p>
      <w:pPr>
        <w:spacing w:after="0" w:line="176" w:lineRule="exact"/>
        <w:rPr>
          <w:rFonts w:ascii="Arial" w:cs="Arial" w:eastAsia="Arial" w:hAnsi="Arial"/>
          <w:sz w:val="20"/>
          <w:szCs w:val="20"/>
          <w:color w:val="auto"/>
        </w:rPr>
      </w:pPr>
    </w:p>
    <w:p>
      <w:pPr>
        <w:ind w:left="1740" w:right="20" w:hanging="436"/>
        <w:spacing w:after="0" w:line="260" w:lineRule="auto"/>
        <w:tabs>
          <w:tab w:leader="none" w:pos="1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Participant accepts as binding, conclusive and final all decisions or interpretations of the Board (as defined in the Plan) arising under the Plan;</w:t>
      </w:r>
    </w:p>
    <w:p>
      <w:pPr>
        <w:spacing w:after="0" w:line="176" w:lineRule="exact"/>
        <w:rPr>
          <w:rFonts w:ascii="Arial" w:cs="Arial" w:eastAsia="Arial" w:hAnsi="Arial"/>
          <w:sz w:val="20"/>
          <w:szCs w:val="20"/>
          <w:color w:val="auto"/>
        </w:rPr>
      </w:pPr>
    </w:p>
    <w:p>
      <w:pPr>
        <w:jc w:val="both"/>
        <w:ind w:left="1740" w:hanging="436"/>
        <w:spacing w:after="0" w:line="257" w:lineRule="auto"/>
        <w:tabs>
          <w:tab w:leader="none" w:pos="17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This Participation Agreement, together with the Plan, shall constitute the entire agreement between the Company and the Participant with regard to cash payments, benefits or equity acceleration in connection with a termination of employment or a Change in Control. All understandings and agreements preceding the date of execution of this Participation Agreement as they apply to any subject matter other than cash payments, benefits and equity acceleration or exercisability in connection with a termination of employment or a Change in Control shall not be superseded and shall remain fully in effect. All prior understandings and agreements with respect to cash payments, benefits and equity acceleration in connection with a termination of employment or a Change in Control shall be superseded by this Plan and the Participation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540" w:type="dxa"/>
            <w:vAlign w:val="bottom"/>
            <w:gridSpan w:val="2"/>
          </w:tcPr>
          <w:p>
            <w:pPr>
              <w:spacing w:after="0"/>
              <w:rPr>
                <w:sz w:val="20"/>
                <w:szCs w:val="20"/>
                <w:color w:val="auto"/>
              </w:rPr>
            </w:pPr>
            <w:r>
              <w:rPr>
                <w:rFonts w:ascii="Arial" w:cs="Arial" w:eastAsia="Arial" w:hAnsi="Arial"/>
                <w:sz w:val="20"/>
                <w:szCs w:val="20"/>
                <w:b w:val="1"/>
                <w:bCs w:val="1"/>
                <w:color w:val="auto"/>
              </w:rPr>
              <w:t>NURIX THERAPEUTICS, INC.</w:t>
            </w:r>
          </w:p>
        </w:tc>
        <w:tc>
          <w:tcPr>
            <w:tcW w:w="4980" w:type="dxa"/>
            <w:vAlign w:val="bottom"/>
            <w:gridSpan w:val="3"/>
          </w:tcPr>
          <w:p>
            <w:pPr>
              <w:ind w:left="780"/>
              <w:spacing w:after="0"/>
              <w:rPr>
                <w:sz w:val="20"/>
                <w:szCs w:val="20"/>
                <w:color w:val="auto"/>
              </w:rPr>
            </w:pPr>
            <w:r>
              <w:rPr>
                <w:rFonts w:ascii="Arial" w:cs="Arial" w:eastAsia="Arial" w:hAnsi="Arial"/>
                <w:sz w:val="20"/>
                <w:szCs w:val="20"/>
                <w:b w:val="1"/>
                <w:bCs w:val="1"/>
                <w:color w:val="auto"/>
              </w:rPr>
              <w:t>PARTICIPANT</w:t>
            </w:r>
          </w:p>
        </w:tc>
      </w:tr>
      <w:tr>
        <w:trPr>
          <w:trHeight w:val="729"/>
        </w:trPr>
        <w:tc>
          <w:tcPr>
            <w:tcW w:w="3540" w:type="dxa"/>
            <w:vAlign w:val="bottom"/>
            <w:gridSpan w:val="2"/>
          </w:tcPr>
          <w:p>
            <w:pPr>
              <w:spacing w:after="0"/>
              <w:rPr>
                <w:sz w:val="20"/>
                <w:szCs w:val="20"/>
                <w:color w:val="auto"/>
              </w:rPr>
            </w:pPr>
            <w:r>
              <w:rPr>
                <w:rFonts w:ascii="Arial" w:cs="Arial" w:eastAsia="Arial" w:hAnsi="Arial"/>
                <w:sz w:val="20"/>
                <w:szCs w:val="20"/>
                <w:b w:val="1"/>
                <w:bCs w:val="1"/>
                <w:color w:val="auto"/>
              </w:rPr>
              <w:t>By:</w:t>
            </w:r>
          </w:p>
        </w:tc>
        <w:tc>
          <w:tcPr>
            <w:tcW w:w="4980" w:type="dxa"/>
            <w:vAlign w:val="bottom"/>
            <w:gridSpan w:val="3"/>
          </w:tcPr>
          <w:p>
            <w:pPr>
              <w:ind w:left="780"/>
              <w:spacing w:after="0"/>
              <w:rPr>
                <w:sz w:val="20"/>
                <w:szCs w:val="20"/>
                <w:color w:val="auto"/>
              </w:rPr>
            </w:pPr>
            <w:r>
              <w:rPr>
                <w:rFonts w:ascii="Arial" w:cs="Arial" w:eastAsia="Arial" w:hAnsi="Arial"/>
                <w:sz w:val="20"/>
                <w:szCs w:val="20"/>
                <w:b w:val="1"/>
                <w:bCs w:val="1"/>
                <w:color w:val="auto"/>
              </w:rPr>
              <w:t>By:</w:t>
            </w:r>
          </w:p>
        </w:tc>
      </w:tr>
      <w:tr>
        <w:trPr>
          <w:trHeight w:val="23"/>
        </w:trPr>
        <w:tc>
          <w:tcPr>
            <w:tcW w:w="5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449"/>
        </w:trPr>
        <w:tc>
          <w:tcPr>
            <w:tcW w:w="3540" w:type="dxa"/>
            <w:vAlign w:val="bottom"/>
            <w:gridSpan w:val="2"/>
          </w:tcPr>
          <w:p>
            <w:pPr>
              <w:spacing w:after="0"/>
              <w:rPr>
                <w:sz w:val="20"/>
                <w:szCs w:val="20"/>
                <w:color w:val="auto"/>
              </w:rPr>
            </w:pPr>
            <w:r>
              <w:rPr>
                <w:rFonts w:ascii="Arial" w:cs="Arial" w:eastAsia="Arial" w:hAnsi="Arial"/>
                <w:sz w:val="20"/>
                <w:szCs w:val="20"/>
                <w:color w:val="auto"/>
              </w:rPr>
              <w:t>Print Name:</w:t>
            </w:r>
          </w:p>
        </w:tc>
        <w:tc>
          <w:tcPr>
            <w:tcW w:w="4980" w:type="dxa"/>
            <w:vAlign w:val="bottom"/>
            <w:gridSpan w:val="3"/>
          </w:tcPr>
          <w:p>
            <w:pPr>
              <w:ind w:left="780"/>
              <w:spacing w:after="0"/>
              <w:rPr>
                <w:sz w:val="20"/>
                <w:szCs w:val="20"/>
                <w:color w:val="auto"/>
              </w:rPr>
            </w:pPr>
            <w:r>
              <w:rPr>
                <w:rFonts w:ascii="Arial" w:cs="Arial" w:eastAsia="Arial" w:hAnsi="Arial"/>
                <w:sz w:val="20"/>
                <w:szCs w:val="20"/>
                <w:color w:val="auto"/>
              </w:rPr>
              <w:t>Print Name:</w:t>
            </w:r>
          </w:p>
        </w:tc>
      </w:tr>
      <w:tr>
        <w:trPr>
          <w:trHeight w:val="230"/>
        </w:trPr>
        <w:tc>
          <w:tcPr>
            <w:tcW w:w="3540" w:type="dxa"/>
            <w:vAlign w:val="bottom"/>
            <w:gridSpan w:val="2"/>
          </w:tcPr>
          <w:p>
            <w:pPr>
              <w:spacing w:after="0"/>
              <w:rPr>
                <w:sz w:val="20"/>
                <w:szCs w:val="20"/>
                <w:color w:val="auto"/>
              </w:rPr>
            </w:pPr>
            <w:r>
              <w:rPr>
                <w:rFonts w:ascii="Arial" w:cs="Arial" w:eastAsia="Arial" w:hAnsi="Arial"/>
                <w:sz w:val="20"/>
                <w:szCs w:val="20"/>
                <w:color w:val="auto"/>
              </w:rPr>
              <w:t>Title:</w:t>
            </w:r>
          </w:p>
        </w:tc>
        <w:tc>
          <w:tcPr>
            <w:tcW w:w="4980" w:type="dxa"/>
            <w:vAlign w:val="bottom"/>
            <w:gridSpan w:val="3"/>
          </w:tcPr>
          <w:p>
            <w:pPr>
              <w:ind w:left="780"/>
              <w:spacing w:after="0"/>
              <w:rPr>
                <w:sz w:val="20"/>
                <w:szCs w:val="20"/>
                <w:color w:val="auto"/>
              </w:rPr>
            </w:pPr>
            <w:r>
              <w:rPr>
                <w:rFonts w:ascii="Arial" w:cs="Arial" w:eastAsia="Arial" w:hAnsi="Arial"/>
                <w:sz w:val="20"/>
                <w:szCs w:val="20"/>
                <w:color w:val="auto"/>
              </w:rPr>
              <w:t>Address:</w:t>
            </w:r>
          </w:p>
        </w:tc>
      </w:tr>
      <w:tr>
        <w:trPr>
          <w:trHeight w:val="250"/>
        </w:trPr>
        <w:tc>
          <w:tcPr>
            <w:tcW w:w="58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4980" w:type="dxa"/>
            <w:vAlign w:val="bottom"/>
            <w:gridSpan w:val="3"/>
          </w:tcPr>
          <w:p>
            <w:pPr>
              <w:ind w:left="780"/>
              <w:spacing w:after="0"/>
              <w:rPr>
                <w:sz w:val="20"/>
                <w:szCs w:val="20"/>
                <w:color w:val="auto"/>
              </w:rPr>
            </w:pPr>
            <w:r>
              <w:rPr>
                <w:rFonts w:ascii="Arial" w:cs="Arial" w:eastAsia="Arial" w:hAnsi="Arial"/>
                <w:sz w:val="20"/>
                <w:szCs w:val="20"/>
                <w:color w:val="auto"/>
              </w:rPr>
              <w:t>Date:</w:t>
            </w:r>
          </w:p>
        </w:tc>
      </w:tr>
    </w:tbl>
    <w:p>
      <w:pPr>
        <w:sectPr>
          <w:pgSz w:w="11900" w:h="16838" w:orient="portrait"/>
          <w:cols w:equalWidth="0" w:num="1">
            <w:col w:w="11240"/>
          </w:cols>
          <w:pgMar w:left="320" w:top="603"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333-240065 and No. 333-253159) and Form S-3 (No. 333-258448) of Nurix Therapeutics, Inc. of our report dated January 28, 2022 relating to the financial statements and the effectiveness of internal control over financial reporting, which appears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28, 2022</w:t>
      </w:r>
    </w:p>
    <w:p>
      <w:pPr>
        <w:sectPr>
          <w:pgSz w:w="11900" w:h="16838" w:orient="portrait"/>
          <w:cols w:equalWidth="0" w:num="1">
            <w:col w:w="11240"/>
          </w:cols>
          <w:pgMar w:left="320" w:top="121"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Arthur T. Sands, certify that:</w:t>
      </w:r>
    </w:p>
    <w:p>
      <w:pPr>
        <w:spacing w:after="0" w:line="117" w:lineRule="exact"/>
        <w:rPr>
          <w:sz w:val="20"/>
          <w:szCs w:val="20"/>
          <w:color w:val="auto"/>
        </w:rPr>
      </w:pPr>
    </w:p>
    <w:p>
      <w:pPr>
        <w:ind w:left="440" w:hanging="432"/>
        <w:spacing w:after="0"/>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w:t>
      </w:r>
      <w:r>
        <w:rPr>
          <w:rFonts w:ascii="Arial" w:cs="Arial" w:eastAsia="Arial" w:hAnsi="Arial"/>
          <w:sz w:val="11"/>
          <w:szCs w:val="11"/>
          <w:color w:val="auto"/>
        </w:rPr>
        <w:t>RTHUR</w:t>
      </w:r>
      <w:r>
        <w:rPr>
          <w:rFonts w:ascii="Arial" w:cs="Arial" w:eastAsia="Arial" w:hAnsi="Arial"/>
          <w:sz w:val="17"/>
          <w:szCs w:val="17"/>
          <w:color w:val="auto"/>
        </w:rPr>
        <w:t xml:space="preserve"> T. S</w:t>
      </w:r>
      <w:r>
        <w:rPr>
          <w:rFonts w:ascii="Arial" w:cs="Arial" w:eastAsia="Arial" w:hAnsi="Arial"/>
          <w:sz w:val="11"/>
          <w:szCs w:val="11"/>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Arthur T. Sands, M.D., Ph.D.</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ectPr>
          <w:pgSz w:w="11900" w:h="16838" w:orient="portrait"/>
          <w:cols w:equalWidth="0" w:num="1">
            <w:col w:w="11240"/>
          </w:cols>
          <w:pgMar w:left="320" w:top="108"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 Hans van Houte, certify that:</w:t>
      </w:r>
    </w:p>
    <w:p>
      <w:pPr>
        <w:spacing w:after="0" w:line="117" w:lineRule="exact"/>
        <w:rPr>
          <w:sz w:val="20"/>
          <w:szCs w:val="20"/>
          <w:color w:val="auto"/>
        </w:rPr>
      </w:pPr>
    </w:p>
    <w:p>
      <w:pPr>
        <w:ind w:left="440" w:hanging="432"/>
        <w:spacing w:after="0"/>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Nurix Therapeutics, Inc.;</w:t>
      </w:r>
    </w:p>
    <w:p>
      <w:pPr>
        <w:spacing w:after="0" w:line="117"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40" w:hanging="432"/>
        <w:spacing w:after="0" w:line="277"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440" w:hanging="432"/>
        <w:spacing w:after="0" w:line="263" w:lineRule="auto"/>
        <w:tabs>
          <w:tab w:leader="none" w:pos="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2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w:t>
      </w:r>
      <w:r>
        <w:rPr>
          <w:rFonts w:ascii="Arial" w:cs="Arial" w:eastAsia="Arial" w:hAnsi="Arial"/>
          <w:sz w:val="11"/>
          <w:szCs w:val="11"/>
          <w:color w:val="auto"/>
        </w:rPr>
        <w:t>ANS VAN</w:t>
      </w:r>
      <w:r>
        <w:rPr>
          <w:rFonts w:ascii="Arial" w:cs="Arial" w:eastAsia="Arial" w:hAnsi="Arial"/>
          <w:sz w:val="17"/>
          <w:szCs w:val="17"/>
          <w:color w:val="auto"/>
        </w:rPr>
        <w:t xml:space="preserve"> H</w:t>
      </w:r>
      <w:r>
        <w:rPr>
          <w:rFonts w:ascii="Arial" w:cs="Arial" w:eastAsia="Arial" w:hAnsi="Arial"/>
          <w:sz w:val="11"/>
          <w:szCs w:val="11"/>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914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2391410" cy="8890"/>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Hans van Houte</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ectPr>
          <w:pgSz w:w="11900" w:h="16838" w:orient="portrait"/>
          <w:cols w:equalWidth="0" w:num="1">
            <w:col w:w="11240"/>
          </w:cols>
          <w:pgMar w:left="320" w:top="108"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officers of Nurix Therapeutics, Inc. (the Company) certifies, pursuant to 18 U.S.C. § 1350, as adopted pursuant to § 906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440" w:hanging="432"/>
        <w:spacing w:after="0" w:line="308" w:lineRule="auto"/>
        <w:tabs>
          <w:tab w:leader="none" w:pos="4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period ended November 30, 2021 (the Annual Report), as filed with the Securities and Exchange Commission,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440" w:hanging="432"/>
        <w:spacing w:after="0" w:line="277" w:lineRule="auto"/>
        <w:tabs>
          <w:tab w:leader="none" w:pos="4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197"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RTHUR</w:t>
            </w:r>
            <w:r>
              <w:rPr>
                <w:rFonts w:ascii="Arial" w:cs="Arial" w:eastAsia="Arial" w:hAnsi="Arial"/>
                <w:sz w:val="18"/>
                <w:szCs w:val="18"/>
                <w:color w:val="auto"/>
              </w:rPr>
              <w:t xml:space="preserve"> T. S</w:t>
            </w:r>
            <w:r>
              <w:rPr>
                <w:rFonts w:ascii="Arial" w:cs="Arial" w:eastAsia="Arial" w:hAnsi="Arial"/>
                <w:sz w:val="12"/>
                <w:szCs w:val="12"/>
                <w:color w:val="auto"/>
              </w:rPr>
              <w:t>ANDS</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Arthur T. Sands, M.D., Ph.D.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ANS VAN</w:t>
            </w:r>
            <w:r>
              <w:rPr>
                <w:rFonts w:ascii="Arial" w:cs="Arial" w:eastAsia="Arial" w:hAnsi="Arial"/>
                <w:sz w:val="18"/>
                <w:szCs w:val="18"/>
                <w:color w:val="auto"/>
              </w:rPr>
              <w:t xml:space="preserve"> H</w:t>
            </w:r>
            <w:r>
              <w:rPr>
                <w:rFonts w:ascii="Arial" w:cs="Arial" w:eastAsia="Arial" w:hAnsi="Arial"/>
                <w:sz w:val="12"/>
                <w:szCs w:val="12"/>
                <w:color w:val="auto"/>
              </w:rPr>
              <w:t>OUTE</w:t>
            </w:r>
          </w:p>
        </w:tc>
      </w:tr>
      <w:tr>
        <w:trPr>
          <w:trHeight w:val="195"/>
        </w:trPr>
        <w:tc>
          <w:tcPr>
            <w:tcW w:w="60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Hans van Houte</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lowerRoman"/>
      <w:start w:val="1"/>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lowerRoman"/>
      <w:start w:val="1"/>
    </w:lvl>
  </w:abstractNum>
  <w:abstractNum w:abstractNumId="56">
    <w:nsid w:val="5DB70AE5"/>
    <w:multiLevelType w:val="hybridMultilevel"/>
    <w:lvl w:ilvl="0">
      <w:lvlJc w:val="left"/>
      <w:lvlText w:val="(%1)"/>
      <w:numFmt w:val="decimal"/>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2"/>
    </w:lvl>
  </w:abstractNum>
  <w:abstractNum w:abstractNumId="61">
    <w:nsid w:val="98A3148"/>
    <w:multiLevelType w:val="hybridMultilevel"/>
    <w:lvl w:ilvl="0">
      <w:lvlJc w:val="left"/>
      <w:lvlText w:val="(%1)"/>
      <w:numFmt w:val="decimal"/>
      <w:start w:val="3"/>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1."/>
      <w:numFmt w:val="decimal"/>
      <w:start w:val="1"/>
    </w:lvl>
    <w:lvl w:ilvl="1">
      <w:lvlJc w:val="left"/>
      <w:lvlText w:val="%2."/>
      <w:numFmt w:val="lowerLetter"/>
      <w:start w:val="1"/>
    </w:lvl>
  </w:abstractNum>
  <w:abstractNum w:abstractNumId="66">
    <w:nsid w:val="1EBA5D23"/>
    <w:multiLevelType w:val="hybridMultilevel"/>
    <w:lvl w:ilvl="0">
      <w:lvlJc w:val="left"/>
      <w:lvlText w:val="%1."/>
      <w:numFmt w:val="decimal"/>
      <w:start w:val="5"/>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Roman"/>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lowerLetter"/>
      <w:start w:val="2"/>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1)"/>
      <w:numFmt w:val="lowerLetter"/>
      <w:start w:val="5"/>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lowerRoman"/>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16" Type="http://schemas.openxmlformats.org/officeDocument/2006/relationships/hyperlink" Target="http://www.sec.gov/Archives/edgar/data/1549595/000156459020046400/nrix-ex31_464.htm" TargetMode="External"/><Relationship Id="rId217" Type="http://schemas.openxmlformats.org/officeDocument/2006/relationships/hyperlink" Target="http://www.sec.gov/Archives/edgar/data/1549595/000156459020046400/nrix-ex32_465.htm" TargetMode="External"/><Relationship Id="rId218" Type="http://schemas.openxmlformats.org/officeDocument/2006/relationships/hyperlink" Target="http://www.sec.gov/Archives/edgar/data/1549595/000119312520186809/d903927dex41.htm" TargetMode="External"/><Relationship Id="rId219" Type="http://schemas.openxmlformats.org/officeDocument/2006/relationships/hyperlink" Target="http://www.sec.gov/Archives/edgar/data/1549595/000119312520186809/d903927dex42.htm" TargetMode="External"/><Relationship Id="rId220" Type="http://schemas.openxmlformats.org/officeDocument/2006/relationships/hyperlink" Target="http://www.sec.gov/Archives/edgar/data/0001549595/000156459021006071/nrix-ex43_153.htm" TargetMode="External"/><Relationship Id="rId221" Type="http://schemas.openxmlformats.org/officeDocument/2006/relationships/hyperlink" Target="http://www.sec.gov/Archives/edgar/data/1549595/000119312520186809/d903927dex101.htm" TargetMode="External"/><Relationship Id="rId222" Type="http://schemas.openxmlformats.org/officeDocument/2006/relationships/hyperlink" Target="http://www.sec.gov/Archives/edgar/data/1549595/000119312520186809/d903927dex102.htm" TargetMode="External"/><Relationship Id="rId223" Type="http://schemas.openxmlformats.org/officeDocument/2006/relationships/hyperlink" Target="http://www.sec.gov/Archives/edgar/data/1549595/000119312520195056/d903927dex103.htm" TargetMode="External"/><Relationship Id="rId224" Type="http://schemas.openxmlformats.org/officeDocument/2006/relationships/hyperlink" Target="http://www.sec.gov/Archives/edgar/data/1549595/000119312520195056/d903927dex104.htm" TargetMode="External"/><Relationship Id="rId225" Type="http://schemas.openxmlformats.org/officeDocument/2006/relationships/hyperlink" Target="http://www.sec.gov/Archives/edgar/data/1549595/000119312520195056/d903927dex105.htm" TargetMode="External"/><Relationship Id="rId226" Type="http://schemas.openxmlformats.org/officeDocument/2006/relationships/hyperlink" Target="http://www.sec.gov/Archives/edgar/data/1549595/000119312520186809/d903927dex1011.htm" TargetMode="External"/><Relationship Id="rId227" Type="http://schemas.openxmlformats.org/officeDocument/2006/relationships/hyperlink" Target="http://www.sec.gov/Archives/edgar/data/1549595/000119312520195056/d903927dex107.htm" TargetMode="External"/><Relationship Id="rId228" Type="http://schemas.openxmlformats.org/officeDocument/2006/relationships/hyperlink" Target="http://www.sec.gov/Archives/edgar/data/0001549595/000156459021006071/nrix-ex107_389.htm" TargetMode="External"/><Relationship Id="rId229" Type="http://schemas.openxmlformats.org/officeDocument/2006/relationships/hyperlink" Target="http://www.sec.gov/Archives/edgar/data/0001549595/000156459021050851/nrix-ex101_27.htm" TargetMode="External"/><Relationship Id="rId230" Type="http://schemas.openxmlformats.org/officeDocument/2006/relationships/hyperlink" Target="http://www.sec.gov/Archives/edgar/data/1549595/000119312520186809/d903927dex108.htm" TargetMode="External"/><Relationship Id="rId233" Type="http://schemas.openxmlformats.org/officeDocument/2006/relationships/hyperlink" Target="http://www.sec.gov/Archives/edgar/data/0001549595/000156459021050851/nrix-ex102_26.htm" TargetMode="External"/><Relationship Id="rId234" Type="http://schemas.openxmlformats.org/officeDocument/2006/relationships/hyperlink" Target="http://www.sec.gov/Archives/edgar/data/1549595/000119312520186809/d903927dex109.htm" TargetMode="External"/><Relationship Id="rId235" Type="http://schemas.openxmlformats.org/officeDocument/2006/relationships/hyperlink" Target="http://www.sec.gov/Archives/edgar/data/1549595/000119312520186809/d903927dex1010.htm" TargetMode="External"/><Relationship Id="rId236" Type="http://schemas.openxmlformats.org/officeDocument/2006/relationships/hyperlink" Target="http://www.sec.gov/Archives/edgar/data/0001549595/000156459021006071/nrix-ex1011_158.htm" TargetMode="External"/><Relationship Id="rId237" Type="http://schemas.openxmlformats.org/officeDocument/2006/relationships/hyperlink" Target="http://www.sec.gov/Archives/edgar/data/1549595/000119312521236301/d211774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2022-01-28T15:20:08Z</dcterms:created>
  <dcterms:modified xsi:type="dcterms:W3CDTF">2022-01-28T15:20:08Z</dcterms:modified>
</cp:coreProperties>
</file>