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00" w:right="1620" w:hanging="3692"/>
        <w:spacing w:after="0" w:line="391"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2022</w:t>
      </w:r>
    </w:p>
    <w:p>
      <w:pPr>
        <w:spacing w:after="0" w:line="2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4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jc w:val="center"/>
              <w:ind w:left="160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jc w:val="right"/>
              <w:ind w:right="2324"/>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6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84"/>
              <w:spacing w:after="0" w:line="162" w:lineRule="exact"/>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San Francisco, CA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504"/>
              <w:spacing w:after="0" w:line="162" w:lineRule="exact"/>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2"/>
        </w:trPr>
        <w:tc>
          <w:tcPr>
            <w:tcW w:w="6740" w:type="dxa"/>
            <w:vAlign w:val="bottom"/>
            <w:gridSpan w:val="7"/>
          </w:tcPr>
          <w:p>
            <w:pPr>
              <w:jc w:val="center"/>
              <w:ind w:right="116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4500" w:type="dxa"/>
            <w:vAlign w:val="bottom"/>
          </w:tcPr>
          <w:p>
            <w:pPr>
              <w:jc w:val="center"/>
              <w:ind w:right="964"/>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r>
        <w:trPr>
          <w:trHeight w:val="305"/>
        </w:trPr>
        <w:tc>
          <w:tcPr>
            <w:tcW w:w="11240" w:type="dxa"/>
            <w:vAlign w:val="bottom"/>
            <w:gridSpan w:val="8"/>
          </w:tcPr>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660-5320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7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90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00" w:type="dxa"/>
            <w:vAlign w:val="bottom"/>
            <w:tcBorders>
              <w:top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color w:val="auto"/>
              </w:rPr>
              <w:t>NRIX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4"/>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12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March 31, 2022, the Registrant had 44,950,194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68"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88" w:lineRule="exact"/>
        <w:rPr>
          <w:rFonts w:ascii="Times New Roman" w:cs="Times New Roman" w:eastAsia="Times New Roman" w:hAnsi="Times New Roman"/>
          <w:sz w:val="18"/>
          <w:szCs w:val="18"/>
          <w:color w:val="auto"/>
        </w:rPr>
      </w:pPr>
    </w:p>
    <w:p>
      <w:pPr>
        <w:ind w:left="740" w:right="300" w:hanging="368"/>
        <w:spacing w:after="0" w:line="239" w:lineRule="exact"/>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other drug candidates, including statements regarding the timing of initiation of the clinical trials;</w:t>
      </w:r>
    </w:p>
    <w:p>
      <w:pPr>
        <w:spacing w:after="0" w:line="90"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NX-2127, NX-1607, NX-5948, DeTIL-0255 and other drug candidates;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and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and DELigase platform may potentially address a broad range of diseases;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Sanofi S.A. and Gilead Sciences, Inc.;</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17"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(COVID-19) pandemic, including the resurgence of cases relating to the spread of new variants, on our business, clinical trials, financial condition, liquidity and results of operations;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 (Unaudited)</w:t>
              </w:r>
            </w:hyperlink>
          </w:p>
        </w:tc>
        <w:tc>
          <w:tcPr>
            <w:tcW w:w="704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w:t>
              </w:r>
            </w:hyperlink>
          </w:p>
        </w:tc>
        <w:tc>
          <w:tcPr>
            <w:tcW w:w="580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Loss</w:t>
              </w:r>
            </w:hyperlink>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Stockholders’ Equity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51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OTHER INFORMATION</w:t>
              </w:r>
            </w:hyperlink>
          </w:p>
        </w:tc>
        <w:tc>
          <w:tcPr>
            <w:tcW w:w="75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814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84">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51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Mine Safety Disclosures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Other Information</w:t>
              </w:r>
            </w:hyperlink>
          </w:p>
        </w:tc>
        <w:tc>
          <w:tcPr>
            <w:tcW w:w="770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Exhibits</w:t>
              </w:r>
            </w:hyperlink>
          </w:p>
        </w:tc>
        <w:tc>
          <w:tcPr>
            <w:tcW w:w="816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000"/>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0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280,484</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437,720</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3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43,186</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131,803</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as of February 28, 2022 and November 30, 2021;</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February 28, 2022 and November 30, 2021</w:t>
            </w:r>
          </w:p>
        </w:tc>
        <w:tc>
          <w:tcPr>
            <w:tcW w:w="30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 of February 28, 2022 and November 30, 2021;</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44,853,448 and 44,664,371 shares issued and outstanding</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as of February 28, 2022 and November 30, 2021, respectively</w:t>
            </w: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571,363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(2,066)</w:t>
            </w: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(263,425)</w:t>
            </w:r>
          </w:p>
        </w:tc>
        <w:tc>
          <w:tcPr>
            <w:tcW w:w="3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(220,892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305,917</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437,720</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52,365</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(42,744)</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(42,533)</w:t>
            </w:r>
          </w:p>
        </w:tc>
        <w:tc>
          <w:tcPr>
            <w:tcW w:w="30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44,693,812</w:t>
            </w:r>
          </w:p>
        </w:tc>
        <w:tc>
          <w:tcPr>
            <w:tcW w:w="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38,777,258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(42,533</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16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(1,458)</w:t>
            </w:r>
          </w:p>
        </w:tc>
        <w:tc>
          <w:tcPr>
            <w:tcW w:w="6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22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2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3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2020</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38,864,872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393,841</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(103,698)</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290,269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Repurchase of unvested early exercised stock</w:t>
            </w:r>
          </w:p>
        </w:tc>
        <w:tc>
          <w:tcPr>
            <w:tcW w:w="12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(24,275)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(24,275)</w:t>
            </w:r>
          </w:p>
        </w:tc>
        <w:tc>
          <w:tcPr>
            <w:tcW w:w="0" w:type="dxa"/>
            <w:vAlign w:val="bottom"/>
          </w:tcPr>
          <w:p>
            <w:pPr>
              <w:spacing w:after="0"/>
              <w:rPr>
                <w:sz w:val="1"/>
                <w:szCs w:val="1"/>
                <w:color w:val="auto"/>
              </w:rPr>
            </w:pPr>
          </w:p>
        </w:tc>
      </w:tr>
      <w:tr>
        <w:trPr>
          <w:trHeight w:val="155"/>
        </w:trPr>
        <w:tc>
          <w:tcPr>
            <w:tcW w:w="33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2021</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39,119,315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(127,973)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270,133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22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2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3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2021</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44,664,371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563,757</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(220,892)</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342,302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(42,533)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(42,533)</w:t>
            </w:r>
          </w:p>
        </w:tc>
        <w:tc>
          <w:tcPr>
            <w:tcW w:w="0" w:type="dxa"/>
            <w:vAlign w:val="bottom"/>
          </w:tcPr>
          <w:p>
            <w:pPr>
              <w:spacing w:after="0"/>
              <w:rPr>
                <w:sz w:val="1"/>
                <w:szCs w:val="1"/>
                <w:color w:val="auto"/>
              </w:rPr>
            </w:pPr>
          </w:p>
        </w:tc>
      </w:tr>
      <w:tr>
        <w:trPr>
          <w:trHeight w:val="156"/>
        </w:trPr>
        <w:tc>
          <w:tcPr>
            <w:tcW w:w="33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2022</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44,853,448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571,363</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(263,425)</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305,917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February 28,</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(42,533)</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(24,275)</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amortization (accretion) of premium (discount) on investments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9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(1,514)</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(3,318)</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(42,630)</w:t>
            </w:r>
          </w:p>
        </w:tc>
        <w:tc>
          <w:tcPr>
            <w:tcW w:w="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(15,245)</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(47,742)</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58,748</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under employee stock purchase plan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unvested early exercised stock options</w:t>
            </w: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119,526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79,681</w:t>
            </w: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126,551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 and accrued expenses and other</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6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liabilities</w:t>
            </w: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4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78,780</w:t>
            </w:r>
          </w:p>
        </w:tc>
        <w:tc>
          <w:tcPr>
            <w:tcW w:w="26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79,681</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Nurix Therapeutics, Inc. (the Company) previously known as Nurix, Inc., was incorporated in the state of Delaware on August 27, 2009 and is headquartered in San Francisco, California. The Company is a clinical stage biopharmaceutical company focused on the discovery, development and commercialization of small molecule and cell therapies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were $218.1 million, after deducting underwriting discounts and commissions of $16.7 million and expenses of $3.6 million.</w:t>
      </w:r>
    </w:p>
    <w:p>
      <w:pPr>
        <w:spacing w:after="0" w:line="7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jc w:val="both"/>
        <w:ind w:right="40" w:firstLine="749"/>
        <w:spacing w:after="0" w:line="256"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This shelf registration statement, which includes a base prospectus, allows the Company at any time to offer and sell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79"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As of February 28, 2022, the Company has not sold any shares of common stock pursuant to the Equity Distribution Agreement and $150.0 million in shares remained available under the Equity Distribution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three months ended February 28, 2022, the Company incurred a net loss of $42.5 million and had negative net cash flows from operating activities of $42.6 million. The Company had an accumulated deficit of $263.4 million as of February 28, 2022 and will require substantial additional capital for research and development activities. The Company anticipates incurring additional losses until such time, if ever, that it can generate significant sales of its drug candidates currently in development. As of February 28, 2022, the Company had cash, cash equivalents and investments of $385.7 million.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9" w:name="page10"/>
    <w:bookmarkEnd w:id="9"/>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93" w:lineRule="exact"/>
        <w:rPr>
          <w:sz w:val="20"/>
          <w:szCs w:val="20"/>
          <w:color w:val="auto"/>
        </w:rPr>
      </w:pPr>
    </w:p>
    <w:p>
      <w:pPr>
        <w:ind w:right="76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28, 2022. The condensed consolidated balance sheet as of November 30, 2021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2021, as filed with the SEC. These interim results are not necessarily indicative of results to be expected for the full fiscal year or any future interim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including DeCART Therapeutics Inc.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months ended February 28, 2022; however, actual results could differ from those estimates and there may be changes to management’s estimates in future periods.</w:t>
      </w:r>
    </w:p>
    <w:p>
      <w:pPr>
        <w:spacing w:after="0" w:line="79"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57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8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8"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17"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8"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Research and collaboration licenses: If a license is determined to be distinct from the other promises identified in the arrangement, the Company 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2" w:lineRule="exact"/>
        <w:rPr>
          <w:sz w:val="20"/>
          <w:szCs w:val="20"/>
          <w:color w:val="auto"/>
        </w:rPr>
      </w:pPr>
    </w:p>
    <w:p>
      <w:pPr>
        <w:ind w:firstLine="510"/>
        <w:spacing w:after="0" w:line="223" w:lineRule="exact"/>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(ASU) No. 2019</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740)—Simplifying the Accounting for Income Taxes </w:t>
      </w:r>
      <w:r>
        <w:rPr>
          <w:rFonts w:ascii="Times New Roman" w:cs="Times New Roman" w:eastAsia="Times New Roman" w:hAnsi="Times New Roman"/>
          <w:sz w:val="17"/>
          <w:szCs w:val="17"/>
          <w:color w:val="auto"/>
        </w:rPr>
        <w:t>(ASU 2019-12), which is intended to simplify accounting for income taxes and eliminate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exceptions from Topic 740 related to the approach for intraperiod tax allocation, the methodology for calculating income taxes in an interim period and the recognition of deferred tax liabilities for outside basis differences. ASU 2019-12 also requires the amount of tax that is based on income to be accounted for under Topic 740 as an income-based tax, with any incremental amount accounted for as a non-income-based tax recognized entirely in the period incurred. The Company adopted ASU 2019-12 as of December 1, 2021 using the modified retrospective method, and recognized an immaterial non-income-based tax within operating expenses in the current period. The adoption had no other impact on the Company’s condensed consolidated financial statements.</w:t>
      </w:r>
    </w:p>
    <w:p>
      <w:pPr>
        <w:spacing w:after="0" w:line="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requires the lessee to recognize a ROU asset and a lease liability for operating leases, initially measured at the present value of lease payments, in its consolidated balance sheet. On November 30, 2021, the Company adopted ASU 2016-02 using the alternative modified transition method effective as of December 1, 2020. As a result, the Company has retrospectively changed its previously issued condensed consolidated financial statements as of February 28, 2021 and for the three months ended February 28, 2021 as presented in its February 28, 2021 Quarterly Report on Form 10-Q to reflect the adoption of Topic 842 on December 1, 2020. The condensed consolidated financial statements for the three months ended February 28, 2021 presented herein differ from the Company’s condensed consolidated financial statements included in its February 28, 2021 Quarterly Report on Form 10-Q, as those financial statements were prepared using the former accounting standard referred to as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balance sheet as of December 1, 2020 (in thousands):</w:t>
      </w:r>
    </w:p>
    <w:tbl>
      <w:tblPr>
        <w:tblLayout w:type="fixed"/>
        <w:tblInd w:w="0" w:type="dxa"/>
        <w:tblCellMar>
          <w:top w:w="0" w:type="dxa"/>
          <w:left w:w="0" w:type="dxa"/>
          <w:bottom w:w="0" w:type="dxa"/>
          <w:right w:w="0" w:type="dxa"/>
        </w:tblCellMar>
      </w:tblPr>
      <w:tr>
        <w:trPr>
          <w:trHeight w:val="137"/>
        </w:trPr>
        <w:tc>
          <w:tcPr>
            <w:tcW w:w="7020" w:type="dxa"/>
            <w:vAlign w:val="bottom"/>
          </w:tcPr>
          <w:p>
            <w:pPr>
              <w:spacing w:after="0"/>
              <w:rPr>
                <w:sz w:val="11"/>
                <w:szCs w:val="11"/>
                <w:color w:val="auto"/>
              </w:rPr>
            </w:pPr>
          </w:p>
        </w:tc>
        <w:tc>
          <w:tcPr>
            <w:tcW w:w="14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4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statement of cash flows for the three months ended February 28, 2021 (in thousands):</w:t>
      </w:r>
    </w:p>
    <w:tbl>
      <w:tblPr>
        <w:tblLayout w:type="fixed"/>
        <w:tblInd w:w="0" w:type="dxa"/>
        <w:tblCellMar>
          <w:top w:w="0" w:type="dxa"/>
          <w:left w:w="0" w:type="dxa"/>
          <w:bottom w:w="0" w:type="dxa"/>
          <w:right w:w="0" w:type="dxa"/>
        </w:tblCellMar>
      </w:tblPr>
      <w:tr>
        <w:trPr>
          <w:trHeight w:val="137"/>
        </w:trPr>
        <w:tc>
          <w:tcPr>
            <w:tcW w:w="7020" w:type="dxa"/>
            <w:vAlign w:val="bottom"/>
          </w:tcPr>
          <w:p>
            <w:pPr>
              <w:spacing w:after="0"/>
              <w:rPr>
                <w:sz w:val="11"/>
                <w:szCs w:val="11"/>
                <w:color w:val="auto"/>
              </w:rPr>
            </w:pPr>
          </w:p>
        </w:tc>
        <w:tc>
          <w:tcPr>
            <w:tcW w:w="14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4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4"/>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340" w:firstLine="510"/>
        <w:spacing w:after="0" w:line="289"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50"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79"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8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February 28, 2022, the Company has received payments of $24.5 million for research milestones and additional payments. Additionally, the Company recognized a research milestone in February 2022 and received a payment of $6.0 million in the second fiscal quarter of 2022. The Company is eligible to receive up to approximately $2.3 billion in total additional payments, including up to $671.5 million upon the achievement of specified development milestones, up to $1.5 billion upon the achievement of specified sales milestones, subject to reduction for any product for which the Company exercises its option to co-develop and co-promote, and up to $139.8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8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86"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February 28, 2022.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Upon the achievement of research milestones and additional fees related to target reservations, $30.5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8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For the three months ended February 28, 2022, the Company recognized collaboration revenue related to the Gilead Agreement of $6.2 million, of which $3.3 million was included in deferred revenue as of November 30, 2021, and $2.5 million was related to activities satisfied in previous periods. For the three months ended February 28, 2021, the Company recognized collaboration revenue related to the Gilead Agreement of $2.7 million, all of which was included in deferred revenue as of November 30, 2020, and $0.5 million was related to activities satisfied in previous periods. Deferred revenue related to the Gilead Agreement was $40.9 million, of which $19.8 million was current, as of February 28, 2022, and $41.1 million, of which $19.9 million was current, as of November 30, 2021. Additionally, as of both February 28, 2022 and November 30, 2021, $6.0 million was recorded in accounts receivable representing the billed amount related to the research milestones recognized in February 2022 and November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60" w:firstLine="514"/>
        <w:spacing w:after="0" w:line="254"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In January 2021, the Company and Sanofi entered into a first amendment to the collaboration agreement to modify the research term on all targets (the First Sanofi Amendment). Over time and subject to certain limitations, Sanofi may elect to replace the drug targets with other reserved targets. In December 2021, the Company and Sanofi entered into a second amendment to the collaboration agreement to extend the substitution deadline on certain targets.</w:t>
      </w:r>
    </w:p>
    <w:p>
      <w:pPr>
        <w:spacing w:after="0" w:line="84" w:lineRule="exact"/>
        <w:rPr>
          <w:sz w:val="20"/>
          <w:szCs w:val="20"/>
          <w:color w:val="auto"/>
        </w:rPr>
      </w:pPr>
    </w:p>
    <w:p>
      <w:pPr>
        <w:ind w:right="140" w:firstLine="514"/>
        <w:spacing w:after="0" w:line="255"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in the future.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81" w:lineRule="exact"/>
        <w:rPr>
          <w:sz w:val="20"/>
          <w:szCs w:val="20"/>
          <w:color w:val="auto"/>
        </w:rPr>
      </w:pPr>
    </w:p>
    <w:p>
      <w:pPr>
        <w:ind w:right="80" w:firstLine="514"/>
        <w:spacing w:after="0" w:line="254"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84" w:lineRule="exact"/>
        <w:rPr>
          <w:sz w:val="20"/>
          <w:szCs w:val="20"/>
          <w:color w:val="auto"/>
        </w:rPr>
      </w:pPr>
    </w:p>
    <w:p>
      <w:pPr>
        <w:ind w:right="60" w:firstLine="514"/>
        <w:spacing w:after="0" w:line="253"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From the signing of the Sanofi Agreement to February 28, 2022, the Company has received a payment of $1.0 million for a research milestone. Additionally, the Company recognized another research milestone in February 2022 and anticipates a payment of $2.0 million in the second fiscal quarter of 2022. The Company is eligible to receive up to approximately $2.5 billion in total additional payments, including payments of up to $497.0 million upon the achievement of specified development milestones, up to $625.0 million upon the achievement of specified regulatory milestones and up to $1.3 billion upon the achievement of certain sales milestones, as well as up to $131.8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8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7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ind w:firstLine="510"/>
        <w:spacing w:after="0" w:line="252"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February 28, 2022.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which was subsequently exercised by Sanofi. Subsequently, upon the achievement of research milestones, $3.0 million in variable consideration was added to the transaction price, and a cumulative effect was recorded as revenue in the period the transaction price increased. Revenue is recognized over the research term of 4.25 years, the revised research period that was agreed to in January 2021 in the First Sanofi Amendment, using the cost-based input method.</w:t>
      </w:r>
    </w:p>
    <w:p>
      <w:pPr>
        <w:spacing w:after="0" w:line="89" w:lineRule="exact"/>
        <w:rPr>
          <w:sz w:val="20"/>
          <w:szCs w:val="20"/>
          <w:color w:val="auto"/>
        </w:rPr>
      </w:pPr>
    </w:p>
    <w:p>
      <w:pPr>
        <w:ind w:right="140" w:firstLine="510"/>
        <w:spacing w:after="0" w:line="277"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0"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75"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For the three months ended February 28, 2022, the Company recognized collaboration revenue related to the Sanofi Agreement of $3.4 million, of which $2.9 million was included in deferred revenue as of November 30, 2021 and $0.4 million was related to activities satisfied in previous periods. For the three months ended February 28, 2021, the Company recognized collaboration revenue related to the Sanofi Agreement of $2.3 million, all of which was included in deferred revenue as of November 30, 2020. Deferred revenue related to the Sanofi Agreement was $57.7 million, of which $23.4 million was current, as of February 28, 2022, and $59.2 million, of which $21.3 million was current, as of November 30, 2021. Additionally, as of February 28, 2022, $2.0 million was recorded as contract assets representing the unbilled amount related to the research milestone recognized in February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Condensed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6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in progress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(15,707)</w:t>
            </w:r>
          </w:p>
        </w:tc>
        <w:tc>
          <w:tcPr>
            <w:tcW w:w="2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(14,879)</w:t>
            </w:r>
          </w:p>
        </w:tc>
      </w:tr>
      <w:tr>
        <w:trPr>
          <w:trHeight w:val="223"/>
        </w:trPr>
        <w:tc>
          <w:tcPr>
            <w:tcW w:w="6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$1.0 million and $0.6 million for the three months ended February 28, 2022 and 2021, respectively. All long-lived assets are maintained in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17"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8" w:lineRule="exact"/>
        <w:rPr>
          <w:sz w:val="20"/>
          <w:szCs w:val="20"/>
          <w:color w:val="auto"/>
        </w:rPr>
      </w:pPr>
    </w:p>
    <w:p>
      <w:pPr>
        <w:ind w:right="7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investments classified as available-for-sale investments, that are measured at fair value on a recurring basis as of February 28, 2022 and November 30, 2021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28, 2022</w:t>
            </w:r>
          </w:p>
        </w:tc>
        <w:tc>
          <w:tcPr>
            <w:tcW w:w="10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384,546</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382,480</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10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investments</w:t>
            </w:r>
          </w:p>
        </w:tc>
        <w:tc>
          <w:tcPr>
            <w:tcW w:w="10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30, 2021</w:t>
            </w: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1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1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426,449</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Included in Short-term investments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investments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$0.9 million as of each of February 28, 2022 and November 30, 2021, and was included in prepaid expenses and other current assets on the condensed consolidated balance sheet.</w:t>
      </w:r>
    </w:p>
    <w:p>
      <w:pPr>
        <w:spacing w:after="0" w:line="54"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54"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months ended February 28, 2022 and 2021.</w:t>
      </w:r>
    </w:p>
    <w:p>
      <w:pPr>
        <w:spacing w:after="0" w:line="8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As of February 28, 2022 and November 30, 2021,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February 28, 2022 and November 30, 2021, no allowance for credit losses for the Company’s investments was recorded. During the three months ended February 28, 2022 and 2021, the Company did not recognize any impairment losses related to investments.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28, 2022, the Company was not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18" w:name="page19"/>
    <w:bookmarkEnd w:id="18"/>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has an option to renew this lease for an additional two years which has not been included in the lease term used to calculate the ROU asset and lease liability as it is not reasonably certain that the Company will exercise this option.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 In June 2020, the Company entered into a new lease agreement for additional space in the same building as the Company’s existing office for a 14-month term ending on July 31, 2021.</w:t>
      </w:r>
    </w:p>
    <w:p>
      <w:pPr>
        <w:spacing w:after="0" w:line="8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located at 455 Mission Bay Boulevard South, San Francisco, California, for a research and development laboratory and related uses (Mission Bay Lease). The lease commenced on December 1, 2021 and will expire on June 30, 2024, unless terminated earlier. The minimum rent payable by the Company under the lease will be approximately $0.1 million per month and increase by 3% per year for total minimum rent payments of $3.8 million over the lease term. The Company will also be responsible for the payment of additional rent to cover the Company’s share of the annual operating and tax expenses and utilities costs for the building. Under the terms of the lease agreement, the Company issued a letter of credit to the landlord in the amount of $0.1 million, which is collateralized by a restricted deposit of $0.1 million.</w:t>
      </w:r>
    </w:p>
    <w:p>
      <w:pPr>
        <w:spacing w:after="0" w:line="8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Operating lease expenses were $1.4 million and $0.8 million for the three months ended February 28, 2022 and 2021, respectively. Short-term lease expense was not material for all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February 28,</w:t>
            </w:r>
          </w:p>
        </w:tc>
      </w:tr>
      <w:tr>
        <w:trPr>
          <w:trHeight w:val="223"/>
        </w:trPr>
        <w:tc>
          <w:tcPr>
            <w:tcW w:w="64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6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FF0FC"/>
            </w:tcBorders>
          </w:tcPr>
          <w:p>
            <w:pPr>
              <w:spacing w:after="0"/>
              <w:rPr>
                <w:sz w:val="23"/>
                <w:szCs w:val="23"/>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20" w:firstLine="514"/>
        <w:spacing w:after="0" w:line="266" w:lineRule="auto"/>
        <w:rPr>
          <w:sz w:val="20"/>
          <w:szCs w:val="20"/>
          <w:color w:val="auto"/>
        </w:rPr>
      </w:pPr>
      <w:r>
        <w:rPr>
          <w:rFonts w:ascii="Calibri" w:cs="Calibri" w:eastAsia="Calibri" w:hAnsi="Calibri"/>
          <w:sz w:val="18"/>
          <w:szCs w:val="18"/>
          <w:color w:val="auto"/>
        </w:rPr>
        <w:t xml:space="preserve">The undiscounted future non-cancellable </w:t>
      </w:r>
      <w:r>
        <w:rPr>
          <w:rFonts w:ascii="Times New Roman" w:cs="Times New Roman" w:eastAsia="Times New Roman" w:hAnsi="Times New Roman"/>
          <w:sz w:val="18"/>
          <w:szCs w:val="18"/>
          <w:color w:val="auto"/>
        </w:rPr>
        <w:t>lease payments under the Company’s lease agreements as of February 28, 2022 were as follows (in</w:t>
      </w: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9 months)</w:t>
            </w:r>
          </w:p>
        </w:tc>
        <w:tc>
          <w:tcPr>
            <w:tcW w:w="4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4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long-term liabilities</w:t>
            </w:r>
          </w:p>
        </w:tc>
        <w:tc>
          <w:tcPr>
            <w:tcW w:w="4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February 28, 2022 and November 30, 2021. Holders of common stock are entitled to dividends when and if declared by the Company’s board of directors, subject to the prior rights of the holders of shares of preferred stock. The holder of each share of common stock is entitled to one vote. As of February 28, 2022, no dividends have been declared.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February 28, 2022 and November 30, 2021, consists of the following:</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213"/>
        </w:trPr>
        <w:tc>
          <w:tcPr>
            <w:tcW w:w="624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2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options under stock option plan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6,523,560</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2,956,884</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2,562,570</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1,390,620</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1,015,184</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649,382</w:t>
            </w:r>
          </w:p>
        </w:tc>
        <w:tc>
          <w:tcPr>
            <w:tcW w:w="28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11,520,446</w:t>
            </w:r>
          </w:p>
        </w:tc>
        <w:tc>
          <w:tcPr>
            <w:tcW w:w="2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9,476,306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(SARs), restricted stock awards (RSAs), restricted stock units (RSUs), performance awards and stock bonus awards to employees, directors, consultants, independent contractors and advisors of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(117,870)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(157,679)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February 28,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6,523,560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February 28,</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15"/>
                <w:szCs w:val="15"/>
                <w:color w:val="auto"/>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6,465,082</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February 28,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2,823,207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220" w:hanging="492"/>
        <w:spacing w:after="0" w:line="199"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February 28, 2022 for all in-the-money stock options.</w:t>
      </w:r>
    </w:p>
    <w:p>
      <w:pPr>
        <w:spacing w:after="0" w:line="91" w:lineRule="exact"/>
        <w:rPr>
          <w:rFonts w:ascii="Times New Roman" w:cs="Times New Roman" w:eastAsia="Times New Roman" w:hAnsi="Times New Roman"/>
          <w:sz w:val="29"/>
          <w:szCs w:val="29"/>
          <w:color w:val="auto"/>
          <w:vertAlign w:val="superscript"/>
        </w:rPr>
      </w:pPr>
    </w:p>
    <w:p>
      <w:pPr>
        <w:ind w:left="500" w:hanging="492"/>
        <w:spacing w:after="0" w:line="230"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condensed consolidated balance sheets and reclassified into equity as the options vest. As of February 28, 2022, a total of 41,522 shares of common stock were subject to repurchase by the Company at the lower of (i) the fair market value of such shares on the date of repurchase, or (ii) the original exercise price of such shares. The corresponding exercise value of $0.3 million as of February 28, 2022 is recorded in share-based compensation liability.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RSU activity under the Stock Plans is set forth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RSUs 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forfeited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February 28, 2022</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with accumulated payroll deductions. During the three months ended February 28, 2022, the Company issued 71,207 shares pursuant to the ESPP at a weighted-average price of $14.94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Company’s condensed consolidated statements of operations is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0"/>
        </w:trPr>
        <w:tc>
          <w:tcPr>
            <w:tcW w:w="4420" w:type="dxa"/>
            <w:vAlign w:val="bottom"/>
          </w:tcPr>
          <w:p>
            <w:pPr>
              <w:spacing w:after="0"/>
              <w:rPr>
                <w:sz w:val="17"/>
                <w:szCs w:val="17"/>
                <w:color w:val="auto"/>
              </w:rPr>
            </w:pPr>
          </w:p>
        </w:tc>
        <w:tc>
          <w:tcPr>
            <w:tcW w:w="29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3"/>
        </w:trPr>
        <w:tc>
          <w:tcPr>
            <w:tcW w:w="4420" w:type="dxa"/>
            <w:vAlign w:val="bottom"/>
            <w:tcBorders>
              <w:bottom w:val="single" w:sz="8" w:color="CFF0FC"/>
            </w:tcBorders>
          </w:tcPr>
          <w:p>
            <w:pPr>
              <w:spacing w:after="0"/>
              <w:rPr>
                <w:sz w:val="2"/>
                <w:szCs w:val="2"/>
                <w:color w:val="auto"/>
              </w:rPr>
            </w:pPr>
          </w:p>
        </w:tc>
        <w:tc>
          <w:tcPr>
            <w:tcW w:w="180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As of February 28, 2022, the total compensation cost related to stock-based awards not yet recognized was $75.2 million, which is expected to be amortized on a straight-line basis over the weighted-average remaining vesting period of approximately 3.0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has made contributions to the 401(k) Plan and recorded contribution expense of $0.5 million and $0.2 million during the three months ended February 28, 2022 and 2021,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For the three months ended February 28, 2022, the Company did not record any current income tax expense or provision and for the three months ended February 28, 2021, the Company recorded a current income tax expense of $71,000.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28, 2022 and November 30, 2021 due to the uncertainty of realizing future tax benefits from its net operating loss carryforwards and other deferred tax assets.</w:t>
      </w:r>
    </w:p>
    <w:p>
      <w:pPr>
        <w:spacing w:after="0" w:line="7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January 2019, the California Franchise Tax Board (FTB) commenced an examination of the Company’s California income tax returns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60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(42,533)</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(24,275)</w:t>
            </w: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44,693,812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38,777,258</w:t>
            </w:r>
          </w:p>
        </w:tc>
        <w:tc>
          <w:tcPr>
            <w:tcW w:w="12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510"/>
        <w:spacing w:after="0" w:line="239" w:lineRule="auto"/>
        <w:rPr>
          <w:sz w:val="20"/>
          <w:szCs w:val="20"/>
          <w:color w:val="auto"/>
        </w:rPr>
      </w:pPr>
      <w:r>
        <w:rPr>
          <w:rFonts w:ascii="PMingLiU" w:cs="PMingLiU" w:eastAsia="PMingLiU" w:hAnsi="PMingLiU"/>
          <w:sz w:val="18"/>
          <w:szCs w:val="18"/>
          <w:color w:val="auto"/>
        </w:rPr>
        <w:t>The following potenally diluve securies were excluded from the computaon of the diluted net loss per share of common stock for the periods presented because their e ect would have been an-diluve:</w:t>
      </w:r>
    </w:p>
    <w:p>
      <w:pPr>
        <w:spacing w:after="0" w:line="13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February 28,</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100" w:type="dxa"/>
            <w:vAlign w:val="bottom"/>
            <w:tcBorders>
              <w:bottom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CFF0FC"/>
            </w:tcBorders>
          </w:tcPr>
          <w:p>
            <w:pPr>
              <w:spacing w:after="0"/>
              <w:rPr>
                <w:sz w:val="15"/>
                <w:szCs w:val="15"/>
                <w:color w:val="auto"/>
              </w:rPr>
            </w:pPr>
          </w:p>
        </w:tc>
        <w:tc>
          <w:tcPr>
            <w:tcW w:w="18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6,523,560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5,095,996</w:t>
            </w:r>
          </w:p>
        </w:tc>
        <w:tc>
          <w:tcPr>
            <w:tcW w:w="100" w:type="dxa"/>
            <w:vAlign w:val="bottom"/>
            <w:shd w:val="clear" w:color="auto" w:fill="CFF0FC"/>
          </w:tcPr>
          <w:p>
            <w:pPr>
              <w:spacing w:after="0"/>
              <w:rPr>
                <w:sz w:val="19"/>
                <w:szCs w:val="19"/>
                <w:color w:val="auto"/>
              </w:rPr>
            </w:pP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41,522</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121,134</w:t>
            </w:r>
          </w:p>
        </w:tc>
        <w:tc>
          <w:tcPr>
            <w:tcW w:w="100" w:type="dxa"/>
            <w:vAlign w:val="bottom"/>
          </w:tcPr>
          <w:p>
            <w:pPr>
              <w:spacing w:after="0"/>
              <w:rPr>
                <w:sz w:val="19"/>
                <w:szCs w:val="19"/>
                <w:color w:val="auto"/>
              </w:rPr>
            </w:pPr>
          </w:p>
        </w:tc>
      </w:tr>
      <w:tr>
        <w:trPr>
          <w:trHeight w:val="229"/>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shd w:val="clear" w:color="auto" w:fill="CFF0FC"/>
          </w:tcPr>
          <w:p>
            <w:pPr>
              <w:spacing w:after="0"/>
              <w:rPr>
                <w:sz w:val="19"/>
                <w:szCs w:val="19"/>
                <w:color w:val="auto"/>
              </w:rPr>
            </w:pPr>
          </w:p>
        </w:tc>
      </w:tr>
      <w:tr>
        <w:trPr>
          <w:trHeight w:val="229"/>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649,382</w:t>
            </w:r>
          </w:p>
        </w:tc>
        <w:tc>
          <w:tcPr>
            <w:tcW w:w="28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7,288,315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5,251,736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is a trustee for the Company’s healthcare plan provider. Expenses related to the healthcare plan premiums were $0.9 million and $0.5 million for the three months ended February 28, 2022 and 2021, respectively. As of February 28, 2022 and November 30, 2021, the amount recorded in accrued liabilities and accounts payable in connection with this healthcare plan provider was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March 1, 2022, the Company entered into a lease agreement (the 8800 Technology Forest Pl Lease) with 8800 Technology Forest Pl, LLC, effective as of March 1, 2022, for the lease of approximately 46,434 square feet of office space located at 8800 Technology Forest Place, The Woodlands, Texas, for a research and development laboratory and related uses. The commencement date of the 8800 Technology Forest Pl Lease is expected to be on or about August 1, 2022, and the lease will expire on March 1, 2035, unless terminated earlier. The minimum rent payable by the Company under the 8800 Technology Forest Pl Lease will be approximately $205,084 per month, beginning on March 1, 2023, which amount will increase by 3% per year over the term of the lease; provided that, for the period between March 1, 2023 and February 29, 2024, the minimum rent payable by the Company under the lease will be approximately $153,813 per month. The Company will also be responsible for the payment of additional rent to cover the Company’s share of the annual operating and tax expenses and utilities costs for the building. Refer to Note 6 for more information regarding leases.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10"/>
        <w:spacing w:after="0" w:line="219"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10-Q and (2) the audited consolidated financial statements and related notes and management’s discussion and analysis of financial condition and results of operations for the fiscal year ended November 30, 2021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on January 28, 2022 (2021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17" w:lineRule="exact"/>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four clinical stage drug candidates including targeted protein degraders of Bruton’s tyrosine kinase (BTK), a B-cell signaling protein, and inhibitors of Casitas B-lineage lymphoma proto-oncogene B (CBL-B), an E3 ligase that regulates T-cell activation. Our lead drug candidate from our protein degradation portfolio, NX-2127, is an orally bioavailable BTK degrader for the treatment of relapsed or refractory B-cell malignancies. We are currently enrolling patients in the Phase 1a portion of a Phase 1a/1b dose-escalation and cohort expansion study in patients with relapsed or refractory B-cell malignancies. Our second drug candidate from our protein degradation portfolio, NX-5948, is also an orally bioavailable BTK degrader for the treatment of relapsed or refractory B-cell malignancies and potentially autoimmune diseases. We are actively recruiting in the Phase 1a portion of a Phase 1a/1b dose-escalation and cohort expansion study in patients with relapsed or refractory B-cell malignancies. Our lead drug candidate from our E3 ligase inhibitor portfolio, NX-1607, for which we were awarded an Innovative Passport from the UK Medicines and Healthcare products Regulatory Agency to accelerate time to market and facilitate patient access to novel drugs to treat serious and life-threatening diseases, is an orally bioavailable CBL-B inhibitor for immuno-oncology indications. We are currently enrolling patients in the Phase 1a portion of a Phase 1a/1b dose-escalation and cohort expansion study in patients with solid tumors and lymphomas. We are also advancing the development of a CBL-B inhibitor,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for ex vivo use to enhance adoptive T-cell therapy. We are currently enrolling patients in the Phase 1 clinical trial for our first cell therapy candidate, DeTIL-0255, in patients with gynecologic cancers including ovarian cancer, endometrial cancer, and cervical cancer. Beyond these clinical candidates, we are advancing additional wholly owned, preclinical programs that may expand our therapeutic areas beyond oncology and autoimmune disease to viral diseases, including COVID-19. Our therapeutic areas may be further expanded through our established strategic collaborations with Sanofi S.A. (Sanofi), and Gilead Sciences, Inc. (Gilead).</w:t>
      </w:r>
    </w:p>
    <w:p>
      <w:pPr>
        <w:spacing w:after="0" w:line="98"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(Celgene) and the issuance and sale of common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7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three months ended February 28, 2022 and 2021, we incurred net losses of $42.5 million and $24.3 million, respectively. As of February 28, 2022, we had an accumulated deficit of $263.4 million. These losses have resulted primarily from costs incurred in connection with research and development activities and general and administrative costs associated with our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We expect our expenses will increase substantially as we advance our drug candidates through preclinical and into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of February 28, 2022, we had $385.7 million in cash, cash equivalents and investments. 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82" w:lineRule="exact"/>
        <w:rPr>
          <w:sz w:val="20"/>
          <w:szCs w:val="20"/>
          <w:color w:val="auto"/>
        </w:rPr>
      </w:pPr>
    </w:p>
    <w:p>
      <w:pPr>
        <w:ind w:firstLine="510"/>
        <w:spacing w:after="0" w:line="263"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current COVID-19 pandemic. The COVID-19 pandemic, including the resurgence of cases relating to the spread of new variants,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recently commenced clinical development of our four lead drug candidates, the extent to which the COVID-19 pandemic will impact our business, financial condition, liquidity and results of operations in the future will depend on future developments that are highly uncertain and cannot be predicted at this time.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68"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8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February 28, 2022, we received payments of $24.5 million for research milestones and additional payments. Additionally, we recognized a research milestone in February 2022 and received a payment of $6.0 million in the second fiscal quarter of 2022. As of February 28, 2022,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8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$6.2 million and $2.7 million during the three months ended February 28, 2022 and 2021, respectively. As of February 28, 2022 and November 30, 2021, there was $40.9 million and $41.1 million, respectively, of deferred revenue related to payments received by us under the Gilead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21" w:lineRule="exact"/>
        <w:rPr>
          <w:sz w:val="20"/>
          <w:szCs w:val="20"/>
          <w:color w:val="auto"/>
        </w:rPr>
      </w:pPr>
    </w:p>
    <w:p>
      <w:pPr>
        <w:ind w:right="80" w:firstLine="514"/>
        <w:spacing w:after="0" w:line="259"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$22.0 million to exercise its option to expand the number of targets in the collaboration agreement from three to a total of five targets. Over time and subject to certain limitations, Sanofi may elect to replace the drug targets with other reserved targets. In January 2021, we entered into the First Sanofi Amendment to the collaboration agreement with Sanofi to modify the research term on all targets. In December 2021, we entered into the Second Sanofi Amendment to the collaboration agreement with Sanofi to extend the substitution deadline on certain targets.</w:t>
      </w:r>
    </w:p>
    <w:p>
      <w:pPr>
        <w:spacing w:after="0" w:line="76" w:lineRule="exact"/>
        <w:rPr>
          <w:sz w:val="20"/>
          <w:szCs w:val="20"/>
          <w:color w:val="auto"/>
        </w:rPr>
      </w:pPr>
    </w:p>
    <w:p>
      <w:pPr>
        <w:ind w:right="40" w:firstLine="514"/>
        <w:spacing w:after="0" w:line="258"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75" w:lineRule="exact"/>
        <w:rPr>
          <w:sz w:val="20"/>
          <w:szCs w:val="20"/>
          <w:color w:val="auto"/>
        </w:rPr>
      </w:pPr>
    </w:p>
    <w:p>
      <w:pPr>
        <w:ind w:right="160" w:firstLine="514"/>
        <w:spacing w:after="0" w:line="254"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84" w:lineRule="exact"/>
        <w:rPr>
          <w:sz w:val="20"/>
          <w:szCs w:val="20"/>
          <w:color w:val="auto"/>
        </w:rPr>
      </w:pPr>
    </w:p>
    <w:p>
      <w:pPr>
        <w:ind w:firstLine="514"/>
        <w:spacing w:after="0" w:line="254"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February 28, 2022, we received a payment of $1.0 million for a research milestone. Additionally, we recognized another research milestone in February 2022 and anticipate a payment of $2.0 million in the second fiscal quarter of 2022. As of February 28, 2022,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$3.4 million and $2.3 million during the three months ended February 28, 2022 and 2021, respectively. As of February 28, 2022 and November 30, 2021, there was $57.7 million and $59.2 million, respectively, of deferred revenue related to payments received by us under the Sanofi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5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68"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1000" w:right="62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17" w:lineRule="exact"/>
        <w:rPr>
          <w:sz w:val="20"/>
          <w:szCs w:val="20"/>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53"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4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increase our headcount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firstLine="510"/>
        <w:spacing w:after="0" w:line="312"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2021 Form 10-K. There have been no significant changes to these policies for the three months ended February 28,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February 28,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for the three months ended February 28, 2022 and 2021 are summarized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(42,744)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(42,533)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(42,533)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collaboration revenue for the three months ended February 28, 2022 and 2021 is summarized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Gilead</w:t>
            </w:r>
          </w:p>
        </w:tc>
        <w:tc>
          <w:tcPr>
            <w:tcW w:w="1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Sanofi</w:t>
            </w:r>
          </w:p>
        </w:tc>
        <w:tc>
          <w:tcPr>
            <w:tcW w:w="1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collaboration revenue increased by $4.6 million during the three months ended February 28, 2022 compared to the three months ended February 28, 2021. The increase was primarily due to the recognition of revenue as a cumulative catch up for activities satisfied in previous periods as we achieved certain research milestones under our collaborations with Gilead and Sanofi. The increase was also due to increased effort resulting in a higher percentage of completion of performance obligations under our collaboration with Gilead and Sanofi in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for the three months ended February 28, 2022 and 2021 are summarized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7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2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Clinical costs</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7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20" w:type="dxa"/>
            <w:vAlign w:val="bottom"/>
          </w:tcPr>
          <w:p>
            <w:pPr>
              <w:spacing w:after="0"/>
              <w:rPr>
                <w:sz w:val="19"/>
                <w:szCs w:val="19"/>
                <w:color w:val="auto"/>
              </w:rPr>
            </w:pPr>
          </w:p>
        </w:tc>
        <w:tc>
          <w:tcPr>
            <w:tcW w:w="9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$20.1 million during the three months ended February 28, 2022 compared to the three months ended February 28, 2021. There was an increase in compensation and related personnel costs and in non-cash stock-based compensation expense of $7.6 million and $2.3 million, respectively, that were attributable to higher headcount. There was also an increase in cost related to supplies and contract research and preclinical activities of $4.4 million and $0.6 million, respectively, as we continued to expand our preclinical development activities and drug discovery research, and an increase in costs related to contract manufacturing and clinical of $1.6 million and $2.0 million, respectively, primarily due to ongoing clinical trial startup and patient enrollment.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increased by $2.7 million during the three months ended February 28, 2022 compared to the three months ended February 28, 2021. There was an increase of $0.4 million in compensation related expenses and an increase of $1.1 million in non-cash stock-based compensation expense, both of which were primarily attributable to higher headcount. There was also an increase of $1.1 million in professional service expenses, including legal and accounting expenses related to infrastructure improvements.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July 23, 2020, our registration statement on Form S-1 (File No. 333-239651) relating to our IPO of common stock became effective. The IPO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the IPO were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81" w:lineRule="exact"/>
        <w:rPr>
          <w:sz w:val="20"/>
          <w:szCs w:val="20"/>
          <w:color w:val="auto"/>
        </w:rPr>
      </w:pPr>
    </w:p>
    <w:p>
      <w:pPr>
        <w:ind w:right="640" w:firstLine="510"/>
        <w:spacing w:after="0" w:line="266" w:lineRule="auto"/>
        <w:rPr>
          <w:sz w:val="20"/>
          <w:szCs w:val="20"/>
          <w:color w:val="auto"/>
        </w:rPr>
      </w:pPr>
      <w:r>
        <w:rPr>
          <w:rFonts w:ascii="Times New Roman" w:cs="Times New Roman" w:eastAsia="Times New Roman" w:hAnsi="Times New Roman"/>
          <w:sz w:val="18"/>
          <w:szCs w:val="18"/>
          <w:color w:val="auto"/>
        </w:rPr>
        <w:t>To date, our operations have primarily been funded through the net proceeds from equity offerings of $536.4 million and proceeds from collaborations of $306.5 million. We do not have any products approved for sale, and we have not generated any revenue from product sales. As of February 28, 2022, we had $385.7 million in cash,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10"/>
        <w:spacing w:after="0" w:line="219" w:lineRule="exact"/>
        <w:rPr>
          <w:sz w:val="20"/>
          <w:szCs w:val="20"/>
          <w:color w:val="auto"/>
        </w:rPr>
      </w:pPr>
      <w:r>
        <w:rPr>
          <w:rFonts w:ascii="Times New Roman" w:cs="Times New Roman" w:eastAsia="Times New Roman" w:hAnsi="Times New Roman"/>
          <w:sz w:val="18"/>
          <w:szCs w:val="18"/>
          <w:color w:val="auto"/>
        </w:rPr>
        <w:t>We expect that our existing cash, cash equivalents and investments are sufficient to meet our cash requirements and continue operating activities, including the clinical trials of our drug candidates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9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This shelf registration statement, which includes a base prospectus, allows us at any time to offer and sell registered common stock, preferred stock, debt securities, warrants, subscriptions rights and or units or any combination of securities described in the prospectus in one or more offerings. In addition,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As of February 28, 2022, we have not sold any shares of common stock pursuant to the Equity Distribution Agreement and $150.0 million in shares remained available under the Equity Distribution Agreement.</w:t>
      </w:r>
    </w:p>
    <w:p>
      <w:pPr>
        <w:spacing w:after="0" w:line="84" w:lineRule="exact"/>
        <w:rPr>
          <w:sz w:val="20"/>
          <w:szCs w:val="20"/>
          <w:color w:val="auto"/>
        </w:rPr>
      </w:pPr>
    </w:p>
    <w:p>
      <w:pPr>
        <w:ind w:right="300" w:firstLine="51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the base prospectus, we intend to use the net proceeds from the sale of any securities offered pursuant to the shelf registration statement for general corporate purposes, which may include funding research, clinical and process development, increasing our working capital, reducing indebtedness, acquisitions or investments in businesses, products or technologies that are complementary to our own and capital expenditures. Pending such uses, we may invest the net proceeds in marketable securities that may include investment-grade interest-bearing securities, money market accounts, certificates of deposit, commercial paper and guaranteed obligations of the U.S. government.</w:t>
      </w:r>
    </w:p>
    <w:p>
      <w:pPr>
        <w:spacing w:after="0" w:line="79"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1000" w:right="16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planned and ongoing Phase 1 clinical trials for our lead drug candidates NX-2127, NX-1607, NX-5948 and DeTIL-0255, and any future clinical development of such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44"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44"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28, 2022, our material cash requirements include the following contractual and other obligations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3"/>
                <w:szCs w:val="13"/>
                <w:color w:val="auto"/>
              </w:rPr>
            </w:pPr>
          </w:p>
        </w:tc>
        <w:tc>
          <w:tcPr>
            <w:tcW w:w="102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4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68" w:lineRule="exact"/>
        <w:rPr>
          <w:sz w:val="20"/>
          <w:szCs w:val="20"/>
          <w:color w:val="auto"/>
        </w:rPr>
      </w:pPr>
    </w:p>
    <w:p>
      <w:pPr>
        <w:ind w:right="380" w:firstLine="510"/>
        <w:spacing w:after="0" w:line="289"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flows for the three months ended February 28, 2022 and 2021 are summarized as follows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February 28,</w:t>
            </w:r>
          </w:p>
        </w:tc>
      </w:tr>
      <w:tr>
        <w:trPr>
          <w:trHeight w:val="223"/>
        </w:trPr>
        <w:tc>
          <w:tcPr>
            <w:tcW w:w="69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(2,387)</w:t>
            </w: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$42.6 million for the three months ended February 28, 2022 and consisted of a net loss of $42.5 million and an increase in net assets of $9.0 million, offset by non-cash adjustments of $8.9 million. The increase in net assets consisted primarily of a decrease in accrued expenses and other liabilities of $3.3 million primarily related to the payment of annual incentive compensation, an increase in contract assets of $2.0 million related to a milestone recognized pursuant to the Sanofi Agreement, a decrease in deferred revenue of $1.6 million and an increase in prepaid expenses and other assets of $1.5 million primarily related to increased prepaid clinical and contract manufacturing costs. Non-cash adjustments primarily consisted of stock-based compensation expenses of $6.1 million and amortization of operating lease right-of-use assets of $1.3 million.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$8.1 million for the three months ended February 28, 2021 and consisted of a decrease in net assets of $28.0 million and non-cash adjustments of $4.3 million, offset by a net loss of $24.3 million. The decrease in net assets consisted primarily of an increase in deferred revenue of $17.0 million and a decrease in contract assets of $7.5 million. Non-cash adjustments primarily consisted of stock-based compensation expenses of $2.7 million, amortization of operating lease right-of-use assets of $0.7 million and depreciation and amortization expenses of $0.6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$40.0 million for the three months ended February 28, 2022 and consisted of the maturity of investments of $58.7 million, offset by the purchase of investments of $15.2 million and the purchase of property and equipment of $3.5 million.</w:t>
      </w:r>
    </w:p>
    <w:p>
      <w:pPr>
        <w:spacing w:after="0" w:line="54"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$2.4 million for the three months ended February 28, 2021 and consisted primarily of the purchase of investments of $47.7 million, offset by the maturity of investments of $46.2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$1.5 million for the three months ended February 28, 2022 and consisted primarily of proceeds from the issuance of common stock under our Employee Stock Purchase Plan.</w:t>
      </w:r>
    </w:p>
    <w:p>
      <w:pPr>
        <w:spacing w:after="0" w:line="54"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$1.4 million for the three months ended February 28, 2021 and consisted primarily of proceeds from the issuance of common stock under our Employee Stock Purchase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Our market risks, as of February 28, 2022, have not changed materially from those discussed in “Item 7A. Quantitative and Qualitative Disclosures About Market Risk” of our Annual Report on Form 10-K for the year ended November 30, 2021, filed with the SEC on January 28,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February 28, 2022.</w:t>
      </w:r>
    </w:p>
    <w:p>
      <w:pPr>
        <w:spacing w:after="0" w:line="68"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February 28, 2022 due to the material weakness in our internal control over financial reporting described below.</w:t>
      </w:r>
    </w:p>
    <w:p>
      <w:pPr>
        <w:spacing w:after="0" w:line="8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as of and for the periods presented in conformity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 in Internal Control over Financial Reporting</w:t>
      </w:r>
    </w:p>
    <w:p>
      <w:pPr>
        <w:spacing w:after="0" w:line="121"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We have previously identified in our Annual Report on Form 10-K filed on January 28, 2022 the following control deficiencies that constitute material weaknesses in our internal control over financial reporting:</w:t>
      </w:r>
    </w:p>
    <w:p>
      <w:pPr>
        <w:spacing w:after="0" w:line="54" w:lineRule="exact"/>
        <w:rPr>
          <w:sz w:val="20"/>
          <w:szCs w:val="20"/>
          <w:color w:val="auto"/>
        </w:rPr>
      </w:pPr>
    </w:p>
    <w:p>
      <w:pPr>
        <w:ind w:left="1000" w:hanging="493"/>
        <w:spacing w:after="0" w:line="253"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appropriate personnel, and (b) program change management controls to ensure that IT program and data changes affecting financial IT applications and underlying accounting records are identified, tested, authorized and implemented appropriately. These IT deficiencies did not result in any misstatements to the financial statements; however, the deficiencies, when aggregated, could impact our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management has determined that these deficiencies in the aggregate constitute a material weakness.</w:t>
      </w:r>
    </w:p>
    <w:p>
      <w:pPr>
        <w:spacing w:after="0" w:line="83" w:lineRule="exact"/>
        <w:rPr>
          <w:rFonts w:ascii="Times New Roman" w:cs="Times New Roman" w:eastAsia="Times New Roman" w:hAnsi="Times New Roman"/>
          <w:sz w:val="18"/>
          <w:szCs w:val="18"/>
          <w:color w:val="auto"/>
        </w:rPr>
      </w:pPr>
    </w:p>
    <w:p>
      <w:pPr>
        <w:ind w:left="1000" w:right="60" w:hanging="493"/>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segregation of duty controls over the review and approval of account reconciliations and manual journal entries. This material weakness did not result in any misstatements to the financial statements; however, the deficiency could result in a misstatement of substantially all of our account balances or disclosures that would result in a material misstatement to the annual or interim financial statements that would not be prevented or detected.</w:t>
      </w:r>
    </w:p>
    <w:p>
      <w:pPr>
        <w:spacing w:after="0" w:line="7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To address our material weaknesses, we have implemented and continue to implement new IT controls. We intend to continue to take steps to remediate the material weaknesses through formalizing documentation of IT policies and procedures and ensuring the ongoing operating effectiveness of the newly implemented IT controls to support effective IT dependent controls and our ability to maintain segregation of duties for our accounting staff in relation to account reconciliations and manual journal entries.</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described under the Remediation Plan above, we continued formalizing documentation of our IT policies and procedures and implementing new controls during the three months ended February 28, 2022. Such remediation actions were changes in our internal control over financial reporting identified in connection with the evaluation required by Rule 13a-15(d) and 15d-15(d) of the Exchange Act that occurred during the three months ended February 28, 2022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54" w:lineRule="exact"/>
        <w:rPr>
          <w:sz w:val="20"/>
          <w:szCs w:val="20"/>
          <w:color w:val="auto"/>
        </w:rPr>
      </w:pPr>
    </w:p>
    <w:p>
      <w:pPr>
        <w:ind w:left="1000" w:right="1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NX-2127, NX-1607, NX-5948 and DeTIL-0255 recently entered clinical development and all of our other drug candidates are still in preclinical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7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3"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initiated testing of our four lead drug candidates in clinical trials,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67"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and maintain orphan designations in some jurisdictions and therefore fail to secure orphan exclusivity in those jurisdictions.</w:t>
      </w:r>
    </w:p>
    <w:p>
      <w:pPr>
        <w:spacing w:after="0" w:line="53"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be deemed by European regulators as containing a “new active substance” or pediatric studies may not be adequately completed which may result in lack of regulatory data protection or failure to obtain an extension to an existing regulatory data protection.</w:t>
      </w:r>
    </w:p>
    <w:p>
      <w:pPr>
        <w:spacing w:after="0" w:line="6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00" w:right="22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4" w:name="page35"/>
    <w:bookmarkEnd w:id="34"/>
    <w:p>
      <w:pPr>
        <w:ind w:left="1000" w:right="40" w:hanging="493"/>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1000" w:right="40" w:hanging="493"/>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ability to effectively compete in the market depends, in part, upon our ability and the ability of our collaborators to obtain and maintain adequate patent protection for our technology, current drug candidates and any future drug candidates that we may develop and our ability to develop, manufacture, market and sell our drug candidates and future drug candidates and use our proprietary technologies without infringing, misappropriating or otherwise violating the intellectual property of others.</w:t>
      </w:r>
    </w:p>
    <w:p>
      <w:pPr>
        <w:spacing w:after="0" w:line="71"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53" w:lineRule="exact"/>
        <w:rPr>
          <w:rFonts w:ascii="Times New Roman" w:cs="Times New Roman" w:eastAsia="Times New Roman" w:hAnsi="Times New Roman"/>
          <w:sz w:val="18"/>
          <w:szCs w:val="18"/>
          <w:color w:val="auto"/>
        </w:rPr>
      </w:pPr>
    </w:p>
    <w:p>
      <w:pPr>
        <w:ind w:left="1000" w:right="200" w:hanging="493"/>
        <w:spacing w:after="0" w:line="281" w:lineRule="auto"/>
        <w:tabs>
          <w:tab w:leader="none" w:pos="10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in the pharmaceuticals industry depends upon our ability to attract and retain highly qualified managerial, scientific, medical, sales and marketing and other personnel. The loss of the services of our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right="40" w:firstLine="510"/>
        <w:spacing w:after="0" w:line="219" w:lineRule="exact"/>
        <w:rPr>
          <w:sz w:val="20"/>
          <w:szCs w:val="20"/>
          <w:color w:val="auto"/>
        </w:rPr>
      </w:pPr>
      <w:r>
        <w:rPr>
          <w:rFonts w:ascii="Times New Roman" w:cs="Times New Roman" w:eastAsia="Times New Roman" w:hAnsi="Times New Roman"/>
          <w:sz w:val="18"/>
          <w:szCs w:val="18"/>
          <w:color w:val="auto"/>
        </w:rPr>
        <w:t>Our net loss was $117.2 million for the fiscal year ended November 30, 2021, and $42.5 million for the three months ended February 28, 2022. As of February 28, 2022, we had an accumulated deficit of $263.4 million. To date, we have not generated any revenue from product sales and have financed our operations primarily through our collaborations and sales of our equity interests. We are in the early stages of development of our drug candidates.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and all of our other drug candidates are still in preclinical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5"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increase enrollment in our Phase 1 clinical trials of our drug candidates NX-2127, NX-1607, NX-5948 and DeTIL-0255;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drug candidates into preclinical and clinical development;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5" w:name="page36"/>
    <w:bookmarkEnd w:id="35"/>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recently commenced clinical development of our drug candidates NX-2127, NX-1607, NX-5948 and DeTIL-0255.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8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NX-2127, NX-1607, NX-5948 and DeTIL-0255,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4"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$385.7 million as of February 28, 2022.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51" w:lineRule="exact"/>
        <w:rPr>
          <w:sz w:val="20"/>
          <w:szCs w:val="20"/>
          <w:color w:val="auto"/>
        </w:rPr>
      </w:pPr>
    </w:p>
    <w:p>
      <w:pPr>
        <w:ind w:left="1000" w:right="840" w:hanging="493"/>
        <w:spacing w:after="0" w:line="239" w:lineRule="exact"/>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any future clinical development of such drug candidates;</w:t>
      </w:r>
    </w:p>
    <w:p>
      <w:pPr>
        <w:spacing w:after="0" w:line="9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preclinical development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left="1000" w:right="26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1"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 stage clinical trials. All of our drug candidates either recently entered clinical development or are still in preclinical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84"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recently entered clinical development and all of our other drug candidates are in preclinical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38" w:lineRule="exact"/>
        <w:rPr>
          <w:sz w:val="20"/>
          <w:szCs w:val="20"/>
          <w:color w:val="auto"/>
        </w:rPr>
      </w:pPr>
    </w:p>
    <w:p>
      <w:pPr>
        <w:ind w:firstLine="510"/>
        <w:spacing w:after="0" w:line="224" w:lineRule="exact"/>
        <w:rPr>
          <w:sz w:val="20"/>
          <w:szCs w:val="20"/>
          <w:color w:val="auto"/>
        </w:rPr>
      </w:pPr>
      <w:r>
        <w:rPr>
          <w:rFonts w:ascii="Times New Roman" w:cs="Times New Roman" w:eastAsia="Times New Roman" w:hAnsi="Times New Roman"/>
          <w:sz w:val="18"/>
          <w:szCs w:val="18"/>
          <w:color w:val="auto"/>
        </w:rPr>
        <w:t>We are early in our development efforts.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and our other drug candidates are still in preclinical development, and the risk of failure for each of our drug candidates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92"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the products and maintaining such a profile following approval;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CTM drug candidates may offer an improved therapeutic approach by removing the disease-causing proteins instead of simply inhibiting their activities. However, the scientific research that forms the basis of our efforts to develop our CTM drug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Based on preclinical animal models and observations in human primary blood cells, we believe that both NX-2127 and NX-5948 are able to degrade BTK with mutations that confer resistance to currently marketed BTK inhibitors, and we believe that preliminary data from our ongoing Phase 1 trial of NX-2127 may provide evidence of such degradation in humans. However, any inherent primary or acquired secondary resistance to our BTK CTMs in patients would prevent or diminish their clinical benefit.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38" w:name="page39"/>
    <w:bookmarkEnd w:id="38"/>
    <w:p>
      <w:pPr>
        <w:ind w:firstLine="510"/>
        <w:spacing w:after="0" w:line="258" w:lineRule="auto"/>
        <w:rPr>
          <w:sz w:val="20"/>
          <w:szCs w:val="20"/>
          <w:color w:val="auto"/>
        </w:rPr>
      </w:pPr>
      <w:r>
        <w:rPr>
          <w:rFonts w:ascii="Times New Roman" w:cs="Times New Roman" w:eastAsia="Times New Roman" w:hAnsi="Times New Roman"/>
          <w:sz w:val="18"/>
          <w:szCs w:val="18"/>
          <w:color w:val="auto"/>
        </w:rPr>
        <w:t>We recently initiated clinical development of NX-2127 and NX-5948 and currently we have limited safety data of NX-2127 in humans and no safety data of NX-5948 in humans. Although some of our drug candidates have produced observable results in animal studies, there is a limited safety data set for their effects in animals.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75"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CTM drug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Advancing our CTM products creates significant challenges for us, including:</w:t>
      </w:r>
    </w:p>
    <w:p>
      <w:pPr>
        <w:spacing w:after="0" w:line="81" w:lineRule="exact"/>
        <w:rPr>
          <w:sz w:val="20"/>
          <w:szCs w:val="20"/>
          <w:color w:val="auto"/>
        </w:rPr>
      </w:pPr>
    </w:p>
    <w:p>
      <w:pPr>
        <w:ind w:left="1000" w:right="72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17"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CTM drug candidates we may develop on a timely or profitable basis, if at all.</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All of our drug candidates either recently entered clinical development or are still in preclinical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81"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65"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54"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7" w:lineRule="exact"/>
        <w:rPr>
          <w:rFonts w:ascii="Times New Roman" w:cs="Times New Roman" w:eastAsia="Times New Roman" w:hAnsi="Times New Roman"/>
          <w:sz w:val="18"/>
          <w:szCs w:val="18"/>
          <w:color w:val="auto"/>
        </w:rPr>
      </w:pPr>
    </w:p>
    <w:p>
      <w:pPr>
        <w:jc w:val="both"/>
        <w:ind w:left="1000" w:right="160" w:hanging="493"/>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 may not authorize us or our investigators to commence a clinical trial or conduct a clinical trial at a prospective trial site;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 to suspend or terminate the trials;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 may require that we or our investigators suspend or terminate clinical trials for various reasons, including noncompliance with regulatory requirements;</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53" w:lineRule="exact"/>
        <w:rPr>
          <w:rFonts w:ascii="Times New Roman" w:cs="Times New Roman" w:eastAsia="Times New Roman" w:hAnsi="Times New Roman"/>
          <w:sz w:val="18"/>
          <w:szCs w:val="18"/>
          <w:color w:val="auto"/>
        </w:rPr>
      </w:pPr>
    </w:p>
    <w:p>
      <w:pPr>
        <w:ind w:left="1000" w:right="6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7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0" w:name="page41"/>
    <w:bookmarkEnd w:id="40"/>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75"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NX-5948 and DeTIL-0255 are and will be with patients who have received one or more prior treatments. Subsequently, for those products that prove to be sufficiently beneficial, if any, we would expect to seek approval potentially as a first-line therapy, but any drug candidates we develop, even if approved, may not be approved for first-line therapy, and, prior to any such approvals, we may have to conduct additional clinical trials.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200" w:firstLine="510"/>
        <w:spacing w:after="0" w:line="219" w:lineRule="exact"/>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in animals and we have only recently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9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clinical studies. There also is the potential risk of delayed adverse events following treatment with our drug candidates.</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drug candidates. This may prevent us from advancing them into clinical trials, delay these trials or limit the extent of these trials. In addition,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trials for NX-2127, NX-1607, NX-5948 and DeTIL-0255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100" w:firstLine="510"/>
        <w:spacing w:after="0" w:line="218" w:lineRule="exact"/>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four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We cannot predict how difficult it will be to enroll patients for these trials. Therefore, our ability to identify and enroll eligible patients for our NX-2127, NX-1607, NX-5948 and DeTIL-0255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now are pursuing, or may in the future pursue, preclinical or clinical development. Our systems for complying with current good manufacturing practices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51" w:lineRule="exact"/>
        <w:rPr>
          <w:sz w:val="20"/>
          <w:szCs w:val="20"/>
          <w:color w:val="auto"/>
        </w:rPr>
      </w:pPr>
    </w:p>
    <w:p>
      <w:pPr>
        <w:ind w:right="120" w:firstLine="510"/>
        <w:spacing w:after="0" w:line="252" w:lineRule="auto"/>
        <w:rPr>
          <w:sz w:val="20"/>
          <w:szCs w:val="20"/>
          <w:color w:val="auto"/>
        </w:rPr>
      </w:pPr>
      <w:r>
        <w:rPr>
          <w:rFonts w:ascii="Times New Roman" w:cs="Times New Roman" w:eastAsia="Times New Roman" w:hAnsi="Times New Roman"/>
          <w:sz w:val="18"/>
          <w:szCs w:val="18"/>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2"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w:t>
      </w:r>
    </w:p>
    <w:p>
      <w:pPr>
        <w:spacing w:after="0" w:line="117"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1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4"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aware of several biotechnology companies focused on developing small molecules that degrade target proteins including but not limited to Arvinas, Inc., BioTheryX, Inc., C4 Therapeutics, Inc., Cullgen Inc., Foghorn Therapeutics Inc., Kymera Therapeutics, Inc. and Monte Rosa Therapeutics, all of which currently are in preclinical or clinical development. In addition,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and Iovance Biotherapeutics, Inc.</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preventing us from obtaining the orphan designation in the European Union (EU) and/or in the United Kingdom (UK) and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63"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Sanofi and Gilead, pose the following risks to us:</w:t>
      </w:r>
    </w:p>
    <w:p>
      <w:pPr>
        <w:spacing w:after="0" w:line="54"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jc w:val="both"/>
        <w:ind w:left="1000" w:right="28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jc w:val="both"/>
        <w:ind w:left="1000" w:right="26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67" w:lineRule="exact"/>
        <w:rPr>
          <w:rFonts w:ascii="Times New Roman" w:cs="Times New Roman" w:eastAsia="Times New Roman" w:hAnsi="Times New Roman"/>
          <w:sz w:val="18"/>
          <w:szCs w:val="18"/>
          <w:color w:val="auto"/>
        </w:rPr>
      </w:pPr>
    </w:p>
    <w:p>
      <w:pPr>
        <w:ind w:left="1000" w:right="66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ind w:left="1000" w:right="5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1"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8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ind w:right="220" w:firstLine="510"/>
        <w:spacing w:after="0" w:line="289"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0"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NX-2127, NX-1607, NX-5948 and DeTIL-0255 and we will rely on third-party CROs to conduct any clinical trials for other drug candidates. Agreements with these CROs might terminate for a variety of reasons, including for their failure to perform. Entry into alternative arrangements, if necessary, could significantly delay our product development activities.</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5"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jc w:val="both"/>
        <w:ind w:right="80" w:firstLine="510"/>
        <w:spacing w:after="0" w:line="281"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56"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7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pursuant to inspections that will be conducted after we submit our NDA to the FDA or our marketing authorization application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84"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7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If any of our drug candidates receive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75"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health technology appraisal (HTA) recommendation for the product to be prescribed and reimbursed under the national health system;</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100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49" w:name="page50"/>
    <w:bookmarkEnd w:id="49"/>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7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0" w:name="page51"/>
    <w:bookmarkEnd w:id="50"/>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However, the portfolio covering our drug candidates is at an early stage and comprised only of patent applications and we do not currently own or license any issued patents covering our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8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right="60" w:firstLine="510"/>
        <w:spacing w:after="0" w:line="269"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7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9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w:t>
      </w:r>
    </w:p>
    <w:p>
      <w:pPr>
        <w:spacing w:after="0" w:line="7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67"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72"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1"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68"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8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CTMs. This patent may be alleged to cover one or more of our CTM drug candidates, including our NX-2127 and NX-5948 drug candidates. While we believe that we have valid defenses against any assertion of such patent against us, such defenses may be unsuccessful. If we are unsuccessful and any of our CTM drug candidates is found to infringe this patent, we could be required to obtain a license to such patent or forced to permanently cease developing, manufacturing, marketing and commercializing the infringing CTM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79" w:lineRule="exact"/>
        <w:rPr>
          <w:sz w:val="20"/>
          <w:szCs w:val="20"/>
          <w:color w:val="auto"/>
        </w:rPr>
      </w:pPr>
    </w:p>
    <w:p>
      <w:pPr>
        <w:ind w:right="120" w:firstLine="510"/>
        <w:spacing w:after="0" w:line="252"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8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5" w:name="page56"/>
    <w:bookmarkEnd w:id="55"/>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9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510"/>
        <w:spacing w:after="0" w:line="268"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6" w:name="page57"/>
    <w:bookmarkEnd w:id="56"/>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and to secure patent term extensions throughout the world.</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8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0" w:lineRule="exact"/>
        <w:rPr>
          <w:sz w:val="20"/>
          <w:szCs w:val="20"/>
          <w:color w:val="auto"/>
        </w:rPr>
      </w:pPr>
    </w:p>
    <w:p>
      <w:pPr>
        <w:jc w:val="both"/>
        <w:ind w:right="120" w:firstLine="510"/>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8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00" w:right="34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00" w:right="72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11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7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9" w:name="page60"/>
    <w:bookmarkEnd w:id="59"/>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7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72"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Even if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would delay or prevent commercialization of our products, and would materially adversely affect our business, financial condition, results of operations, cash flows and prospects.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86" w:lineRule="exact"/>
        <w:rPr>
          <w:sz w:val="20"/>
          <w:szCs w:val="20"/>
          <w:color w:val="auto"/>
        </w:rPr>
      </w:pPr>
    </w:p>
    <w:p>
      <w:pPr>
        <w:ind w:right="40" w:firstLine="510"/>
        <w:spacing w:after="0" w:line="251" w:lineRule="auto"/>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As companies now need to comply with a separate UK regulatory legal framework in order to commercialize medicinal products in Great Britain (namely, England, Wales and Scotland, as EU law continues to apply in Northern Ireland). The UK government is currently trying to renegotiate fundamental aspects of the NIP so this is an unpredictable area for companies in the near future.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Medicines and Healthcare products Regulatory Agency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1" w:name="page62"/>
    <w:bookmarkEnd w:id="61"/>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0"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5"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7"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2" w:name="page63"/>
    <w:bookmarkEnd w:id="62"/>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 by national authorities.</w:t>
      </w:r>
    </w:p>
    <w:p>
      <w:pPr>
        <w:spacing w:after="0" w:line="8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7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63" w:name="page64"/>
    <w:bookmarkEnd w:id="63"/>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We may seek Orphan Drug Designation or other designations from regulators for one or more of our current or future drug candidates. Regulatory authorities in some jurisdictions, including the United States, EU/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7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75" w:lineRule="exact"/>
        <w:rPr>
          <w:sz w:val="20"/>
          <w:szCs w:val="20"/>
          <w:color w:val="auto"/>
        </w:rPr>
      </w:pPr>
    </w:p>
    <w:p>
      <w:pPr>
        <w:ind w:right="20" w:firstLine="619"/>
        <w:spacing w:after="0" w:line="255" w:lineRule="auto"/>
        <w:rPr>
          <w:sz w:val="20"/>
          <w:szCs w:val="20"/>
          <w:color w:val="auto"/>
        </w:rPr>
      </w:pPr>
      <w:r>
        <w:rPr>
          <w:rFonts w:ascii="Times New Roman" w:cs="Times New Roman" w:eastAsia="Times New Roman" w:hAnsi="Times New Roman"/>
          <w:sz w:val="18"/>
          <w:szCs w:val="18"/>
          <w:color w:val="auto"/>
        </w:rPr>
        <w:t>In order to obtain orphan designation in the EEA, the product must fulfill certain challenging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8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8"/>
          <w:szCs w:val="18"/>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80" w:lineRule="exact"/>
        <w:rPr>
          <w:sz w:val="20"/>
          <w:szCs w:val="20"/>
          <w:color w:val="auto"/>
        </w:rPr>
      </w:pPr>
    </w:p>
    <w:p>
      <w:pPr>
        <w:ind w:right="100" w:firstLine="619"/>
        <w:spacing w:after="0" w:line="282"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1000" w:right="40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1000" w:right="76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4" w:name="page65"/>
    <w:bookmarkEnd w:id="64"/>
    <w:p>
      <w:pPr>
        <w:ind w:left="1000" w:right="20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2" w:lineRule="exact"/>
        <w:rPr>
          <w:sz w:val="20"/>
          <w:szCs w:val="20"/>
          <w:color w:val="auto"/>
        </w:rPr>
      </w:pPr>
    </w:p>
    <w:p>
      <w:pPr>
        <w:ind w:right="460" w:firstLine="619"/>
        <w:spacing w:after="0" w:line="282"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 exclusivity for orphan indications and pediatric extension are currently under review at EU level. It is expected that the protection currently afforded in the EU will be reduced in the years to come.</w:t>
      </w:r>
    </w:p>
    <w:p>
      <w:pPr>
        <w:spacing w:after="0" w:line="68"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80"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8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87"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Applicable U.S. federal and state healthcare laws and regulations include the following:</w:t>
      </w:r>
    </w:p>
    <w:p>
      <w:pPr>
        <w:spacing w:after="0" w:line="117" w:lineRule="exact"/>
        <w:rPr>
          <w:sz w:val="20"/>
          <w:szCs w:val="20"/>
          <w:color w:val="auto"/>
        </w:rPr>
      </w:pPr>
    </w:p>
    <w:p>
      <w:pPr>
        <w:ind w:left="1000" w:hanging="493"/>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ind w:left="500" w:right="60" w:hanging="493"/>
        <w:spacing w:after="0" w:line="255"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8" w:lineRule="exact"/>
        <w:rPr>
          <w:rFonts w:ascii="Times New Roman" w:cs="Times New Roman" w:eastAsia="Times New Roman" w:hAnsi="Times New Roman"/>
          <w:sz w:val="18"/>
          <w:szCs w:val="18"/>
          <w:color w:val="auto"/>
        </w:rPr>
      </w:pPr>
    </w:p>
    <w:p>
      <w:pPr>
        <w:ind w:left="500" w:right="100" w:hanging="493"/>
        <w:spacing w:after="0" w:line="258"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5" w:lineRule="exact"/>
        <w:rPr>
          <w:rFonts w:ascii="Times New Roman" w:cs="Times New Roman" w:eastAsia="Times New Roman" w:hAnsi="Times New Roman"/>
          <w:sz w:val="18"/>
          <w:szCs w:val="18"/>
          <w:color w:val="auto"/>
        </w:rPr>
      </w:pPr>
    </w:p>
    <w:p>
      <w:pPr>
        <w:ind w:left="500" w:right="280" w:hanging="493"/>
        <w:spacing w:after="0" w:line="261"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1" w:lineRule="exact"/>
        <w:rPr>
          <w:rFonts w:ascii="Times New Roman" w:cs="Times New Roman" w:eastAsia="Times New Roman" w:hAnsi="Times New Roman"/>
          <w:sz w:val="18"/>
          <w:szCs w:val="18"/>
          <w:color w:val="auto"/>
        </w:rPr>
      </w:pPr>
    </w:p>
    <w:p>
      <w:pPr>
        <w:ind w:left="500" w:right="100" w:hanging="493"/>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500" w:right="640" w:hanging="493"/>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marketing, prohibits manufacturers from marketing such products for off-label use or misbranding or adulterating their products, and regulates the distribution of samples;</w:t>
      </w:r>
    </w:p>
    <w:p>
      <w:pPr>
        <w:spacing w:after="0" w:line="53" w:lineRule="exact"/>
        <w:rPr>
          <w:rFonts w:ascii="Times New Roman" w:cs="Times New Roman" w:eastAsia="Times New Roman" w:hAnsi="Times New Roman"/>
          <w:sz w:val="18"/>
          <w:szCs w:val="18"/>
          <w:color w:val="auto"/>
        </w:rPr>
      </w:pPr>
    </w:p>
    <w:p>
      <w:pPr>
        <w:jc w:val="both"/>
        <w:ind w:left="500" w:right="40" w:hanging="493"/>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7" w:lineRule="exact"/>
        <w:rPr>
          <w:rFonts w:ascii="Times New Roman" w:cs="Times New Roman" w:eastAsia="Times New Roman" w:hAnsi="Times New Roman"/>
          <w:sz w:val="18"/>
          <w:szCs w:val="18"/>
          <w:color w:val="auto"/>
        </w:rPr>
      </w:pPr>
    </w:p>
    <w:p>
      <w:pPr>
        <w:ind w:left="500" w:right="80" w:hanging="493"/>
        <w:spacing w:after="0" w:line="25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anesthesiologist assistants, and certified nurse-midwives as well as certain ownership and investment interests held by physicians and their immediate families;</w:t>
      </w:r>
    </w:p>
    <w:p>
      <w:pPr>
        <w:spacing w:after="0" w:line="79" w:lineRule="exact"/>
        <w:rPr>
          <w:rFonts w:ascii="Times New Roman" w:cs="Times New Roman" w:eastAsia="Times New Roman" w:hAnsi="Times New Roman"/>
          <w:sz w:val="18"/>
          <w:szCs w:val="18"/>
          <w:color w:val="auto"/>
        </w:rPr>
      </w:pPr>
    </w:p>
    <w:p>
      <w:pPr>
        <w:ind w:left="500" w:right="100" w:hanging="493"/>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7" w:lineRule="exact"/>
        <w:rPr>
          <w:rFonts w:ascii="Times New Roman" w:cs="Times New Roman" w:eastAsia="Times New Roman" w:hAnsi="Times New Roman"/>
          <w:sz w:val="18"/>
          <w:szCs w:val="18"/>
          <w:color w:val="auto"/>
        </w:rPr>
      </w:pPr>
    </w:p>
    <w:p>
      <w:pPr>
        <w:ind w:left="500" w:right="60" w:hanging="493"/>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53" w:lineRule="exact"/>
        <w:rPr>
          <w:rFonts w:ascii="Times New Roman" w:cs="Times New Roman" w:eastAsia="Times New Roman" w:hAnsi="Times New Roman"/>
          <w:sz w:val="18"/>
          <w:szCs w:val="18"/>
          <w:color w:val="auto"/>
        </w:rPr>
      </w:pPr>
    </w:p>
    <w:p>
      <w:pPr>
        <w:ind w:left="500" w:right="460" w:hanging="493"/>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3" w:lineRule="exact"/>
        <w:rPr>
          <w:rFonts w:ascii="Times New Roman" w:cs="Times New Roman" w:eastAsia="Times New Roman" w:hAnsi="Times New Roman"/>
          <w:sz w:val="18"/>
          <w:szCs w:val="18"/>
          <w:color w:val="auto"/>
        </w:rPr>
      </w:pPr>
    </w:p>
    <w:p>
      <w:pPr>
        <w:ind w:left="500" w:hanging="493"/>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7" w:lineRule="exact"/>
        <w:rPr>
          <w:rFonts w:ascii="Times New Roman" w:cs="Times New Roman" w:eastAsia="Times New Roman" w:hAnsi="Times New Roman"/>
          <w:sz w:val="18"/>
          <w:szCs w:val="18"/>
          <w:color w:val="auto"/>
        </w:rPr>
      </w:pPr>
    </w:p>
    <w:p>
      <w:pPr>
        <w:ind w:left="500" w:right="380" w:hanging="493"/>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443" w:right="359" w:bottom="1440" w:gutter="0" w:footer="0" w:header="0"/>
        </w:sectPr>
      </w:pPr>
    </w:p>
    <w:bookmarkStart w:id="67" w:name="page68"/>
    <w:bookmarkEnd w:id="67"/>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8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both Congress and the Biden administration have each indicated that it will continue to seek new legislative and/or administrative measures to address prescription drug costs. For example,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 prices, including by allowing Medicare to negotiate drug prices, by imposing inflation caps, and through other related reforms.” In response to the Executive Order,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Congress has also continued to conduct inquiries into the prescription drug industry’s pricing practices.</w:t>
      </w:r>
    </w:p>
    <w:p>
      <w:pPr>
        <w:spacing w:after="0" w:line="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adversely affect our business and the market price of our common stock.</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The FDA has since adjusted its inspection activities in response to the ongoing COVID-19 pandemic. On December 29, 2021, the FDA implemented temporary changes to its inspectional activities to ensure the safety of its employees and regulated firms. On February 2, 2022, the FDA announced that it would resume domestic surveillance inspections across all product areas on February 7, 2022. We cannot predict whether, and when, the FDA will decide to pause or resume inspections due to the COVID-19 pandemic. Moreover, it is unclear how the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96"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and mitigation measures also may have an adverse impact on global economic conditions, which could adversely impact our business, financial condition or results of operations. Additionally, the COVID-19 pandemic has resulted in significant financial market volatility and uncertainty. A continuation or worsening of the levels of market disruption and volatility seen in the recent past as a result of the COVID-19 pandemic could have an adverse effect on our ability to access capital and on the market price of our common stock. It is currently not possible to predict how long the COVID-19 pandemic will last or the time that it will take for economic activity to return to prior levels. The extent to which the COVID-19 pandemic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our Chief Scientific Officer, Gwenn Hansen, Ph.D., and our Chief Operating Officer and Executive Vice President of Product Development, Stefani A. Wolff. The loss of the services of Drs. Sands and Hansen or Ms. Wolff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0" w:name="page71"/>
    <w:bookmarkEnd w:id="70"/>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2" w:lineRule="exact"/>
        <w:rPr>
          <w:sz w:val="20"/>
          <w:szCs w:val="20"/>
          <w:color w:val="auto"/>
        </w:rPr>
      </w:pPr>
    </w:p>
    <w:p>
      <w:pPr>
        <w:ind w:right="200" w:firstLine="510"/>
        <w:spacing w:after="0" w:line="25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8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we received regulatory clearance to initiate human clinical trials for our four lead drug candidates in 2021, and we anticipate that our lead drug candidates will advance towards Phase 1b clinical trials in 2022.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9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54" w:lineRule="exact"/>
        <w:rPr>
          <w:sz w:val="20"/>
          <w:szCs w:val="20"/>
          <w:color w:val="auto"/>
        </w:rPr>
      </w:pPr>
    </w:p>
    <w:p>
      <w:pPr>
        <w:ind w:left="1000" w:right="48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8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8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2" w:name="page73"/>
    <w:bookmarkEnd w:id="72"/>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18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4"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firstLine="510"/>
        <w:spacing w:after="0" w:line="253"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79" w:lineRule="exact"/>
        <w:rPr>
          <w:sz w:val="20"/>
          <w:szCs w:val="20"/>
          <w:color w:val="auto"/>
        </w:rPr>
      </w:pPr>
    </w:p>
    <w:p>
      <w:pPr>
        <w:ind w:right="40" w:firstLine="510"/>
        <w:spacing w:after="0" w:line="271" w:lineRule="auto"/>
        <w:rPr>
          <w:sz w:val="20"/>
          <w:szCs w:val="20"/>
          <w:color w:val="auto"/>
        </w:rPr>
      </w:pPr>
      <w:r>
        <w:rPr>
          <w:rFonts w:ascii="Times New Roman" w:cs="Times New Roman" w:eastAsia="Times New Roman" w:hAnsi="Times New Roman"/>
          <w:sz w:val="17"/>
          <w:szCs w:val="17"/>
          <w:color w:val="auto"/>
        </w:rPr>
        <w:t>The CCPA has prompted a number of proposals for new federal and state-level privacy legislation. Additional states have passed privacy laws, such as the Virginia Consumer Data Protection Act and the Colorado Privacy Act, both of which are similar to the CCPA.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65"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 xml:space="preserve">In addition, in May 2018, the EU General Data Protection Regulation (EU GDPR) took effect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in June 2021 which place onerous obligations on the parties. The EU GDPR imposes substantial fines for breaches and violations (up to the greater of €20 million or 4% of our global turnover). The EU GDPR allows data subjects and consumer associations to lodge complaints with supervisory authorities, seek judicial remedies and obtain compensation for damages resulting from violations of the EU GDPR.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4" w:name="page75"/>
    <w:bookmarkEnd w:id="74"/>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£17 million or 4% of global turnover. The UK GDPR sits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Further, on August 11, 2020, the UK Information Commissioner’s Office (ICO) published its proposed draft International Transfer Risk Assessment and tool (TRA) which is the UK equivalent of the EDPB Recommendations and provides for general advice on how to satisfy the </w:t>
      </w:r>
      <w:r>
        <w:rPr>
          <w:rFonts w:ascii="Times New Roman" w:cs="Times New Roman" w:eastAsia="Times New Roman" w:hAnsi="Times New Roman"/>
          <w:sz w:val="18"/>
          <w:szCs w:val="18"/>
          <w:i w:val="1"/>
          <w:iCs w:val="1"/>
          <w:color w:val="auto"/>
        </w:rPr>
        <w:t xml:space="preserve">Schrems II </w:t>
      </w:r>
      <w:r>
        <w:rPr>
          <w:rFonts w:ascii="Times New Roman" w:cs="Times New Roman" w:eastAsia="Times New Roman" w:hAnsi="Times New Roman"/>
          <w:sz w:val="18"/>
          <w:szCs w:val="18"/>
          <w:color w:val="auto"/>
        </w:rPr>
        <w:t>requirement to carry out a legal assessment for transfers of personal data subject to the UK GDPR. It is expected that the final 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 will be published in early 2022. The UK’s ICO has also recently laid before the UK Parliament: (i) its International Data Transfer Agreement to replace the old Standard Contractual Clauses for transfers to outside the UK; and (ii) a “UK addendum” to the new EU Standard Contractual Clauses which amends the relevant provisions of such clauses to work in a UK context. If no objections are raised by the UK Parliament, the UK International Data Transfer Agreement and/or UK addendum will come into force on March 21, 2022 – although, the UK’s ICO has stated that the documents are “immediately of use” even though they do not officially come into force until March 21, 2022.</w:t>
      </w:r>
    </w:p>
    <w:p>
      <w:pPr>
        <w:spacing w:after="0" w:line="79"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future our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regulators and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68" w:lineRule="exact"/>
        <w:rPr>
          <w:sz w:val="20"/>
          <w:szCs w:val="20"/>
          <w:color w:val="auto"/>
        </w:rPr>
      </w:pPr>
    </w:p>
    <w:p>
      <w:pPr>
        <w:ind w:right="80" w:firstLine="510"/>
        <w:spacing w:after="0" w:line="274" w:lineRule="auto"/>
        <w:rPr>
          <w:sz w:val="20"/>
          <w:szCs w:val="20"/>
          <w:color w:val="auto"/>
        </w:rPr>
      </w:pPr>
      <w:r>
        <w:rPr>
          <w:rFonts w:ascii="Times New Roman" w:cs="Times New Roman" w:eastAsia="Times New Roman" w:hAnsi="Times New Roman"/>
          <w:sz w:val="17"/>
          <w:szCs w:val="17"/>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2021, we had federal and state net operating loss (NOL) carryforwards of approximately $116.4 million and $192.1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84"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ind w:left="1000" w:right="72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8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has caused significant instability and disruptions in the capital and credit markets. Likewise, the capital and credit markets may be adversely affected by the recent conflict between Russia and Ukraine, and the possibility of a wider European or global conflict, and global sanctions imposed in response thereto.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90" w:lineRule="exact"/>
        <w:rPr>
          <w:sz w:val="20"/>
          <w:szCs w:val="20"/>
          <w:color w:val="auto"/>
        </w:rPr>
      </w:pPr>
    </w:p>
    <w:p>
      <w:pPr>
        <w:ind w:right="9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00" w:right="8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DELigase platform, DeTIL or future development programs;</w:t>
      </w:r>
    </w:p>
    <w:p>
      <w:pPr>
        <w:spacing w:after="0" w:line="53" w:lineRule="exact"/>
        <w:rPr>
          <w:rFonts w:ascii="Times New Roman" w:cs="Times New Roman" w:eastAsia="Times New Roman" w:hAnsi="Times New Roman"/>
          <w:sz w:val="18"/>
          <w:szCs w:val="18"/>
          <w:color w:val="auto"/>
        </w:rPr>
      </w:pPr>
    </w:p>
    <w:p>
      <w:pPr>
        <w:ind w:left="1000" w:right="5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trials, or the addition or termination of clinical trials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ind w:left="1000" w:right="38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1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8" w:lineRule="exact"/>
        <w:rPr>
          <w:sz w:val="20"/>
          <w:szCs w:val="20"/>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79" w:name="page80"/>
    <w:bookmarkEnd w:id="79"/>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the conflict in Ukraine;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February 28, 2022, our executive officers, directors and affiliates beneficially owned a substantial percentage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8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8"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000" w:right="70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000" w:right="78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81" w:name="page82"/>
    <w:bookmarkEnd w:id="81"/>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as well as a statement that our independent registered public accounting firm has audited the effectiveness of our internal control over financial reporting. Because we are no longer an emerging growth company, our independent registered public accounting firm is required to annually audit the effectiveness of our internal control over financial reporting, which has, and will continue to, require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discussed in Part I, Item 4 of this Quarterly Report on Form 10-Q, in the course of preparing our financial statements, we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the identified material weaknesses, our management concluded that our internal control over financial reporting was not effective as of November 30, 2021, which was previously reported in Part II, Item 9A of our Annual Report on Form 10-K for the fiscal year ended November 30, 2021. As of February 28, 2022, these material weaknesses have not been remediated. The material weaknesses identified in Part I, Item 4 of this Quarterly Report on Form 10-Q did not result in any misstatement of our financial statements. We have designed and have begun implementing a remediation plan for these material weaknesses. However, our remediation efforts may be inadequate, or we may in the future discover material weaknesses in other areas of our internal control over financial reporting that require remediation.</w:t>
      </w:r>
    </w:p>
    <w:p>
      <w:pPr>
        <w:spacing w:after="0" w:line="86" w:lineRule="exact"/>
        <w:rPr>
          <w:sz w:val="20"/>
          <w:szCs w:val="20"/>
          <w:color w:val="auto"/>
        </w:rPr>
      </w:pPr>
    </w:p>
    <w:p>
      <w:pPr>
        <w:ind w:right="260" w:firstLine="510"/>
        <w:spacing w:after="0" w:line="254"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the material weaknesses in our internal control over financial reporting or that they will prevent or avoid potential future material weaknesses. 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60" w:firstLine="674"/>
        <w:spacing w:after="0" w:line="282" w:lineRule="auto"/>
        <w:rPr>
          <w:sz w:val="20"/>
          <w:szCs w:val="20"/>
          <w:color w:val="auto"/>
        </w:rPr>
      </w:pPr>
      <w:r>
        <w:rPr>
          <w:rFonts w:ascii="Times New Roman" w:cs="Times New Roman" w:eastAsia="Times New Roman" w:hAnsi="Times New Roman"/>
          <w:sz w:val="18"/>
          <w:szCs w:val="18"/>
          <w:color w:val="auto"/>
        </w:rPr>
        <w:t>On July 23, 2020, our registration statement on Form S-1, as amended (File No. 333-239651), was declared effective by the SEC in connection with the IPO of our common stock.</w:t>
      </w:r>
    </w:p>
    <w:p>
      <w:pPr>
        <w:spacing w:after="0" w:line="54" w:lineRule="exact"/>
        <w:rPr>
          <w:sz w:val="20"/>
          <w:szCs w:val="20"/>
          <w:color w:val="auto"/>
        </w:rPr>
      </w:pPr>
    </w:p>
    <w:p>
      <w:pPr>
        <w:ind w:firstLine="67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July 24,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40"/>
          </w:cols>
          <w:pgMar w:left="320" w:top="333" w:right="439" w:bottom="1440" w:gutter="0" w:footer="0" w:header="0"/>
        </w:sect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28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5720" w:type="dxa"/>
            <w:vAlign w:val="bottom"/>
            <w:gridSpan w:val="10"/>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Lease Agreement, dated as of March 1, 2022, between 8800 Technology</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Forest Pl, LLC and the Registrant</w:t>
              </w:r>
            </w:hyperlink>
          </w:p>
        </w:tc>
        <w:tc>
          <w:tcPr>
            <w:tcW w:w="2780" w:type="dxa"/>
            <w:vAlign w:val="bottom"/>
            <w:tcBorders>
              <w:top w:val="single" w:sz="8" w:color="0000EE"/>
            </w:tcBorders>
            <w:gridSpan w:val="4"/>
          </w:tcPr>
          <w:p>
            <w:pPr>
              <w:spacing w:after="0"/>
              <w:rPr>
                <w:sz w:val="17"/>
                <w:szCs w:val="17"/>
                <w:color w:val="auto"/>
              </w:rPr>
            </w:pPr>
          </w:p>
        </w:tc>
        <w:tc>
          <w:tcPr>
            <w:tcW w:w="50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5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Certification of Principal Executive Officer Pursuant to Rules 13a-14(a) and</w:t>
              </w:r>
            </w:hyperlink>
          </w:p>
        </w:tc>
        <w:tc>
          <w:tcPr>
            <w:tcW w:w="22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15d-14(a) under the Securities Exchange Act of 1934, as Adopted Pursuant to</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Section 302 of the Sarbanes-Oxley Act of 2002</w:t>
              </w:r>
            </w:hyperlink>
          </w:p>
        </w:tc>
        <w:tc>
          <w:tcPr>
            <w:tcW w:w="23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5720" w:type="dxa"/>
            <w:vAlign w:val="bottom"/>
            <w:gridSpan w:val="10"/>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Certification of Principal Financial Officer Pursuant to Rules 13a-14(a) and</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15d-14(a) under the Securities Exchange Act of 1934, as Adopted Pursuant to</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Section 302 of the Sarbanes-Oxley Act of 2002</w:t>
              </w:r>
            </w:hyperlink>
          </w:p>
        </w:tc>
        <w:tc>
          <w:tcPr>
            <w:tcW w:w="23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5720" w:type="dxa"/>
            <w:vAlign w:val="bottom"/>
            <w:gridSpan w:val="10"/>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Certification of Principal Executive Officer and Principal Financial and</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gridSpan w:val="10"/>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Accounting Officer Pursuant to 18 U.S.C. Section 1350, as Adopted Pursuant</w:t>
              </w:r>
            </w:hyperlink>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to Section 906 of the Sarbanes-Oxley Act of 2002</w:t>
              </w:r>
            </w:hyperlink>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24"/>
                <w:szCs w:val="24"/>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right="4040" w:hanging="872"/>
        <w:spacing w:after="0" w:line="282"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512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6" w:lineRule="exact"/>
        <w:rPr>
          <w:sz w:val="20"/>
          <w:szCs w:val="20"/>
          <w:color w:val="auto"/>
        </w:rPr>
      </w:pPr>
    </w:p>
    <w:p>
      <w:pPr>
        <w:ind w:left="20" w:hanging="29"/>
        <w:spacing w:after="0" w:line="239" w:lineRule="auto"/>
        <w:rPr>
          <w:sz w:val="20"/>
          <w:szCs w:val="20"/>
          <w:color w:val="auto"/>
        </w:rPr>
      </w:pPr>
      <w:r>
        <w:rPr>
          <w:rFonts w:ascii="Times New Roman" w:cs="Times New Roman" w:eastAsia="Times New Roman" w:hAnsi="Times New Roman"/>
          <w:sz w:val="14"/>
          <w:szCs w:val="14"/>
          <w:b w:val="1"/>
          <w:bCs w:val="1"/>
          <w:color w:val="auto"/>
        </w:rPr>
        <w:t>Furnished Herewith</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X</w:t>
      </w:r>
    </w:p>
    <w:p>
      <w:pPr>
        <w:spacing w:after="0" w:line="425" w:lineRule="exact"/>
        <w:rPr>
          <w:sz w:val="20"/>
          <w:szCs w:val="20"/>
          <w:color w:val="auto"/>
        </w:rPr>
      </w:pPr>
    </w:p>
    <w:p>
      <w:pPr>
        <w:sectPr>
          <w:pgSz w:w="11900" w:h="16838" w:orient="portrait"/>
          <w:cols w:equalWidth="0" w:num="2">
            <w:col w:w="10420" w:space="100"/>
            <w:col w:w="620"/>
          </w:cols>
          <w:pgMar w:left="320" w:top="333" w:right="439" w:bottom="1440" w:gutter="0" w:footer="0" w:header="0"/>
          <w:type w:val="continuous"/>
        </w:sectPr>
      </w:pPr>
    </w:p>
    <w:p>
      <w:pPr>
        <w:ind w:left="500" w:right="40" w:hanging="492"/>
        <w:spacing w:after="0" w:line="267"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NURIX THERAPEUTICS, INC.</w:t>
            </w:r>
          </w:p>
        </w:tc>
      </w:tr>
      <w:tr>
        <w:trPr>
          <w:trHeight w:val="37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2022</w:t>
            </w:r>
          </w:p>
        </w:tc>
        <w:tc>
          <w:tcPr>
            <w:tcW w:w="25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w:t>
            </w:r>
            <w:r>
              <w:rPr>
                <w:rFonts w:ascii="Times New Roman" w:cs="Times New Roman" w:eastAsia="Times New Roman" w:hAnsi="Times New Roman"/>
                <w:sz w:val="12"/>
                <w:szCs w:val="12"/>
                <w:color w:val="auto"/>
                <w:w w:val="99"/>
              </w:rPr>
              <w:t>RTHUR</w:t>
            </w:r>
            <w:r>
              <w:rPr>
                <w:rFonts w:ascii="Times New Roman" w:cs="Times New Roman" w:eastAsia="Times New Roman" w:hAnsi="Times New Roman"/>
                <w:sz w:val="18"/>
                <w:szCs w:val="18"/>
                <w:color w:val="auto"/>
                <w:w w:val="99"/>
              </w:rPr>
              <w:t xml:space="preserve"> T. S</w:t>
            </w:r>
            <w:r>
              <w:rPr>
                <w:rFonts w:ascii="Times New Roman" w:cs="Times New Roman" w:eastAsia="Times New Roman" w:hAnsi="Times New Roman"/>
                <w:sz w:val="12"/>
                <w:szCs w:val="12"/>
                <w:color w:val="auto"/>
                <w:w w:val="99"/>
              </w:rPr>
              <w:t>ANDS</w:t>
            </w:r>
          </w:p>
        </w:tc>
      </w:tr>
      <w:tr>
        <w:trPr>
          <w:trHeight w:val="218"/>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Arthur T. Sands, M.D., Ph.D.</w:t>
            </w:r>
          </w:p>
        </w:tc>
      </w:tr>
      <w:tr>
        <w:trPr>
          <w:trHeight w:val="214"/>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9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2022</w:t>
            </w:r>
          </w:p>
        </w:tc>
        <w:tc>
          <w:tcPr>
            <w:tcW w:w="25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228"/>
        </w:trPr>
        <w:tc>
          <w:tcPr>
            <w:tcW w:w="3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van Houte</w:t>
            </w:r>
          </w:p>
        </w:tc>
      </w:tr>
    </w:tbl>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54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19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this 1 day of March, 2022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8800 TECHNOLOGY</w:t>
      </w:r>
      <w:r>
        <w:rPr>
          <w:rFonts w:ascii="Arial" w:cs="Arial" w:eastAsia="Arial" w:hAnsi="Arial"/>
          <w:sz w:val="18"/>
          <w:szCs w:val="18"/>
          <w:color w:val="auto"/>
        </w:rPr>
        <w:t xml:space="preserve"> </w:t>
      </w:r>
      <w:r>
        <w:rPr>
          <w:rFonts w:ascii="Arial" w:cs="Arial" w:eastAsia="Arial" w:hAnsi="Arial"/>
          <w:sz w:val="18"/>
          <w:szCs w:val="18"/>
          <w:b w:val="1"/>
          <w:bCs w:val="1"/>
          <w:color w:val="auto"/>
        </w:rPr>
        <w:t>FOREST PL,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NURIX THERAPEUTICS,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Building 100, 8800 Technology Forest Place, The Woodlands, Texas 77381</w:t>
            </w:r>
          </w:p>
        </w:tc>
      </w:tr>
      <w:tr>
        <w:trPr>
          <w:trHeight w:val="374"/>
        </w:trPr>
        <w:tc>
          <w:tcPr>
            <w:tcW w:w="156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w w:val="99"/>
              </w:rPr>
              <w:t>That portion of the Building, commonly known as Suite 200, containing approximately 46,434 rentable square feet,</w:t>
            </w:r>
          </w:p>
        </w:tc>
      </w:tr>
      <w:tr>
        <w:trPr>
          <w:trHeight w:val="247"/>
        </w:trPr>
        <w:tc>
          <w:tcPr>
            <w:tcW w:w="1560" w:type="dxa"/>
            <w:vAlign w:val="bottom"/>
          </w:tcPr>
          <w:p>
            <w:pPr>
              <w:spacing w:after="0"/>
              <w:rPr>
                <w:sz w:val="21"/>
                <w:szCs w:val="21"/>
                <w:color w:val="auto"/>
              </w:rPr>
            </w:pP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 xml:space="preserve">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374"/>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w w:val="99"/>
              </w:rPr>
              <w:t>The real property on which the Building in which the Premises are located, together with all improvements thereon</w:t>
            </w:r>
          </w:p>
        </w:tc>
      </w:tr>
      <w:tr>
        <w:trPr>
          <w:trHeight w:val="247"/>
        </w:trPr>
        <w:tc>
          <w:tcPr>
            <w:tcW w:w="1560" w:type="dxa"/>
            <w:vAlign w:val="bottom"/>
          </w:tcPr>
          <w:p>
            <w:pPr>
              <w:spacing w:after="0"/>
              <w:rPr>
                <w:sz w:val="21"/>
                <w:szCs w:val="21"/>
                <w:color w:val="auto"/>
              </w:rPr>
            </w:pP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 xml:space="preserve">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366"/>
        </w:trPr>
        <w:tc>
          <w:tcPr>
            <w:tcW w:w="156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$53.00 per rentable square foot of the Premises per year, subject to adjustment pursuant to Section 4 hereof.</w:t>
            </w:r>
          </w:p>
        </w:tc>
      </w:tr>
      <w:tr>
        <w:trPr>
          <w:trHeight w:val="20"/>
        </w:trPr>
        <w:tc>
          <w:tcPr>
            <w:tcW w:w="15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Rentable Area of Premises:</w:t>
      </w:r>
      <w:r>
        <w:rPr>
          <w:rFonts w:ascii="Arial" w:cs="Arial" w:eastAsia="Arial" w:hAnsi="Arial"/>
          <w:sz w:val="18"/>
          <w:szCs w:val="18"/>
          <w:color w:val="auto"/>
        </w:rPr>
        <w:t>46,434 sq. 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Rentable Area of Building:</w:t>
      </w:r>
      <w:r>
        <w:rPr>
          <w:rFonts w:ascii="Arial" w:cs="Arial" w:eastAsia="Arial" w:hAnsi="Arial"/>
          <w:sz w:val="18"/>
          <w:szCs w:val="18"/>
          <w:color w:val="auto"/>
        </w:rPr>
        <w:t>130,765 sq. 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Rentable Area of Project:</w:t>
      </w:r>
      <w:r>
        <w:rPr>
          <w:rFonts w:ascii="Arial" w:cs="Arial" w:eastAsia="Arial" w:hAnsi="Arial"/>
          <w:sz w:val="18"/>
          <w:szCs w:val="18"/>
          <w:color w:val="auto"/>
        </w:rPr>
        <w:t>317,786 sq. 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Share of Operating Expenses of Building:</w:t>
      </w:r>
      <w:r>
        <w:rPr>
          <w:rFonts w:ascii="Arial" w:cs="Arial" w:eastAsia="Arial" w:hAnsi="Arial"/>
          <w:sz w:val="18"/>
          <w:szCs w:val="18"/>
          <w:color w:val="auto"/>
        </w:rPr>
        <w:t>35.51%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Share of Operating Expenses of Project:</w:t>
      </w:r>
      <w:r>
        <w:rPr>
          <w:rFonts w:ascii="Arial" w:cs="Arial" w:eastAsia="Arial" w:hAnsi="Arial"/>
          <w:sz w:val="18"/>
          <w:szCs w:val="18"/>
          <w:color w:val="auto"/>
        </w:rPr>
        <w:t>41.15%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20" w:type="dxa"/>
            <w:vAlign w:val="bottom"/>
          </w:tcPr>
          <w:p>
            <w:pPr>
              <w:spacing w:after="0"/>
              <w:rPr>
                <w:sz w:val="20"/>
                <w:szCs w:val="20"/>
                <w:color w:val="auto"/>
              </w:rPr>
            </w:pPr>
            <w:r>
              <w:rPr>
                <w:rFonts w:ascii="Arial" w:cs="Arial" w:eastAsia="Arial" w:hAnsi="Arial"/>
                <w:sz w:val="18"/>
                <w:szCs w:val="18"/>
                <w:b w:val="1"/>
                <w:bCs w:val="1"/>
                <w:color w:val="auto"/>
              </w:rPr>
              <w:t>Security Deposit:</w:t>
            </w:r>
          </w:p>
        </w:tc>
        <w:tc>
          <w:tcPr>
            <w:tcW w:w="1340" w:type="dxa"/>
            <w:vAlign w:val="bottom"/>
          </w:tcPr>
          <w:p>
            <w:pPr>
              <w:jc w:val="right"/>
              <w:spacing w:after="0"/>
              <w:rPr>
                <w:sz w:val="20"/>
                <w:szCs w:val="20"/>
                <w:color w:val="auto"/>
              </w:rPr>
            </w:pPr>
            <w:r>
              <w:rPr>
                <w:rFonts w:ascii="Arial" w:cs="Arial" w:eastAsia="Arial" w:hAnsi="Arial"/>
                <w:sz w:val="18"/>
                <w:szCs w:val="18"/>
                <w:color w:val="auto"/>
              </w:rPr>
              <w:t>$615,250.50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Commencement Date:</w:t>
      </w:r>
      <w:r>
        <w:rPr>
          <w:rFonts w:ascii="Arial" w:cs="Arial" w:eastAsia="Arial" w:hAnsi="Arial"/>
          <w:sz w:val="18"/>
          <w:szCs w:val="18"/>
          <w:color w:val="auto"/>
        </w:rPr>
        <w:t>August 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Adjustment Percentage:</w:t>
      </w:r>
      <w:r>
        <w:rPr>
          <w:rFonts w:ascii="Arial" w:cs="Arial" w:eastAsia="Arial" w:hAnsi="Arial"/>
          <w:sz w:val="18"/>
          <w:szCs w:val="18"/>
          <w:color w:val="auto"/>
        </w:rPr>
        <w:t>3%</w:t>
      </w:r>
    </w:p>
    <w:p>
      <w:pPr>
        <w:spacing w:after="0" w:line="212" w:lineRule="exact"/>
        <w:rPr>
          <w:sz w:val="20"/>
          <w:szCs w:val="20"/>
          <w:color w:val="auto"/>
        </w:rPr>
      </w:pPr>
    </w:p>
    <w:p>
      <w:pPr>
        <w:jc w:val="both"/>
        <w:ind w:left="2160" w:hanging="2145"/>
        <w:spacing w:after="0" w:line="244" w:lineRule="auto"/>
        <w:tabs>
          <w:tab w:leader="none" w:pos="214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8"/>
          <w:szCs w:val="18"/>
          <w:color w:val="auto"/>
        </w:rPr>
        <w:t>Beginning on the Commencement Date and ending 144 months from the first day of the first full month following the Rent Commencement Date</w:t>
      </w:r>
      <w:r>
        <w:rPr>
          <w:rFonts w:ascii="Arial" w:cs="Arial" w:eastAsia="Arial" w:hAnsi="Arial"/>
          <w:sz w:val="18"/>
          <w:szCs w:val="18"/>
          <w:b w:val="1"/>
          <w:bCs w:val="1"/>
          <w:color w:val="auto"/>
        </w:rPr>
        <w:t>.</w:t>
      </w:r>
      <w:r>
        <w:rPr>
          <w:rFonts w:ascii="Arial" w:cs="Arial" w:eastAsia="Arial" w:hAnsi="Arial"/>
          <w:sz w:val="18"/>
          <w:szCs w:val="18"/>
          <w:color w:val="auto"/>
        </w:rPr>
        <w:t xml:space="preserve"> For clarity, if the Rent Commencement Date occurs on the first day of a month, the expiration of the Base Term shall be measured from that date. If the Rent Commencement Date occurs on a day other than the first day of a month, the expiration of the Base Term shall be measured from the first day of the following month.</w:t>
      </w:r>
    </w:p>
    <w:p>
      <w:pPr>
        <w:spacing w:after="0" w:line="176" w:lineRule="exact"/>
        <w:rPr>
          <w:sz w:val="20"/>
          <w:szCs w:val="20"/>
          <w:color w:val="auto"/>
        </w:rPr>
      </w:pPr>
    </w:p>
    <w:p>
      <w:pPr>
        <w:jc w:val="both"/>
        <w:ind w:left="2160" w:hanging="2145"/>
        <w:spacing w:after="0" w:line="271" w:lineRule="auto"/>
        <w:tabs>
          <w:tab w:leader="none" w:pos="214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8"/>
          <w:szCs w:val="18"/>
          <w:color w:val="auto"/>
        </w:rPr>
        <w:t xml:space="preserve">Research and development laboratory, related office and other related uses consistent with the character of the Project and otherwise in compliance with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auto"/>
              </w:rPr>
              <w:t>Address for Rent Payment:</w:t>
            </w:r>
          </w:p>
        </w:tc>
        <w:tc>
          <w:tcPr>
            <w:tcW w:w="2600" w:type="dxa"/>
            <w:vAlign w:val="bottom"/>
          </w:tcPr>
          <w:p>
            <w:pPr>
              <w:ind w:left="160"/>
              <w:spacing w:after="0"/>
              <w:rPr>
                <w:sz w:val="20"/>
                <w:szCs w:val="20"/>
                <w:color w:val="auto"/>
              </w:rPr>
            </w:pPr>
            <w:r>
              <w:rPr>
                <w:rFonts w:ascii="Arial" w:cs="Arial" w:eastAsia="Arial" w:hAnsi="Arial"/>
                <w:sz w:val="18"/>
                <w:szCs w:val="18"/>
                <w:b w:val="1"/>
                <w:bCs w:val="1"/>
                <w:color w:val="auto"/>
              </w:rPr>
              <w:t>Landlord’s Notice Address:</w:t>
            </w:r>
          </w:p>
        </w:tc>
      </w:tr>
      <w:tr>
        <w:trPr>
          <w:trHeight w:val="203"/>
        </w:trPr>
        <w:tc>
          <w:tcPr>
            <w:tcW w:w="4040" w:type="dxa"/>
            <w:vAlign w:val="bottom"/>
          </w:tcPr>
          <w:p>
            <w:pPr>
              <w:spacing w:after="0"/>
              <w:rPr>
                <w:sz w:val="17"/>
                <w:szCs w:val="17"/>
                <w:color w:val="auto"/>
              </w:rPr>
            </w:pP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26 North Euclid Avenue</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b w:val="1"/>
                <w:bCs w:val="1"/>
                <w:color w:val="auto"/>
              </w:rPr>
              <w:t>Regular Mail:</w:t>
            </w:r>
          </w:p>
        </w:tc>
        <w:tc>
          <w:tcPr>
            <w:tcW w:w="2600" w:type="dxa"/>
            <w:vAlign w:val="bottom"/>
          </w:tcPr>
          <w:p>
            <w:pPr>
              <w:ind w:left="160"/>
              <w:spacing w:after="0" w:line="202" w:lineRule="exact"/>
              <w:rPr>
                <w:sz w:val="20"/>
                <w:szCs w:val="20"/>
                <w:color w:val="auto"/>
              </w:rPr>
            </w:pPr>
            <w:r>
              <w:rPr>
                <w:rFonts w:ascii="Arial" w:cs="Arial" w:eastAsia="Arial" w:hAnsi="Arial"/>
                <w:sz w:val="18"/>
                <w:szCs w:val="18"/>
                <w:color w:val="auto"/>
              </w:rPr>
              <w:t>Pasadena, California 91101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8800 Technology Forest PL, LLC</w:t>
            </w:r>
          </w:p>
        </w:tc>
        <w:tc>
          <w:tcPr>
            <w:tcW w:w="2600" w:type="dxa"/>
            <w:vAlign w:val="bottom"/>
          </w:tcPr>
          <w:p>
            <w:pPr>
              <w:ind w:left="160"/>
              <w:spacing w:after="0"/>
              <w:rPr>
                <w:sz w:val="20"/>
                <w:szCs w:val="20"/>
                <w:color w:val="auto"/>
              </w:rPr>
            </w:pPr>
            <w:r>
              <w:rPr>
                <w:rFonts w:ascii="Arial" w:cs="Arial" w:eastAsia="Arial" w:hAnsi="Arial"/>
                <w:sz w:val="18"/>
                <w:szCs w:val="18"/>
                <w:color w:val="auto"/>
                <w:w w:val="99"/>
              </w:rPr>
              <w:t>Attention: Corporate Secretary</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P.O. Box 736483</w:t>
            </w:r>
          </w:p>
        </w:tc>
        <w:tc>
          <w:tcPr>
            <w:tcW w:w="2600" w:type="dxa"/>
            <w:vAlign w:val="bottom"/>
          </w:tcPr>
          <w:p>
            <w:pPr>
              <w:spacing w:after="0"/>
              <w:rPr>
                <w:sz w:val="17"/>
                <w:szCs w:val="17"/>
                <w:color w:val="auto"/>
              </w:rPr>
            </w:pPr>
          </w:p>
        </w:tc>
      </w:tr>
      <w:tr>
        <w:trPr>
          <w:trHeight w:val="239"/>
        </w:trPr>
        <w:tc>
          <w:tcPr>
            <w:tcW w:w="4040" w:type="dxa"/>
            <w:vAlign w:val="bottom"/>
          </w:tcPr>
          <w:p>
            <w:pPr>
              <w:spacing w:after="0"/>
              <w:rPr>
                <w:sz w:val="20"/>
                <w:szCs w:val="20"/>
                <w:color w:val="auto"/>
              </w:rPr>
            </w:pPr>
            <w:r>
              <w:rPr>
                <w:rFonts w:ascii="Arial" w:cs="Arial" w:eastAsia="Arial" w:hAnsi="Arial"/>
                <w:sz w:val="18"/>
                <w:szCs w:val="18"/>
                <w:color w:val="auto"/>
              </w:rPr>
              <w:t>Dallas, TX 75373-6483</w:t>
            </w:r>
          </w:p>
        </w:tc>
        <w:tc>
          <w:tcPr>
            <w:tcW w:w="2600" w:type="dxa"/>
            <w:vAlign w:val="bottom"/>
          </w:tcPr>
          <w:p>
            <w:pPr>
              <w:spacing w:after="0"/>
              <w:rPr>
                <w:sz w:val="20"/>
                <w:szCs w:val="20"/>
                <w:color w:val="auto"/>
              </w:rPr>
            </w:pPr>
          </w:p>
        </w:tc>
      </w:tr>
      <w:tr>
        <w:trPr>
          <w:trHeight w:val="382"/>
        </w:trPr>
        <w:tc>
          <w:tcPr>
            <w:tcW w:w="4040" w:type="dxa"/>
            <w:vAlign w:val="bottom"/>
          </w:tcPr>
          <w:p>
            <w:pPr>
              <w:spacing w:after="0"/>
              <w:rPr>
                <w:sz w:val="20"/>
                <w:szCs w:val="20"/>
                <w:color w:val="auto"/>
              </w:rPr>
            </w:pPr>
            <w:r>
              <w:rPr>
                <w:rFonts w:ascii="Arial" w:cs="Arial" w:eastAsia="Arial" w:hAnsi="Arial"/>
                <w:sz w:val="18"/>
                <w:szCs w:val="18"/>
                <w:color w:val="auto"/>
              </w:rPr>
              <w:t>Overnight Mail:</w:t>
            </w:r>
          </w:p>
        </w:tc>
        <w:tc>
          <w:tcPr>
            <w:tcW w:w="2600" w:type="dxa"/>
            <w:vAlign w:val="bottom"/>
          </w:tcPr>
          <w:p>
            <w:pPr>
              <w:spacing w:after="0"/>
              <w:rPr>
                <w:sz w:val="24"/>
                <w:szCs w:val="24"/>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JPMorgan Chase (TX1-0029)</w:t>
            </w:r>
          </w:p>
        </w:tc>
        <w:tc>
          <w:tcPr>
            <w:tcW w:w="2600" w:type="dxa"/>
            <w:vAlign w:val="bottom"/>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Attn: 8800 Technology Forest PL, LLC &amp; 736483</w:t>
            </w:r>
          </w:p>
        </w:tc>
        <w:tc>
          <w:tcPr>
            <w:tcW w:w="2600" w:type="dxa"/>
            <w:vAlign w:val="bottom"/>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14800 Frye Road, 2</w:t>
            </w:r>
            <w:r>
              <w:rPr>
                <w:rFonts w:ascii="Arial" w:cs="Arial" w:eastAsia="Arial" w:hAnsi="Arial"/>
                <w:sz w:val="15"/>
                <w:szCs w:val="15"/>
                <w:color w:val="auto"/>
              </w:rPr>
              <w:t>nd</w:t>
            </w:r>
            <w:r>
              <w:rPr>
                <w:rFonts w:ascii="Arial" w:cs="Arial" w:eastAsia="Arial" w:hAnsi="Arial"/>
                <w:sz w:val="18"/>
                <w:szCs w:val="18"/>
                <w:color w:val="auto"/>
              </w:rPr>
              <w:t xml:space="preserve"> Floor</w:t>
            </w:r>
          </w:p>
        </w:tc>
        <w:tc>
          <w:tcPr>
            <w:tcW w:w="2600" w:type="dxa"/>
            <w:vAlign w:val="bottom"/>
          </w:tcPr>
          <w:p>
            <w:pPr>
              <w:spacing w:after="0"/>
              <w:rPr>
                <w:sz w:val="17"/>
                <w:szCs w:val="17"/>
                <w:color w:val="auto"/>
              </w:rPr>
            </w:pPr>
          </w:p>
        </w:tc>
      </w:tr>
      <w:tr>
        <w:trPr>
          <w:trHeight w:val="239"/>
        </w:trPr>
        <w:tc>
          <w:tcPr>
            <w:tcW w:w="4040" w:type="dxa"/>
            <w:vAlign w:val="bottom"/>
          </w:tcPr>
          <w:p>
            <w:pPr>
              <w:spacing w:after="0"/>
              <w:rPr>
                <w:sz w:val="20"/>
                <w:szCs w:val="20"/>
                <w:color w:val="auto"/>
              </w:rPr>
            </w:pPr>
            <w:r>
              <w:rPr>
                <w:rFonts w:ascii="Arial" w:cs="Arial" w:eastAsia="Arial" w:hAnsi="Arial"/>
                <w:sz w:val="18"/>
                <w:szCs w:val="18"/>
                <w:color w:val="auto"/>
              </w:rPr>
              <w:t>Ft. Worth, Texas 76155</w:t>
            </w:r>
          </w:p>
        </w:tc>
        <w:tc>
          <w:tcPr>
            <w:tcW w:w="2600" w:type="dxa"/>
            <w:vAlign w:val="bottom"/>
          </w:tcPr>
          <w:p>
            <w:pPr>
              <w:spacing w:after="0"/>
              <w:rPr>
                <w:sz w:val="20"/>
                <w:szCs w:val="20"/>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1700 Owens Street, Suite 205</w:t>
      </w:r>
    </w:p>
    <w:p>
      <w:pPr>
        <w:spacing w:after="0" w:line="234" w:lineRule="auto"/>
        <w:rPr>
          <w:sz w:val="20"/>
          <w:szCs w:val="20"/>
          <w:color w:val="auto"/>
        </w:rPr>
      </w:pPr>
      <w:r>
        <w:rPr>
          <w:rFonts w:ascii="Arial" w:cs="Arial" w:eastAsia="Arial" w:hAnsi="Arial"/>
          <w:sz w:val="18"/>
          <w:szCs w:val="18"/>
          <w:color w:val="auto"/>
        </w:rPr>
        <w:t>San Francisco, California 94158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 DESCRIPTION OF PROJECT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 TENANT’S PERSONAL PROPERTY</w:t>
      </w:r>
    </w:p>
    <w:p>
      <w:pPr>
        <w:spacing w:after="0" w:line="194" w:lineRule="exact"/>
        <w:rPr>
          <w:sz w:val="20"/>
          <w:szCs w:val="20"/>
          <w:color w:val="auto"/>
        </w:rPr>
      </w:pPr>
    </w:p>
    <w:p>
      <w:pPr>
        <w:sectPr>
          <w:pgSz w:w="11900" w:h="16838" w:orient="portrait"/>
          <w:cols w:equalWidth="0" w:num="2">
            <w:col w:w="4760" w:space="720"/>
            <w:col w:w="5760"/>
          </w:cols>
          <w:pgMar w:left="320" w:top="121" w:right="339" w:bottom="1440" w:gutter="0" w:footer="0" w:header="0"/>
          <w:type w:val="continuous"/>
        </w:sectPr>
      </w:pPr>
    </w:p>
    <w:p>
      <w:pPr>
        <w:jc w:val="both"/>
        <w:ind w:firstLine="8"/>
        <w:spacing w:after="0" w:line="239" w:lineRule="auto"/>
        <w:tabs>
          <w:tab w:leader="none" w:pos="79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 Premises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hereby leases the Premises from Landlord. The portions of the Project which are for the non-exclusive use of tenants of the Project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Tenant shall have the non-exclusive use of the Common Areas in common with other tenants of the Project. Landlord reserves the right to modify Common Areas, provided that such modifications do not materially adversely affect Tenant’s use of the Premises for the Permitted Use and provided that such modifications do not materially increase the obligations or decrease the rights of Tenant under this Lease.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83" w:lineRule="exact"/>
        <w:rPr>
          <w:rFonts w:ascii="Arial" w:cs="Arial" w:eastAsia="Arial" w:hAnsi="Arial"/>
          <w:sz w:val="18"/>
          <w:szCs w:val="18"/>
          <w:color w:val="auto"/>
        </w:rPr>
      </w:pPr>
    </w:p>
    <w:p>
      <w:pPr>
        <w:jc w:val="both"/>
        <w:ind w:firstLine="8"/>
        <w:spacing w:after="0" w:line="239" w:lineRule="auto"/>
        <w:tabs>
          <w:tab w:leader="none" w:pos="79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 Landlord shall use reasonable efforts to deliver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for Tenant’s construction of the Tenant Improvements pursuant to the Work Letter in Tenant Improvement Work Readiness Condition on or before the Target Commencement Date. If Landlord fails to timely Deliver the Premises in Tenant Improvement Work Readiness Condition, except as set forth in the following sentence, Landlord shall not be liable to Tenant for any loss or damage resulting therefrom, and this Lease shall not be void or voidable. If Landlord does not Deliver the Premises within 90 days of the Target Commencement Date for any reason other than Force Majeure Delays and Tenant Delays, then Tenant shall be entitled to 1 day of abatement of Base Rent (calculated at the rate of the Base Rent for the first year of the Term) for each day of such delay after such 90-day period until Landlord Delivers the Premises in Tenant Improvement Work Readiness Condition. As used herein, the terms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w:t>
      </w:r>
      <w:r>
        <w:rPr>
          <w:rFonts w:ascii="Arial" w:cs="Arial" w:eastAsia="Arial" w:hAnsi="Arial"/>
          <w:sz w:val="18"/>
          <w:szCs w:val="18"/>
          <w:b w:val="1"/>
          <w:bCs w:val="1"/>
          <w:color w:val="auto"/>
        </w:rPr>
        <w:t>Tenant Improvement Work Readiness Condition</w:t>
      </w:r>
      <w:r>
        <w:rPr>
          <w:rFonts w:ascii="Arial" w:cs="Arial" w:eastAsia="Arial" w:hAnsi="Arial"/>
          <w:sz w:val="18"/>
          <w:szCs w:val="18"/>
          <w:color w:val="auto"/>
        </w:rPr>
        <w:t>” and “</w:t>
      </w:r>
      <w:r>
        <w:rPr>
          <w:rFonts w:ascii="Arial" w:cs="Arial" w:eastAsia="Arial" w:hAnsi="Arial"/>
          <w:sz w:val="18"/>
          <w:szCs w:val="18"/>
          <w:b w:val="1"/>
          <w:bCs w:val="1"/>
          <w:color w:val="auto"/>
        </w:rPr>
        <w:t>Tenant Delays</w:t>
      </w:r>
      <w:r>
        <w:rPr>
          <w:rFonts w:ascii="Arial" w:cs="Arial" w:eastAsia="Arial" w:hAnsi="Arial"/>
          <w:sz w:val="18"/>
          <w:szCs w:val="18"/>
          <w:color w:val="auto"/>
        </w:rPr>
        <w:t>” shall have the meanings set forth for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Work Letter.</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date that Landlord Delivers the Premises to Tenant in Tenant Improvement Work Readiness Condition for Tenant’s construction of the Tenant Improvements.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shall be the earlier of (i) date that is 7 months after the Commencement Date (but in no event shall the Commencement Date occur earlier than August 1, 2022), or (ii) the date that Tenant commences conducting business in all or any portion of the Premises. Upon written request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Landlord, Tenant shall execute and deliver a written acknowledgment of the Commencement Date, the Rent Commencement Date and the</w:t>
      </w:r>
    </w:p>
    <w:p>
      <w:pPr>
        <w:spacing w:after="0" w:line="234" w:lineRule="auto"/>
        <w:rPr>
          <w:sz w:val="20"/>
          <w:szCs w:val="20"/>
          <w:color w:val="auto"/>
        </w:rPr>
      </w:pPr>
      <w:r>
        <w:rPr>
          <w:rFonts w:ascii="Arial" w:cs="Arial" w:eastAsia="Arial" w:hAnsi="Arial"/>
          <w:sz w:val="18"/>
          <w:szCs w:val="18"/>
          <w:color w:val="auto"/>
        </w:rPr>
        <w:t>expiration date of the Term when such are established in the form of the “Acknowledgement of Commencement Date” attached to this Lease</w:t>
      </w:r>
    </w:p>
    <w:p>
      <w:pPr>
        <w:spacing w:after="0" w:line="235"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w:t>
      </w:r>
    </w:p>
    <w:p>
      <w:pPr>
        <w:spacing w:after="0" w:line="235" w:lineRule="auto"/>
        <w:rPr>
          <w:sz w:val="20"/>
          <w:szCs w:val="20"/>
          <w:color w:val="auto"/>
        </w:rPr>
      </w:pPr>
      <w:r>
        <w:rPr>
          <w:rFonts w:ascii="Arial" w:cs="Arial" w:eastAsia="Arial" w:hAnsi="Arial"/>
          <w:sz w:val="18"/>
          <w:szCs w:val="18"/>
          <w:color w:val="auto"/>
        </w:rPr>
        <w:t>hereunder.  The “</w:t>
      </w:r>
      <w:r>
        <w:rPr>
          <w:rFonts w:ascii="Arial" w:cs="Arial" w:eastAsia="Arial" w:hAnsi="Arial"/>
          <w:sz w:val="18"/>
          <w:szCs w:val="18"/>
          <w:b w:val="1"/>
          <w:bCs w:val="1"/>
          <w:color w:val="auto"/>
        </w:rPr>
        <w:t>Term</w:t>
      </w:r>
      <w:r>
        <w:rPr>
          <w:rFonts w:ascii="Arial" w:cs="Arial" w:eastAsia="Arial" w:hAnsi="Arial"/>
          <w:sz w:val="18"/>
          <w:szCs w:val="18"/>
          <w:color w:val="auto"/>
        </w:rPr>
        <w:t>” of this Lease shall be the Base Term, as defined above on the first page of this Lease and any Extension Terms</w:t>
      </w:r>
    </w:p>
    <w:p>
      <w:pPr>
        <w:spacing w:after="0"/>
        <w:rPr>
          <w:sz w:val="20"/>
          <w:szCs w:val="20"/>
          <w:color w:val="auto"/>
        </w:rPr>
      </w:pPr>
      <w:r>
        <w:rPr>
          <w:rFonts w:ascii="Arial" w:cs="Arial" w:eastAsia="Arial" w:hAnsi="Arial"/>
          <w:sz w:val="18"/>
          <w:szCs w:val="18"/>
          <w:color w:val="auto"/>
        </w:rPr>
        <w:t xml:space="preserve">which Tenant may elect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hereof.</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Except as set forth in the Work Letter: (i) Tenant shall accept the Premises in their “AS-IS”, “WHERE-IS” and “WITH ALL FAULTS” condition as of the Commencement Date; (ii) Landlord shall have no obligation for any defects in the Premises except as set forth below;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17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79"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38" w:lineRule="auto"/>
        <w:tabs>
          <w:tab w:leader="none" w:pos="86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The Security Deposit shall be due and payable concurrently with Tenant’s delivery of an executed copy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Landlord. Base Rent for the month in which the Rent Commencement Date occurs (or, if the Rent Commencement Date does not occur on the first day of a calendar month, Base Rent for the first full calendar month following the Rent Commencement Date) shall be paid by Tenant to Landlord no later than thirty (30) days prior to the Rent Commencement Date. Tenant shall pay to Landlord in advance, without demand, abatement,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or via federally insured wire transfer (including ACH) pursuant to the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Notwithstanding the foregoing to the contrary, provided Tenant is not in default under the Lease, for the time period from the Rent Commencement Date through the day immediately preceding the 1-year anniversary of the Rent Commencement Date (the “</w:t>
      </w:r>
      <w:r>
        <w:rPr>
          <w:rFonts w:ascii="Arial" w:cs="Arial" w:eastAsia="Arial" w:hAnsi="Arial"/>
          <w:sz w:val="18"/>
          <w:szCs w:val="18"/>
          <w:b w:val="1"/>
          <w:bCs w:val="1"/>
          <w:color w:val="auto"/>
        </w:rPr>
        <w:t>Partial Base</w:t>
      </w:r>
      <w:r>
        <w:rPr>
          <w:rFonts w:ascii="Arial" w:cs="Arial" w:eastAsia="Arial" w:hAnsi="Arial"/>
          <w:sz w:val="18"/>
          <w:szCs w:val="18"/>
          <w:color w:val="auto"/>
        </w:rPr>
        <w:t xml:space="preserve"> </w:t>
      </w:r>
      <w:r>
        <w:rPr>
          <w:rFonts w:ascii="Arial" w:cs="Arial" w:eastAsia="Arial" w:hAnsi="Arial"/>
          <w:sz w:val="18"/>
          <w:szCs w:val="18"/>
          <w:b w:val="1"/>
          <w:bCs w:val="1"/>
          <w:color w:val="auto"/>
        </w:rPr>
        <w:t>Rent Abatement Period</w:t>
      </w:r>
      <w:r>
        <w:rPr>
          <w:rFonts w:ascii="Arial" w:cs="Arial" w:eastAsia="Arial" w:hAnsi="Arial"/>
          <w:sz w:val="18"/>
          <w:szCs w:val="18"/>
          <w:color w:val="auto"/>
        </w:rPr>
        <w:t>”), the Base Rent payable by Tenant shall be partially abated so that during this time period Tenant shall pay Base</w:t>
      </w:r>
      <w:r>
        <w:rPr>
          <w:rFonts w:ascii="Arial" w:cs="Arial" w:eastAsia="Arial" w:hAnsi="Arial"/>
          <w:sz w:val="18"/>
          <w:szCs w:val="18"/>
          <w:b w:val="1"/>
          <w:bCs w:val="1"/>
          <w:color w:val="auto"/>
        </w:rPr>
        <w:t xml:space="preserve"> </w:t>
      </w:r>
      <w:r>
        <w:rPr>
          <w:rFonts w:ascii="Arial" w:cs="Arial" w:eastAsia="Arial" w:hAnsi="Arial"/>
          <w:sz w:val="18"/>
          <w:szCs w:val="18"/>
          <w:color w:val="auto"/>
        </w:rPr>
        <w:t>Rent with respect to 34,825.5 rentable square feet and the Base Rent shall be abated for the remaining 11,608.5 rentable square feet of the Premises. For the avoidance of doubt, the foregoing partial abatement during the Partial Base Rent Abatement Period shall only apply with respect to the Base Rent and Tenant shall remain obligated to pay in full for all other sums due and owing under the Lease, including Additional Rent, with respect to the entirety of the rentable square feet of the Premises.</w:t>
      </w:r>
    </w:p>
    <w:p>
      <w:pPr>
        <w:spacing w:after="0" w:line="185" w:lineRule="exact"/>
        <w:rPr>
          <w:sz w:val="20"/>
          <w:szCs w:val="20"/>
          <w:color w:val="auto"/>
        </w:rPr>
      </w:pPr>
    </w:p>
    <w:p>
      <w:pPr>
        <w:jc w:val="both"/>
        <w:ind w:firstLine="8"/>
        <w:spacing w:after="0" w:line="247"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commencing on the Rent Commencement Date,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due by reason of any default of Tenant or failure to comply with the agreements, terms, covenants and conditions of this Lease to be</w:t>
      </w:r>
    </w:p>
    <w:p>
      <w:pPr>
        <w:spacing w:after="0"/>
        <w:rPr>
          <w:sz w:val="20"/>
          <w:szCs w:val="20"/>
          <w:color w:val="auto"/>
        </w:rPr>
      </w:pPr>
      <w:r>
        <w:rPr>
          <w:rFonts w:ascii="Arial" w:cs="Arial" w:eastAsia="Arial" w:hAnsi="Arial"/>
          <w:sz w:val="18"/>
          <w:szCs w:val="18"/>
          <w:color w:val="auto"/>
        </w:rPr>
        <w:t>performed by Tenant, after any applicable notice and cure period.</w:t>
      </w:r>
    </w:p>
    <w:p>
      <w:pPr>
        <w:spacing w:after="0" w:line="194" w:lineRule="exact"/>
        <w:rPr>
          <w:sz w:val="20"/>
          <w:szCs w:val="20"/>
          <w:color w:val="auto"/>
        </w:rPr>
      </w:pPr>
    </w:p>
    <w:p>
      <w:pPr>
        <w:jc w:val="both"/>
        <w:ind w:firstLine="8"/>
        <w:spacing w:after="0" w:line="242" w:lineRule="auto"/>
        <w:tabs>
          <w:tab w:leader="none" w:pos="798"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(a) Base Rent shall be increased on each annual anniversary of the Rent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if the Rent Commencement Date occurs on a day other than the first day of a calendar month, then Base Rent shall be increased on each annual anniversary of the first day of the first full calendar month immediately following the Rent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78" w:lineRule="exact"/>
        <w:rPr>
          <w:rFonts w:ascii="Arial" w:cs="Arial" w:eastAsia="Arial" w:hAnsi="Arial"/>
          <w:sz w:val="18"/>
          <w:szCs w:val="18"/>
          <w:color w:val="auto"/>
        </w:rPr>
      </w:pPr>
    </w:p>
    <w:p>
      <w:pPr>
        <w:jc w:val="both"/>
        <w:ind w:firstLine="872"/>
        <w:spacing w:after="0"/>
        <w:tabs>
          <w:tab w:leader="none" w:pos="1731"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addition to the Tenant Improvement Allowance (as defined in the Work Letter), Landlord shall, subject to the terms of the Work Letter, make available to Tenant the Additional Tenant Improvement Allowance (as defined in the Work Letter). Commencing on the Rent Commencement Date and continuing thereafter on the first day of each month during the Base Term, Tenant shall pay the amount necessary to fully amortize the portion of the Additional Tenant Improvement Allowance elected to be used by Tenant and actually funded by Landlord, if any, in equal monthly payments with interest at a rate of 8% per annum over the Base Term, which interest shall begin to accrue on the date that Landlord first disburses such Additional Tenant Improvement Allowance or any portion(s) thereof (“</w:t>
      </w:r>
      <w:r>
        <w:rPr>
          <w:rFonts w:ascii="Arial" w:cs="Arial" w:eastAsia="Arial" w:hAnsi="Arial"/>
          <w:sz w:val="18"/>
          <w:szCs w:val="18"/>
          <w:b w:val="1"/>
          <w:bCs w:val="1"/>
          <w:color w:val="auto"/>
        </w:rPr>
        <w:t>TI Rent</w:t>
      </w:r>
      <w:r>
        <w:rPr>
          <w:rFonts w:ascii="Arial" w:cs="Arial" w:eastAsia="Arial" w:hAnsi="Arial"/>
          <w:sz w:val="18"/>
          <w:szCs w:val="18"/>
          <w:color w:val="auto"/>
        </w:rPr>
        <w:t>”). Any TI Rent remaining unpaid as of the expiration or earlier termination of this Lease shall be paid to Landlord in a lump sum at the expiration or earlier termination of this Lease. Tenant shall have no obligation to accept the Additional Tenant Improvement Allowance.</w:t>
      </w:r>
    </w:p>
    <w:p>
      <w:pPr>
        <w:spacing w:after="0" w:line="180" w:lineRule="exact"/>
        <w:rPr>
          <w:rFonts w:ascii="Arial" w:cs="Arial" w:eastAsia="Arial" w:hAnsi="Arial"/>
          <w:sz w:val="18"/>
          <w:szCs w:val="18"/>
          <w:color w:val="auto"/>
        </w:rPr>
      </w:pPr>
    </w:p>
    <w:p>
      <w:pPr>
        <w:jc w:val="both"/>
        <w:ind w:firstLine="8"/>
        <w:spacing w:after="0" w:line="247" w:lineRule="auto"/>
        <w:tabs>
          <w:tab w:leader="none" w:pos="798"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7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 (u)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(v) the cost of enhanced services provided at the Building and/or Project which are intended to encourage social distancing, promote and protect health and physical well-being and/or intended to limit the spread of communicable diseases and/or viruses of any kind or nature more virulent than the flu (collectively, “</w:t>
      </w:r>
      <w:r>
        <w:rPr>
          <w:rFonts w:ascii="Arial" w:cs="Arial" w:eastAsia="Arial" w:hAnsi="Arial"/>
          <w:sz w:val="18"/>
          <w:szCs w:val="18"/>
          <w:b w:val="1"/>
          <w:bCs w:val="1"/>
          <w:color w:val="auto"/>
        </w:rPr>
        <w:t>Infectious Conditions</w:t>
      </w:r>
      <w:r>
        <w:rPr>
          <w:rFonts w:ascii="Arial" w:cs="Arial" w:eastAsia="Arial" w:hAnsi="Arial"/>
          <w:sz w:val="18"/>
          <w:szCs w:val="18"/>
          <w:color w:val="auto"/>
        </w:rPr>
        <w:t>”), (w) the cost (including, without limitation, any commercially reasonable subsidies which Landlord may provide in connection with the Project Amenities) of the common area amenities (the “</w:t>
      </w:r>
      <w:r>
        <w:rPr>
          <w:rFonts w:ascii="Arial" w:cs="Arial" w:eastAsia="Arial" w:hAnsi="Arial"/>
          <w:sz w:val="18"/>
          <w:szCs w:val="18"/>
          <w:b w:val="1"/>
          <w:bCs w:val="1"/>
          <w:color w:val="auto"/>
        </w:rPr>
        <w:t>Project Amenities</w:t>
      </w:r>
      <w:r>
        <w:rPr>
          <w:rFonts w:ascii="Arial" w:cs="Arial" w:eastAsia="Arial" w:hAnsi="Arial"/>
          <w:sz w:val="18"/>
          <w:szCs w:val="18"/>
          <w:color w:val="auto"/>
        </w:rPr>
        <w:t>”) now or hereafter located at the Project, (x) transportation services, (y) capital repairs, improvements and replacements amortized over the lesser of 10 years and the useful life of such capital repairs, improvements and replacements, and (z) the costs of Landlord’s third party property manager (not to exceed 3% of Base Rent) or, if there is no third party property manager, administration rent in the amount of 3% of Base Rent (provided that during the Partial Base Rent Abatement Period, Tenant shall nonetheless be required to pay administration rent each month equal to the amount of the administration rent that Tenant would have been required to pay in the absence of there being an Partial Base Rent Abatement Period), excluding only:</w:t>
      </w:r>
    </w:p>
    <w:p>
      <w:pPr>
        <w:spacing w:after="0" w:line="180" w:lineRule="exact"/>
        <w:rPr>
          <w:sz w:val="20"/>
          <w:szCs w:val="20"/>
          <w:color w:val="auto"/>
        </w:rPr>
      </w:pPr>
    </w:p>
    <w:p>
      <w:pPr>
        <w:ind w:firstLine="8"/>
        <w:spacing w:after="0" w:line="271" w:lineRule="auto"/>
        <w:tabs>
          <w:tab w:leader="none" w:pos="8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this Lease and costs of correcting defects in such original construction or renovation;</w:t>
      </w:r>
    </w:p>
    <w:p>
      <w:pPr>
        <w:spacing w:after="0" w:line="153" w:lineRule="exact"/>
        <w:rPr>
          <w:rFonts w:ascii="Arial" w:cs="Arial" w:eastAsia="Arial" w:hAnsi="Arial"/>
          <w:sz w:val="18"/>
          <w:szCs w:val="18"/>
          <w:color w:val="auto"/>
        </w:rPr>
      </w:pPr>
    </w:p>
    <w:p>
      <w:pPr>
        <w:ind w:left="880" w:hanging="872"/>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211" w:lineRule="exact"/>
        <w:rPr>
          <w:rFonts w:ascii="Arial" w:cs="Arial" w:eastAsia="Arial" w:hAnsi="Arial"/>
          <w:sz w:val="18"/>
          <w:szCs w:val="18"/>
          <w:color w:val="auto"/>
        </w:rPr>
      </w:pPr>
    </w:p>
    <w:p>
      <w:pPr>
        <w:ind w:firstLine="8"/>
        <w:spacing w:after="0" w:line="271" w:lineRule="auto"/>
        <w:tabs>
          <w:tab w:leader="none" w:pos="8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incurred to remove, study, test or remediate, or otherwise related to the presence of Hazardous Materials (as defined in Section 30) on, in, under or about the Building or the Project,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 Tenant proves (A) existed prior to the Commencement Date, (B) originated from any separately demised tenant space</w:t>
      </w:r>
    </w:p>
    <w:p>
      <w:pPr>
        <w:spacing w:after="0" w:line="234" w:lineRule="auto"/>
        <w:rPr>
          <w:sz w:val="20"/>
          <w:szCs w:val="20"/>
          <w:color w:val="auto"/>
        </w:rPr>
      </w:pPr>
      <w:r>
        <w:rPr>
          <w:rFonts w:ascii="Arial" w:cs="Arial" w:eastAsia="Arial" w:hAnsi="Arial"/>
          <w:sz w:val="18"/>
          <w:szCs w:val="18"/>
          <w:color w:val="auto"/>
        </w:rPr>
        <w:t>within the Project other than the Premises, or (C) were not brought upon, kept, used stored, handled, treated, generated in, or released or</w:t>
      </w:r>
    </w:p>
    <w:p>
      <w:pPr>
        <w:spacing w:after="0" w:line="235" w:lineRule="auto"/>
        <w:rPr>
          <w:sz w:val="20"/>
          <w:szCs w:val="20"/>
          <w:color w:val="auto"/>
        </w:rPr>
      </w:pPr>
      <w:r>
        <w:rPr>
          <w:rFonts w:ascii="Arial" w:cs="Arial" w:eastAsia="Arial" w:hAnsi="Arial"/>
          <w:sz w:val="18"/>
          <w:szCs w:val="18"/>
          <w:color w:val="auto"/>
        </w:rPr>
        <w:t>disposed of from the Project by Tenant or any Tenant Party, except to the extent, in any such case, the presence of such Hazardous</w:t>
      </w:r>
    </w:p>
    <w:p>
      <w:pPr>
        <w:spacing w:after="0" w:line="235" w:lineRule="auto"/>
        <w:rPr>
          <w:sz w:val="20"/>
          <w:szCs w:val="20"/>
          <w:color w:val="auto"/>
        </w:rPr>
      </w:pPr>
      <w:r>
        <w:rPr>
          <w:rFonts w:ascii="Arial" w:cs="Arial" w:eastAsia="Arial" w:hAnsi="Arial"/>
          <w:sz w:val="18"/>
          <w:szCs w:val="18"/>
          <w:color w:val="auto"/>
        </w:rPr>
        <w:t>Materials (1) was the result of a breach of any of Tenant’s obligations under this Lease by Tenant or any Tenant Party, or (2) was caused by,</w:t>
      </w:r>
    </w:p>
    <w:p>
      <w:pPr>
        <w:spacing w:after="0"/>
        <w:rPr>
          <w:sz w:val="20"/>
          <w:szCs w:val="20"/>
          <w:color w:val="auto"/>
        </w:rPr>
      </w:pPr>
      <w:r>
        <w:rPr>
          <w:rFonts w:ascii="Arial" w:cs="Arial" w:eastAsia="Arial" w:hAnsi="Arial"/>
          <w:sz w:val="18"/>
          <w:szCs w:val="18"/>
          <w:color w:val="auto"/>
        </w:rPr>
        <w:t>contributed to, or exacerbated by Tenant or any Tenant Party;</w:t>
      </w:r>
    </w:p>
    <w:p>
      <w:pPr>
        <w:spacing w:after="0" w:line="194" w:lineRule="exact"/>
        <w:rPr>
          <w:sz w:val="20"/>
          <w:szCs w:val="20"/>
          <w:color w:val="auto"/>
        </w:rPr>
      </w:pPr>
    </w:p>
    <w:p>
      <w:pPr>
        <w:jc w:val="both"/>
        <w:ind w:firstLine="8"/>
        <w:spacing w:after="0" w:line="253"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or base rent (but not taxes or operating expenses) under any ground lease or other underlying lease of all or any portion of the Project;</w:t>
      </w:r>
    </w:p>
    <w:p>
      <w:pPr>
        <w:spacing w:after="0" w:line="168" w:lineRule="exact"/>
        <w:rPr>
          <w:rFonts w:ascii="Arial" w:cs="Arial" w:eastAsia="Arial" w:hAnsi="Arial"/>
          <w:sz w:val="18"/>
          <w:szCs w:val="18"/>
          <w:color w:val="auto"/>
        </w:rPr>
      </w:pPr>
    </w:p>
    <w:p>
      <w:pPr>
        <w:ind w:firstLine="8"/>
        <w:spacing w:after="0" w:line="271"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depreciation of the Project and capital reserves (except for capital improvements amortized as set forth above, the cost of which are includable in Operating Expenses);</w:t>
      </w:r>
    </w:p>
    <w:p>
      <w:pPr>
        <w:spacing w:after="0" w:line="153" w:lineRule="exact"/>
        <w:rPr>
          <w:rFonts w:ascii="Arial" w:cs="Arial" w:eastAsia="Arial" w:hAnsi="Arial"/>
          <w:sz w:val="18"/>
          <w:szCs w:val="18"/>
          <w:color w:val="auto"/>
        </w:rPr>
      </w:pPr>
    </w:p>
    <w:p>
      <w:pPr>
        <w:jc w:val="both"/>
        <w:ind w:firstLine="8"/>
        <w:spacing w:after="0" w:line="253" w:lineRule="auto"/>
        <w:tabs>
          <w:tab w:leader="none" w:pos="8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68" w:lineRule="exact"/>
        <w:rPr>
          <w:rFonts w:ascii="Arial" w:cs="Arial" w:eastAsia="Arial" w:hAnsi="Arial"/>
          <w:sz w:val="18"/>
          <w:szCs w:val="18"/>
          <w:color w:val="auto"/>
        </w:rPr>
      </w:pPr>
    </w:p>
    <w:p>
      <w:pPr>
        <w:ind w:left="880" w:hanging="87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11" w:lineRule="exact"/>
        <w:rPr>
          <w:rFonts w:ascii="Arial" w:cs="Arial" w:eastAsia="Arial" w:hAnsi="Arial"/>
          <w:sz w:val="18"/>
          <w:szCs w:val="18"/>
          <w:color w:val="auto"/>
        </w:rPr>
      </w:pPr>
    </w:p>
    <w:p>
      <w:pPr>
        <w:ind w:right="20" w:firstLine="8"/>
        <w:spacing w:after="0" w:line="271"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153" w:lineRule="exact"/>
        <w:rPr>
          <w:rFonts w:ascii="Arial" w:cs="Arial" w:eastAsia="Arial" w:hAnsi="Arial"/>
          <w:sz w:val="18"/>
          <w:szCs w:val="18"/>
          <w:color w:val="auto"/>
        </w:rPr>
      </w:pPr>
    </w:p>
    <w:p>
      <w:pPr>
        <w:ind w:firstLine="8"/>
        <w:spacing w:after="0" w:line="271" w:lineRule="auto"/>
        <w:tabs>
          <w:tab w:leader="none" w:pos="8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153" w:lineRule="exact"/>
        <w:rPr>
          <w:rFonts w:ascii="Arial" w:cs="Arial" w:eastAsia="Arial" w:hAnsi="Arial"/>
          <w:sz w:val="18"/>
          <w:szCs w:val="18"/>
          <w:color w:val="auto"/>
        </w:rPr>
      </w:pPr>
    </w:p>
    <w:p>
      <w:pPr>
        <w:ind w:firstLine="8"/>
        <w:spacing w:after="0" w:line="271" w:lineRule="auto"/>
        <w:tabs>
          <w:tab w:leader="none" w:pos="8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153" w:lineRule="exact"/>
        <w:rPr>
          <w:rFonts w:ascii="Arial" w:cs="Arial" w:eastAsia="Arial" w:hAnsi="Arial"/>
          <w:sz w:val="18"/>
          <w:szCs w:val="18"/>
          <w:color w:val="auto"/>
        </w:rPr>
      </w:pPr>
    </w:p>
    <w:p>
      <w:pPr>
        <w:ind w:right="20" w:firstLine="8"/>
        <w:spacing w:after="0" w:line="271" w:lineRule="auto"/>
        <w:tabs>
          <w:tab w:leader="none" w:pos="8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53" w:lineRule="exact"/>
        <w:rPr>
          <w:rFonts w:ascii="Arial" w:cs="Arial" w:eastAsia="Arial" w:hAnsi="Arial"/>
          <w:sz w:val="18"/>
          <w:szCs w:val="18"/>
          <w:color w:val="auto"/>
        </w:rPr>
      </w:pPr>
    </w:p>
    <w:p>
      <w:pPr>
        <w:jc w:val="both"/>
        <w:ind w:firstLine="8"/>
        <w:spacing w:after="0" w:line="253" w:lineRule="auto"/>
        <w:tabs>
          <w:tab w:leader="none" w:pos="8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68" w:lineRule="exact"/>
        <w:rPr>
          <w:rFonts w:ascii="Arial" w:cs="Arial" w:eastAsia="Arial" w:hAnsi="Arial"/>
          <w:sz w:val="18"/>
          <w:szCs w:val="18"/>
          <w:color w:val="auto"/>
        </w:rPr>
      </w:pPr>
    </w:p>
    <w:p>
      <w:pPr>
        <w:ind w:right="20" w:firstLine="8"/>
        <w:spacing w:after="0" w:line="271" w:lineRule="auto"/>
        <w:tabs>
          <w:tab w:leader="none" w:pos="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8"/>
        <w:spacing w:after="0" w:line="253"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68" w:lineRule="exact"/>
        <w:rPr>
          <w:rFonts w:ascii="Arial" w:cs="Arial" w:eastAsia="Arial" w:hAnsi="Arial"/>
          <w:sz w:val="18"/>
          <w:szCs w:val="18"/>
          <w:color w:val="auto"/>
        </w:rPr>
      </w:pPr>
    </w:p>
    <w:p>
      <w:pPr>
        <w:ind w:firstLine="8"/>
        <w:spacing w:after="0" w:line="271"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53" w:lineRule="exact"/>
        <w:rPr>
          <w:rFonts w:ascii="Arial" w:cs="Arial" w:eastAsia="Arial" w:hAnsi="Arial"/>
          <w:sz w:val="18"/>
          <w:szCs w:val="18"/>
          <w:color w:val="auto"/>
        </w:rPr>
      </w:pPr>
    </w:p>
    <w:p>
      <w:pPr>
        <w:ind w:left="880" w:hanging="87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11" w:lineRule="exact"/>
        <w:rPr>
          <w:rFonts w:ascii="Arial" w:cs="Arial" w:eastAsia="Arial" w:hAnsi="Arial"/>
          <w:sz w:val="18"/>
          <w:szCs w:val="18"/>
          <w:color w:val="auto"/>
        </w:rPr>
      </w:pPr>
    </w:p>
    <w:p>
      <w:pPr>
        <w:ind w:firstLine="8"/>
        <w:spacing w:after="0" w:line="271"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which are provided to another tenant or occupant of the Project, whether or not such other tenant or occupant is specifically charged therefor</w:t>
      </w:r>
    </w:p>
    <w:p>
      <w:pPr>
        <w:spacing w:after="0"/>
        <w:rPr>
          <w:sz w:val="20"/>
          <w:szCs w:val="20"/>
          <w:color w:val="auto"/>
        </w:rPr>
      </w:pPr>
      <w:r>
        <w:rPr>
          <w:rFonts w:ascii="Arial" w:cs="Arial" w:eastAsia="Arial" w:hAnsi="Arial"/>
          <w:sz w:val="18"/>
          <w:szCs w:val="18"/>
          <w:color w:val="auto"/>
        </w:rPr>
        <w:t>by Landlord;</w:t>
      </w:r>
    </w:p>
    <w:p>
      <w:pPr>
        <w:spacing w:after="0" w:line="194" w:lineRule="exact"/>
        <w:rPr>
          <w:sz w:val="20"/>
          <w:szCs w:val="20"/>
          <w:color w:val="auto"/>
        </w:rPr>
      </w:pPr>
    </w:p>
    <w:p>
      <w:pPr>
        <w:ind w:left="840" w:hanging="832"/>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11" w:lineRule="exact"/>
        <w:rPr>
          <w:rFonts w:ascii="Arial" w:cs="Arial" w:eastAsia="Arial" w:hAnsi="Arial"/>
          <w:sz w:val="18"/>
          <w:szCs w:val="18"/>
          <w:color w:val="auto"/>
        </w:rPr>
      </w:pPr>
    </w:p>
    <w:p>
      <w:pPr>
        <w:ind w:right="20" w:firstLine="8"/>
        <w:spacing w:after="0" w:line="271" w:lineRule="auto"/>
        <w:tabs>
          <w:tab w:leader="none" w:pos="8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53" w:lineRule="exact"/>
        <w:rPr>
          <w:rFonts w:ascii="Arial" w:cs="Arial" w:eastAsia="Arial" w:hAnsi="Arial"/>
          <w:sz w:val="18"/>
          <w:szCs w:val="18"/>
          <w:color w:val="auto"/>
        </w:rPr>
      </w:pPr>
    </w:p>
    <w:p>
      <w:pPr>
        <w:ind w:left="820" w:hanging="81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incurred in connection with the operating of any parking concession within the Project;</w:t>
      </w:r>
    </w:p>
    <w:p>
      <w:pPr>
        <w:spacing w:after="0" w:line="211" w:lineRule="exact"/>
        <w:rPr>
          <w:rFonts w:ascii="Arial" w:cs="Arial" w:eastAsia="Arial" w:hAnsi="Arial"/>
          <w:sz w:val="18"/>
          <w:szCs w:val="18"/>
          <w:color w:val="auto"/>
        </w:rPr>
      </w:pPr>
    </w:p>
    <w:p>
      <w:pPr>
        <w:jc w:val="both"/>
        <w:ind w:firstLine="8"/>
        <w:spacing w:after="0" w:line="247" w:lineRule="auto"/>
        <w:tabs>
          <w:tab w:leader="none" w:pos="8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costs incurred in connection with the performance of alterations or modifications to the Common Areas of the Project that are required solely due to the non-compliance of the Common Areas of the Project with Legal Requirements applicable to the Common Areas of the Project as of the Commencement Date, except to the extent such alterations or modifications are triggered by reason of Tenant’s particular use of the Premises or Tenant’s Alterations, in which case Tenant shall be solely responsible subject to </w:t>
      </w:r>
      <w:r>
        <w:rPr>
          <w:rFonts w:ascii="Arial" w:cs="Arial" w:eastAsia="Arial" w:hAnsi="Arial"/>
          <w:sz w:val="18"/>
          <w:szCs w:val="18"/>
          <w:u w:val="single" w:color="auto"/>
          <w:color w:val="auto"/>
        </w:rPr>
        <w:t>Section 7</w:t>
      </w:r>
      <w:r>
        <w:rPr>
          <w:rFonts w:ascii="Arial" w:cs="Arial" w:eastAsia="Arial" w:hAnsi="Arial"/>
          <w:sz w:val="18"/>
          <w:szCs w:val="18"/>
          <w:color w:val="auto"/>
        </w:rPr>
        <w:t>; and</w:t>
      </w:r>
    </w:p>
    <w:p>
      <w:pPr>
        <w:spacing w:after="0" w:line="173" w:lineRule="exact"/>
        <w:rPr>
          <w:rFonts w:ascii="Arial" w:cs="Arial" w:eastAsia="Arial" w:hAnsi="Arial"/>
          <w:sz w:val="18"/>
          <w:szCs w:val="18"/>
          <w:color w:val="auto"/>
        </w:rPr>
      </w:pPr>
    </w:p>
    <w:p>
      <w:pPr>
        <w:ind w:firstLine="8"/>
        <w:spacing w:after="0" w:line="271" w:lineRule="auto"/>
        <w:tabs>
          <w:tab w:leader="none" w:pos="8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5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8"/>
          <w:szCs w:val="18"/>
          <w:b w:val="1"/>
          <w:bCs w:val="1"/>
          <w:color w:val="auto"/>
        </w:rPr>
        <w:t>Energy Savings Costs</w:t>
      </w:r>
      <w:r>
        <w:rPr>
          <w:rFonts w:ascii="Arial" w:cs="Arial" w:eastAsia="Arial" w:hAnsi="Arial"/>
          <w:sz w:val="18"/>
          <w:szCs w:val="18"/>
          <w:color w:val="auto"/>
        </w:rPr>
        <w:t>”) shall be amortized over a period of years equal to the least of (A) 7 years, (B) the useful life of such capital items, or (C) the quotient of (i) the Energy Savings Costs, divided by (ii) the annual amount of Operating Expenses reasonably expected by Landlord to be saved as a result of such capital improvements.</w:t>
      </w:r>
    </w:p>
    <w:p>
      <w:pPr>
        <w:spacing w:after="0" w:line="17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Within 90 days after the end of each calendar year (or such longer period as may be reasonably required), Landlord shall furnish to Tenant a statement (an “</w:t>
      </w:r>
      <w:r>
        <w:rPr>
          <w:rFonts w:ascii="Arial" w:cs="Arial" w:eastAsia="Arial" w:hAnsi="Arial"/>
          <w:sz w:val="18"/>
          <w:szCs w:val="18"/>
          <w:b w:val="1"/>
          <w:bCs w:val="1"/>
          <w:color w:val="auto"/>
        </w:rPr>
        <w:t>Annual Statement</w:t>
      </w:r>
      <w:r>
        <w:rPr>
          <w:rFonts w:ascii="Arial" w:cs="Arial" w:eastAsia="Arial" w:hAnsi="Arial"/>
          <w:sz w:val="18"/>
          <w:szCs w:val="18"/>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 Landlord and Tenant agree that each provision of this Lease for determining charges, amounts, and Tenant’s Share of Operating Expense payments by Tenant is commercially reasonable, and as to each such charge or amount, constitutes a “method by which the charge is to be computed” for purposes of Section 93.012 (Assessment of Charges) of the Texas Property Code, as such section now exists or as it may be hereafter amended or succeeded.</w:t>
      </w:r>
    </w:p>
    <w:p>
      <w:pPr>
        <w:spacing w:after="0" w:line="180"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The Annual Statement shall be final and binding upon Tenant unless Tenant, within 45 days after Tenant’s receipt thereof, shall contest any item therein by giving written notice to Landlord, specifying each item contested and the reason therefor. If, during such 45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Operating Expenses, then Tenant shall have the right to have an independent public accounting firm selected by Tenant from among the 4 largest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7</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States, working pursuant to a fee arrangement other than a contingent fee (at Tenant’s sole cost and expense) and approved by Landlord</w:t>
      </w:r>
    </w:p>
    <w:p>
      <w:pPr>
        <w:spacing w:after="0" w:line="234" w:lineRule="auto"/>
        <w:rPr>
          <w:sz w:val="20"/>
          <w:szCs w:val="20"/>
          <w:color w:val="auto"/>
        </w:rPr>
      </w:pPr>
      <w:r>
        <w:rPr>
          <w:rFonts w:ascii="Arial" w:cs="Arial" w:eastAsia="Arial" w:hAnsi="Arial"/>
          <w:sz w:val="18"/>
          <w:szCs w:val="18"/>
          <w:color w:val="auto"/>
        </w:rPr>
        <w:t>(which approval shall not be unreasonably withheld or delayed), audit and/or review the Expense Information for the year in question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w:t>
      </w:r>
    </w:p>
    <w:p>
      <w:pPr>
        <w:spacing w:after="0" w:line="235" w:lineRule="auto"/>
        <w:rPr>
          <w:sz w:val="20"/>
          <w:szCs w:val="20"/>
          <w:color w:val="auto"/>
        </w:rPr>
      </w:pPr>
      <w:r>
        <w:rPr>
          <w:rFonts w:ascii="Arial" w:cs="Arial" w:eastAsia="Arial" w:hAnsi="Arial"/>
          <w:sz w:val="18"/>
          <w:szCs w:val="18"/>
          <w:color w:val="auto"/>
        </w:rPr>
        <w:t>shows that the payments actually made by Tenant with respect to Operating Expenses for the calendar year in question exceeded Tenant’s</w:t>
      </w:r>
    </w:p>
    <w:p>
      <w:pPr>
        <w:spacing w:after="0" w:line="235" w:lineRule="auto"/>
        <w:rPr>
          <w:sz w:val="20"/>
          <w:szCs w:val="20"/>
          <w:color w:val="auto"/>
        </w:rPr>
      </w:pPr>
      <w:r>
        <w:rPr>
          <w:rFonts w:ascii="Arial" w:cs="Arial" w:eastAsia="Arial" w:hAnsi="Arial"/>
          <w:sz w:val="18"/>
          <w:szCs w:val="18"/>
          <w:color w:val="auto"/>
        </w:rPr>
        <w:t>Share of Operating Expenses for such calendar year, Landlord shall at Landlord’s option either (i) credit the excess amount to the next</w:t>
      </w:r>
    </w:p>
    <w:p>
      <w:pPr>
        <w:spacing w:after="0" w:line="235" w:lineRule="auto"/>
        <w:rPr>
          <w:sz w:val="20"/>
          <w:szCs w:val="20"/>
          <w:color w:val="auto"/>
        </w:rPr>
      </w:pPr>
      <w:r>
        <w:rPr>
          <w:rFonts w:ascii="Arial" w:cs="Arial" w:eastAsia="Arial" w:hAnsi="Arial"/>
          <w:sz w:val="18"/>
          <w:szCs w:val="18"/>
          <w:color w:val="auto"/>
        </w:rPr>
        <w:t>succeeding installments of estimated Operating Expenses or (ii) pay the excess to Tenant within 30 days after delivery of such statement,</w:t>
      </w:r>
    </w:p>
    <w:p>
      <w:pPr>
        <w:spacing w:after="0" w:line="234" w:lineRule="auto"/>
        <w:rPr>
          <w:sz w:val="20"/>
          <w:szCs w:val="20"/>
          <w:color w:val="auto"/>
        </w:rPr>
      </w:pPr>
      <w:r>
        <w:rPr>
          <w:rFonts w:ascii="Arial" w:cs="Arial" w:eastAsia="Arial" w:hAnsi="Arial"/>
          <w:sz w:val="18"/>
          <w:szCs w:val="18"/>
          <w:color w:val="auto"/>
        </w:rPr>
        <w:t>except that after the expiration or earlier termination of this Lease or if Tenant is delinquent in its obligation to pay Rent, Landlord shall pay</w:t>
      </w:r>
    </w:p>
    <w:p>
      <w:pPr>
        <w:spacing w:after="0" w:line="235" w:lineRule="auto"/>
        <w:rPr>
          <w:sz w:val="20"/>
          <w:szCs w:val="20"/>
          <w:color w:val="auto"/>
        </w:rPr>
      </w:pPr>
      <w:r>
        <w:rPr>
          <w:rFonts w:ascii="Arial" w:cs="Arial" w:eastAsia="Arial" w:hAnsi="Arial"/>
          <w:sz w:val="18"/>
          <w:szCs w:val="18"/>
          <w:color w:val="auto"/>
        </w:rPr>
        <w:t>the excess to Tenant after deducting all other amounts due Landlord. If the Independent Review shows that Tenant’s payments with respect</w:t>
      </w:r>
    </w:p>
    <w:p>
      <w:pPr>
        <w:spacing w:after="0" w:line="235" w:lineRule="auto"/>
        <w:rPr>
          <w:sz w:val="20"/>
          <w:szCs w:val="20"/>
          <w:color w:val="auto"/>
        </w:rPr>
      </w:pPr>
      <w:r>
        <w:rPr>
          <w:rFonts w:ascii="Arial" w:cs="Arial" w:eastAsia="Arial" w:hAnsi="Arial"/>
          <w:sz w:val="18"/>
          <w:szCs w:val="18"/>
          <w:color w:val="auto"/>
        </w:rPr>
        <w:t>to Operating Expenses for such calendar year were less than Tenant’s Share of Operating Expenses for the calendar year, Tenant shall pay</w:t>
      </w:r>
    </w:p>
    <w:p>
      <w:pPr>
        <w:spacing w:after="0" w:line="235" w:lineRule="auto"/>
        <w:rPr>
          <w:sz w:val="20"/>
          <w:szCs w:val="20"/>
          <w:color w:val="auto"/>
        </w:rPr>
      </w:pPr>
      <w:r>
        <w:rPr>
          <w:rFonts w:ascii="Arial" w:cs="Arial" w:eastAsia="Arial" w:hAnsi="Arial"/>
          <w:sz w:val="18"/>
          <w:szCs w:val="18"/>
          <w:color w:val="auto"/>
        </w:rPr>
        <w:t>the deficiency to Landlord within 30 days after delivery of such statement.  If the Independent Review shows that Tenant has overpaid with</w:t>
      </w:r>
    </w:p>
    <w:p>
      <w:pPr>
        <w:spacing w:after="0" w:line="235" w:lineRule="auto"/>
        <w:rPr>
          <w:sz w:val="20"/>
          <w:szCs w:val="20"/>
          <w:color w:val="auto"/>
        </w:rPr>
      </w:pPr>
      <w:r>
        <w:rPr>
          <w:rFonts w:ascii="Arial" w:cs="Arial" w:eastAsia="Arial" w:hAnsi="Arial"/>
          <w:sz w:val="18"/>
          <w:szCs w:val="18"/>
          <w:color w:val="auto"/>
        </w:rPr>
        <w:t>respect to Operating Expenses by more than 5% then Landlord shall reimburse Tenant for all costs incurred by Tenant for the Independent</w:t>
      </w:r>
    </w:p>
    <w:p>
      <w:pPr>
        <w:spacing w:after="0" w:line="234" w:lineRule="auto"/>
        <w:tabs>
          <w:tab w:leader="none" w:pos="880" w:val="left"/>
        </w:tabs>
        <w:rPr>
          <w:sz w:val="20"/>
          <w:szCs w:val="20"/>
          <w:color w:val="auto"/>
        </w:rPr>
      </w:pPr>
      <w:r>
        <w:rPr>
          <w:rFonts w:ascii="Arial" w:cs="Arial" w:eastAsia="Arial" w:hAnsi="Arial"/>
          <w:sz w:val="18"/>
          <w:szCs w:val="18"/>
          <w:color w:val="auto"/>
        </w:rPr>
        <w:t>Review.</w:t>
        <w:tab/>
        <w:t>Operating  Expenses  for  the  calendar  years  in  which  Tenant’s  obligation  to  share  therein  begins  and  ends  shall  be</w:t>
      </w:r>
    </w:p>
    <w:p>
      <w:pPr>
        <w:spacing w:after="0" w:line="235" w:lineRule="auto"/>
        <w:rPr>
          <w:sz w:val="20"/>
          <w:szCs w:val="20"/>
          <w:color w:val="auto"/>
        </w:rPr>
      </w:pPr>
      <w:r>
        <w:rPr>
          <w:rFonts w:ascii="Arial" w:cs="Arial" w:eastAsia="Arial" w:hAnsi="Arial"/>
          <w:sz w:val="18"/>
          <w:szCs w:val="18"/>
          <w:color w:val="auto"/>
        </w:rPr>
        <w:t>prorated. Notwithstanding anything set forth herein to the contrary, if the Building is not at least 95% occupied on average during any year of</w:t>
      </w:r>
    </w:p>
    <w:p>
      <w:pPr>
        <w:spacing w:after="0" w:line="235" w:lineRule="auto"/>
        <w:rPr>
          <w:sz w:val="20"/>
          <w:szCs w:val="20"/>
          <w:color w:val="auto"/>
        </w:rPr>
      </w:pPr>
      <w:r>
        <w:rPr>
          <w:rFonts w:ascii="Arial" w:cs="Arial" w:eastAsia="Arial" w:hAnsi="Arial"/>
          <w:sz w:val="18"/>
          <w:szCs w:val="18"/>
          <w:color w:val="auto"/>
        </w:rPr>
        <w:t>the Term, Tenant’s Share of Operating Expenses for such year shall be computed as though the Building had been 95% occupied on</w:t>
      </w:r>
    </w:p>
    <w:p>
      <w:pPr>
        <w:spacing w:after="0"/>
        <w:rPr>
          <w:sz w:val="20"/>
          <w:szCs w:val="20"/>
          <w:color w:val="auto"/>
        </w:rPr>
      </w:pPr>
      <w:r>
        <w:rPr>
          <w:rFonts w:ascii="Arial" w:cs="Arial" w:eastAsia="Arial" w:hAnsi="Arial"/>
          <w:sz w:val="18"/>
          <w:szCs w:val="18"/>
          <w:color w:val="auto"/>
        </w:rPr>
        <w:t>average during such year.</w:t>
      </w:r>
    </w:p>
    <w:p>
      <w:pPr>
        <w:spacing w:after="0" w:line="194"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 for changes in the physical size of the Premises or the Project occurring thereafter. The rentable area of the Premises shall not be subject to re-measurement by either party during the Term. If Landlord has a reasonable basis for doing so, upon prior written notice to Tenant,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73" w:lineRule="exact"/>
        <w:rPr>
          <w:sz w:val="20"/>
          <w:szCs w:val="20"/>
          <w:color w:val="auto"/>
        </w:rPr>
      </w:pPr>
    </w:p>
    <w:p>
      <w:pPr>
        <w:jc w:val="both"/>
        <w:ind w:firstLine="8"/>
        <w:spacing w:after="0" w:line="236" w:lineRule="auto"/>
        <w:tabs>
          <w:tab w:leader="none" w:pos="798"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upon delivery of an executed copy of this Lease to Landlord,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(the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(i) in form and substance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(Landlord hereby acknowledges that Silicon Valley Bank is a financial institution satisfactory to Landlord), and (v) redeemable by presentation of a sight draft in the state of California.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Landlord may use all or any part of the Security Deposit to pay delinquent payments due under this Lease, future rent damages,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includes the right to use the Security Deposit to pay future rent damages following the termination of this Lease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below. Tenant hereby waives the provisions of any law, now or hereafter in force, including, without limitation, Sections 93.004 – 93.011 of the Texas Property Code,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other debtor-creditor proceedings against Tenant, the Security Deposit shall be deemed to be applied first to the payment of Rent and other</w:t>
      </w:r>
    </w:p>
    <w:p>
      <w:pPr>
        <w:spacing w:after="0" w:line="234" w:lineRule="auto"/>
        <w:rPr>
          <w:sz w:val="20"/>
          <w:szCs w:val="20"/>
          <w:color w:val="auto"/>
        </w:rPr>
      </w:pPr>
      <w:r>
        <w:rPr>
          <w:rFonts w:ascii="Arial" w:cs="Arial" w:eastAsia="Arial" w:hAnsi="Arial"/>
          <w:sz w:val="18"/>
          <w:szCs w:val="18"/>
          <w:color w:val="auto"/>
        </w:rPr>
        <w:t>charges due Landlord for periods prior to the filing of such proceedings.  Upon any such use of all or any portion of the Security Deposit,</w:t>
      </w:r>
    </w:p>
    <w:p>
      <w:pPr>
        <w:spacing w:after="0" w:line="235" w:lineRule="auto"/>
        <w:rPr>
          <w:sz w:val="20"/>
          <w:szCs w:val="20"/>
          <w:color w:val="auto"/>
        </w:rPr>
      </w:pPr>
      <w:r>
        <w:rPr>
          <w:rFonts w:ascii="Arial" w:cs="Arial" w:eastAsia="Arial" w:hAnsi="Arial"/>
          <w:sz w:val="18"/>
          <w:szCs w:val="18"/>
          <w:color w:val="auto"/>
        </w:rPr>
        <w:t>Tenant shall, within 5 days after demand from Landlord, restore the Security Deposit to its original amount. If Tenant shall fully perform every</w:t>
      </w:r>
    </w:p>
    <w:p>
      <w:pPr>
        <w:spacing w:after="0" w:line="235" w:lineRule="auto"/>
        <w:rPr>
          <w:sz w:val="20"/>
          <w:szCs w:val="20"/>
          <w:color w:val="auto"/>
        </w:rPr>
      </w:pPr>
      <w:r>
        <w:rPr>
          <w:rFonts w:ascii="Arial" w:cs="Arial" w:eastAsia="Arial" w:hAnsi="Arial"/>
          <w:sz w:val="18"/>
          <w:szCs w:val="18"/>
          <w:color w:val="auto"/>
        </w:rPr>
        <w:t>provision of this Lease to be performed by Tenant, the Security Deposit, or any balance thereof (i.e., after deducting therefrom all amounts to</w:t>
      </w:r>
    </w:p>
    <w:p>
      <w:pPr>
        <w:spacing w:after="0" w:line="235" w:lineRule="auto"/>
        <w:rPr>
          <w:sz w:val="20"/>
          <w:szCs w:val="20"/>
          <w:color w:val="auto"/>
        </w:rPr>
      </w:pPr>
      <w:r>
        <w:rPr>
          <w:rFonts w:ascii="Arial" w:cs="Arial" w:eastAsia="Arial" w:hAnsi="Arial"/>
          <w:sz w:val="18"/>
          <w:szCs w:val="18"/>
          <w:color w:val="auto"/>
        </w:rPr>
        <w:t>which Landlord is entitled under the provisions of this Lease), shall be returned to Tenant (or, at Landlord’s option, to the last assignee of</w:t>
      </w:r>
    </w:p>
    <w:p>
      <w:pPr>
        <w:spacing w:after="0"/>
        <w:rPr>
          <w:sz w:val="20"/>
          <w:szCs w:val="20"/>
          <w:color w:val="auto"/>
        </w:rPr>
      </w:pPr>
      <w:r>
        <w:rPr>
          <w:rFonts w:ascii="Arial" w:cs="Arial" w:eastAsia="Arial" w:hAnsi="Arial"/>
          <w:sz w:val="18"/>
          <w:szCs w:val="18"/>
          <w:color w:val="auto"/>
        </w:rPr>
        <w:t>Tenant’s interest hereunder) within 90 days after the expiration or earlier termination of this Lease.</w:t>
      </w:r>
    </w:p>
    <w:p>
      <w:pPr>
        <w:spacing w:after="0" w:line="194"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85" w:lineRule="exact"/>
        <w:rPr>
          <w:sz w:val="20"/>
          <w:szCs w:val="20"/>
          <w:color w:val="auto"/>
        </w:rPr>
      </w:pPr>
    </w:p>
    <w:p>
      <w:pPr>
        <w:jc w:val="both"/>
        <w:ind w:firstLine="8"/>
        <w:spacing w:after="0" w:line="236" w:lineRule="auto"/>
        <w:tabs>
          <w:tab w:leader="none" w:pos="79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the Permitted Use set forth in the basic lease provisions on page 1 of this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and the Texas Architectural Barriers Act (Article 9102, Tex. Rev. Civ. St. {1990})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Tenant shall, upon 5 days’ written notice from Landlord, discontinue any use of the Premises which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The use that Tenant has disclosed to Landlord that Tenant will be making of the Premises as of the Commencement Date will not, to Tenant’s knowledge, result in the voidance of or an increased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written demand (together with applicable invoices or bills)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will overload the floor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91"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color w:val="auto"/>
        </w:rPr>
        <w:t>Landlord shall be responsible for the compliance of the Common Areas of the Project with Legal Requirements (including the ADA)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left="67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9</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use of the Premises, the Premises Improvements or Tenant’s Alterations) make any alterations or modifications to the Common Areas or the</w:t>
      </w:r>
    </w:p>
    <w:p>
      <w:pPr>
        <w:spacing w:after="0" w:line="234" w:lineRule="auto"/>
        <w:rPr>
          <w:sz w:val="20"/>
          <w:szCs w:val="20"/>
          <w:color w:val="auto"/>
        </w:rPr>
      </w:pPr>
      <w:r>
        <w:rPr>
          <w:rFonts w:ascii="Arial" w:cs="Arial" w:eastAsia="Arial" w:hAnsi="Arial"/>
          <w:sz w:val="18"/>
          <w:szCs w:val="18"/>
          <w:color w:val="auto"/>
        </w:rPr>
        <w:t>exterior of the Building that are required by Legal Requirements. Except as provided in the two immediately preceding sentences, Tenant, at</w:t>
      </w:r>
    </w:p>
    <w:p>
      <w:pPr>
        <w:spacing w:after="0" w:line="235" w:lineRule="auto"/>
        <w:rPr>
          <w:sz w:val="20"/>
          <w:szCs w:val="20"/>
          <w:color w:val="auto"/>
        </w:rPr>
      </w:pPr>
      <w:r>
        <w:rPr>
          <w:rFonts w:ascii="Arial" w:cs="Arial" w:eastAsia="Arial" w:hAnsi="Arial"/>
          <w:sz w:val="18"/>
          <w:szCs w:val="18"/>
          <w:color w:val="auto"/>
        </w:rPr>
        <w:t>its sole expense, shall make any alterations or modifications to the interior of the Premises that are required by Legal Requirements</w:t>
      </w:r>
    </w:p>
    <w:p>
      <w:pPr>
        <w:spacing w:after="0" w:line="235" w:lineRule="auto"/>
        <w:rPr>
          <w:sz w:val="20"/>
          <w:szCs w:val="20"/>
          <w:color w:val="auto"/>
        </w:rPr>
      </w:pPr>
      <w:r>
        <w:rPr>
          <w:rFonts w:ascii="Arial" w:cs="Arial" w:eastAsia="Arial" w:hAnsi="Arial"/>
          <w:sz w:val="18"/>
          <w:szCs w:val="18"/>
          <w:color w:val="auto"/>
        </w:rPr>
        <w:t>(including, without limitation, compliance of the Premises with the ADA) related to Tenant’s particular use or occupancy of the Premises, the</w:t>
      </w:r>
    </w:p>
    <w:p>
      <w:pPr>
        <w:spacing w:after="0" w:line="235" w:lineRule="auto"/>
        <w:rPr>
          <w:sz w:val="20"/>
          <w:szCs w:val="20"/>
          <w:color w:val="auto"/>
        </w:rPr>
      </w:pPr>
      <w:r>
        <w:rPr>
          <w:rFonts w:ascii="Arial" w:cs="Arial" w:eastAsia="Arial" w:hAnsi="Arial"/>
          <w:sz w:val="18"/>
          <w:szCs w:val="18"/>
          <w:color w:val="auto"/>
        </w:rPr>
        <w:t>Premises Improvements or Tenant’s Alterations. Notwithstanding any other provision herein to the contrary, Tenant shall be responsible for</w:t>
      </w:r>
    </w:p>
    <w:p>
      <w:pPr>
        <w:spacing w:after="0" w:line="235" w:lineRule="auto"/>
        <w:rPr>
          <w:sz w:val="20"/>
          <w:szCs w:val="20"/>
          <w:color w:val="auto"/>
        </w:rPr>
      </w:pPr>
      <w:r>
        <w:rPr>
          <w:rFonts w:ascii="Arial" w:cs="Arial" w:eastAsia="Arial" w:hAnsi="Arial"/>
          <w:sz w:val="18"/>
          <w:szCs w:val="18"/>
          <w:color w:val="auto"/>
        </w:rPr>
        <w:t>any and all demands, claims, liabilities, losses, costs, expenses, actions, causes of action, damages or judgments, and all reasonable</w:t>
      </w:r>
    </w:p>
    <w:p>
      <w:pPr>
        <w:spacing w:after="0" w:line="234" w:lineRule="auto"/>
        <w:rPr>
          <w:sz w:val="20"/>
          <w:szCs w:val="20"/>
          <w:color w:val="auto"/>
        </w:rPr>
      </w:pPr>
      <w:r>
        <w:rPr>
          <w:rFonts w:ascii="Arial" w:cs="Arial" w:eastAsia="Arial" w:hAnsi="Arial"/>
          <w:sz w:val="18"/>
          <w:szCs w:val="18"/>
          <w:color w:val="auto"/>
        </w:rPr>
        <w:t>expenses incurred in investigating or resisting the same (including, without limitation, reasonable attorneys’ fees, charges and disbursements</w:t>
      </w:r>
    </w:p>
    <w:p>
      <w:pPr>
        <w:spacing w:after="0" w:line="235" w:lineRule="auto"/>
        <w:rPr>
          <w:sz w:val="20"/>
          <w:szCs w:val="20"/>
          <w:color w:val="auto"/>
        </w:rPr>
      </w:pPr>
      <w:r>
        <w:rPr>
          <w:rFonts w:ascii="Arial" w:cs="Arial" w:eastAsia="Arial" w:hAnsi="Arial"/>
          <w:sz w:val="18"/>
          <w:szCs w:val="18"/>
          <w:color w:val="auto"/>
        </w:rPr>
        <w:t>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Tenant’s failure to comply with Legal Requirements related to</w:t>
      </w:r>
    </w:p>
    <w:p>
      <w:pPr>
        <w:spacing w:after="0" w:line="235" w:lineRule="auto"/>
        <w:rPr>
          <w:sz w:val="20"/>
          <w:szCs w:val="20"/>
          <w:color w:val="auto"/>
        </w:rPr>
      </w:pPr>
      <w:r>
        <w:rPr>
          <w:rFonts w:ascii="Arial" w:cs="Arial" w:eastAsia="Arial" w:hAnsi="Arial"/>
          <w:sz w:val="18"/>
          <w:szCs w:val="18"/>
          <w:color w:val="auto"/>
        </w:rPr>
        <w:t>Tenant’s particular use or occupancy of the Premises, the Premises Improvements or Tenant’s Alterations, and Tenant shall indemnify,</w:t>
      </w:r>
    </w:p>
    <w:p>
      <w:pPr>
        <w:spacing w:after="0" w:line="235" w:lineRule="auto"/>
        <w:rPr>
          <w:sz w:val="20"/>
          <w:szCs w:val="20"/>
          <w:color w:val="auto"/>
        </w:rPr>
      </w:pPr>
      <w:r>
        <w:rPr>
          <w:rFonts w:ascii="Arial" w:cs="Arial" w:eastAsia="Arial" w:hAnsi="Arial"/>
          <w:sz w:val="18"/>
          <w:szCs w:val="18"/>
          <w:color w:val="auto"/>
        </w:rPr>
        <w:t>defend, hold and save Landlord harmless from and against any and all Claims arising out of or in connection with any failure of the Premises</w:t>
      </w:r>
    </w:p>
    <w:p>
      <w:pPr>
        <w:spacing w:after="0"/>
        <w:rPr>
          <w:sz w:val="20"/>
          <w:szCs w:val="20"/>
          <w:color w:val="auto"/>
        </w:rPr>
      </w:pPr>
      <w:r>
        <w:rPr>
          <w:rFonts w:ascii="Arial" w:cs="Arial" w:eastAsia="Arial" w:hAnsi="Arial"/>
          <w:sz w:val="18"/>
          <w:szCs w:val="18"/>
          <w:color w:val="auto"/>
        </w:rPr>
        <w:t>to comply with any Legal Requirement related to Tenant’s particular use or occupancy of the Premises or Tenant’s Alterations.</w:t>
      </w:r>
    </w:p>
    <w:p>
      <w:pPr>
        <w:spacing w:after="0" w:line="194" w:lineRule="exact"/>
        <w:rPr>
          <w:sz w:val="20"/>
          <w:szCs w:val="20"/>
          <w:color w:val="auto"/>
        </w:rPr>
      </w:pPr>
    </w:p>
    <w:p>
      <w:pPr>
        <w:jc w:val="both"/>
        <w:ind w:firstLine="8"/>
        <w:spacing w:after="0" w:line="237" w:lineRule="auto"/>
        <w:tabs>
          <w:tab w:leader="none" w:pos="798"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(i) the monthly rental for the first 90 days of the tenancy at sufferance shall be equal to 150% of the Rent in effect during the last 30 days prior to the expiration or earlier termination of the Lease, and (ii) the monthly rental for any period after the first 90 days of such tenancy at sufferance shall be equal to 200% of Rent in effect during the last 30 days prior to the expiration or earlier termination of the Lease,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85" w:lineRule="exact"/>
        <w:rPr>
          <w:rFonts w:ascii="Arial" w:cs="Arial" w:eastAsia="Arial" w:hAnsi="Arial"/>
          <w:sz w:val="18"/>
          <w:szCs w:val="18"/>
          <w:color w:val="auto"/>
        </w:rPr>
      </w:pPr>
    </w:p>
    <w:p>
      <w:pPr>
        <w:jc w:val="both"/>
        <w:ind w:firstLine="8"/>
        <w:spacing w:after="0" w:line="237" w:lineRule="auto"/>
        <w:tabs>
          <w:tab w:leader="none" w:pos="798"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 charges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Taxes shall expressly include (i) any franchise or margin tax that Landlord is required to pay under Chapter 171 of the Texas Tax Code or due to House Bill No. 3, 79th Legislative, 3rd Called Session, 2006) (the “</w:t>
      </w:r>
      <w:r>
        <w:rPr>
          <w:rFonts w:ascii="Arial" w:cs="Arial" w:eastAsia="Arial" w:hAnsi="Arial"/>
          <w:sz w:val="18"/>
          <w:szCs w:val="18"/>
          <w:b w:val="1"/>
          <w:bCs w:val="1"/>
          <w:color w:val="auto"/>
        </w:rPr>
        <w:t>Margin Tax</w:t>
      </w:r>
      <w:r>
        <w:rPr>
          <w:rFonts w:ascii="Arial" w:cs="Arial" w:eastAsia="Arial" w:hAnsi="Arial"/>
          <w:sz w:val="18"/>
          <w:szCs w:val="18"/>
          <w:color w:val="auto"/>
        </w:rPr>
        <w:t>”), and (ii) any tax, assessment or similar charge on the rents or profits from the Premises or Building levied against Landlord and/or the Project in lieu of ad valorem taxes on the Project, in lieu of the Margin Tax, or otherwise as a result of property tax reform in the State of Texas. Landlord may contest by appropriate legal proceedings the amount, validity, or application of any Taxes or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10</w:t>
      </w:r>
    </w:p>
    <w:p>
      <w:pPr>
        <w:spacing w:after="0" w:line="2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securing Taxes.</w:t>
        <w:tab/>
        <w:t>Notwithstanding anything to the contrary herein, Landlord shall only charge Tenant for such assessments as if those</w:t>
      </w:r>
    </w:p>
    <w:p>
      <w:pPr>
        <w:spacing w:after="0" w:line="234" w:lineRule="auto"/>
        <w:rPr>
          <w:sz w:val="20"/>
          <w:szCs w:val="20"/>
          <w:color w:val="auto"/>
        </w:rPr>
      </w:pPr>
      <w:r>
        <w:rPr>
          <w:rFonts w:ascii="Arial" w:cs="Arial" w:eastAsia="Arial" w:hAnsi="Arial"/>
          <w:sz w:val="18"/>
          <w:szCs w:val="18"/>
          <w:color w:val="auto"/>
        </w:rPr>
        <w:t>assessments were paid by Landlord over the longest possible term which Landlord is permitted to pay for the applicable assessments</w:t>
      </w:r>
    </w:p>
    <w:p>
      <w:pPr>
        <w:spacing w:after="0" w:line="235" w:lineRule="auto"/>
        <w:rPr>
          <w:sz w:val="20"/>
          <w:szCs w:val="20"/>
          <w:color w:val="auto"/>
        </w:rPr>
      </w:pPr>
      <w:r>
        <w:rPr>
          <w:rFonts w:ascii="Arial" w:cs="Arial" w:eastAsia="Arial" w:hAnsi="Arial"/>
          <w:sz w:val="18"/>
          <w:szCs w:val="18"/>
          <w:color w:val="auto"/>
        </w:rPr>
        <w:t>without additional charge other than interest, if any, provided under the terms of the underlying assessments.  Notwithstanding anything to</w:t>
      </w:r>
    </w:p>
    <w:p>
      <w:pPr>
        <w:spacing w:after="0" w:line="235" w:lineRule="auto"/>
        <w:rPr>
          <w:sz w:val="20"/>
          <w:szCs w:val="20"/>
          <w:color w:val="auto"/>
        </w:rPr>
      </w:pPr>
      <w:r>
        <w:rPr>
          <w:rFonts w:ascii="Arial" w:cs="Arial" w:eastAsia="Arial" w:hAnsi="Arial"/>
          <w:sz w:val="18"/>
          <w:szCs w:val="18"/>
          <w:color w:val="auto"/>
        </w:rPr>
        <w:t>the contrary contained in this Lease.  Taxes shall not include any net income taxes, gross receipts tax, estate taxes or inheritance taxes</w:t>
      </w:r>
    </w:p>
    <w:p>
      <w:pPr>
        <w:spacing w:after="0" w:line="235" w:lineRule="auto"/>
        <w:rPr>
          <w:sz w:val="20"/>
          <w:szCs w:val="20"/>
          <w:color w:val="auto"/>
        </w:rPr>
      </w:pPr>
      <w:r>
        <w:rPr>
          <w:rFonts w:ascii="Arial" w:cs="Arial" w:eastAsia="Arial" w:hAnsi="Arial"/>
          <w:sz w:val="18"/>
          <w:szCs w:val="18"/>
          <w:color w:val="auto"/>
        </w:rPr>
        <w:t>imposed on Landlord except to the extent such net income taxes are in substitution for any Taxes payable hereunder, or any late penalties,</w:t>
      </w:r>
    </w:p>
    <w:p>
      <w:pPr>
        <w:spacing w:after="0" w:line="235" w:lineRule="auto"/>
        <w:rPr>
          <w:sz w:val="20"/>
          <w:szCs w:val="20"/>
          <w:color w:val="auto"/>
        </w:rPr>
      </w:pPr>
      <w:r>
        <w:rPr>
          <w:rFonts w:ascii="Arial" w:cs="Arial" w:eastAsia="Arial" w:hAnsi="Arial"/>
          <w:sz w:val="18"/>
          <w:szCs w:val="18"/>
          <w:color w:val="auto"/>
        </w:rPr>
        <w:t>interest or fines. If any such Tax is levied or assessed directly against Tenant, then Tenant shall be responsible for and shall pay the same at</w:t>
      </w:r>
    </w:p>
    <w:p>
      <w:pPr>
        <w:spacing w:after="0" w:line="234" w:lineRule="auto"/>
        <w:rPr>
          <w:sz w:val="20"/>
          <w:szCs w:val="20"/>
          <w:color w:val="auto"/>
        </w:rPr>
      </w:pPr>
      <w:r>
        <w:rPr>
          <w:rFonts w:ascii="Arial" w:cs="Arial" w:eastAsia="Arial" w:hAnsi="Arial"/>
          <w:sz w:val="18"/>
          <w:szCs w:val="18"/>
          <w:color w:val="auto"/>
        </w:rPr>
        <w:t>such times and in such manner as the taxing authority shall require.  Tenant shall pay, prior to delinquency, any and all Taxes levied or</w:t>
      </w:r>
    </w:p>
    <w:p>
      <w:pPr>
        <w:spacing w:after="0" w:line="235" w:lineRule="auto"/>
        <w:rPr>
          <w:sz w:val="20"/>
          <w:szCs w:val="20"/>
          <w:color w:val="auto"/>
        </w:rPr>
      </w:pPr>
      <w:r>
        <w:rPr>
          <w:rFonts w:ascii="Arial" w:cs="Arial" w:eastAsia="Arial" w:hAnsi="Arial"/>
          <w:sz w:val="18"/>
          <w:szCs w:val="18"/>
          <w:color w:val="auto"/>
        </w:rPr>
        <w:t>assessed against any personal property or trade fixtures placed by Tenant in the Premises, whether levied or assessed against Landlord or</w:t>
      </w:r>
    </w:p>
    <w:p>
      <w:pPr>
        <w:spacing w:after="0" w:line="235" w:lineRule="auto"/>
        <w:rPr>
          <w:sz w:val="20"/>
          <w:szCs w:val="20"/>
          <w:color w:val="auto"/>
        </w:rPr>
      </w:pPr>
      <w:r>
        <w:rPr>
          <w:rFonts w:ascii="Arial" w:cs="Arial" w:eastAsia="Arial" w:hAnsi="Arial"/>
          <w:sz w:val="18"/>
          <w:szCs w:val="18"/>
          <w:color w:val="auto"/>
        </w:rPr>
        <w:t>Tenant.  If any Taxes on Tenant’s personal property or trade fixtures are levied against Landlord or Landlord’s property, or if the assessed</w:t>
      </w:r>
    </w:p>
    <w:p>
      <w:pPr>
        <w:spacing w:after="0" w:line="235" w:lineRule="auto"/>
        <w:rPr>
          <w:sz w:val="20"/>
          <w:szCs w:val="20"/>
          <w:color w:val="auto"/>
        </w:rPr>
      </w:pPr>
      <w:r>
        <w:rPr>
          <w:rFonts w:ascii="Arial" w:cs="Arial" w:eastAsia="Arial" w:hAnsi="Arial"/>
          <w:sz w:val="18"/>
          <w:szCs w:val="18"/>
          <w:color w:val="auto"/>
        </w:rPr>
        <w:t>valuation of the Project is increased by a value attributable to improvements in or alterations to the Premises, whether owned by Landlord or</w:t>
      </w:r>
    </w:p>
    <w:p>
      <w:pPr>
        <w:spacing w:after="0" w:line="235" w:lineRule="auto"/>
        <w:rPr>
          <w:sz w:val="20"/>
          <w:szCs w:val="20"/>
          <w:color w:val="auto"/>
        </w:rPr>
      </w:pPr>
      <w:r>
        <w:rPr>
          <w:rFonts w:ascii="Arial" w:cs="Arial" w:eastAsia="Arial" w:hAnsi="Arial"/>
          <w:sz w:val="18"/>
          <w:szCs w:val="18"/>
          <w:color w:val="auto"/>
        </w:rPr>
        <w:t>Tenant and whether or not affixed to the real property so as to become a part thereof, higher than the base valuation on which Landlord from</w:t>
      </w:r>
    </w:p>
    <w:p>
      <w:pPr>
        <w:spacing w:after="0" w:line="234" w:lineRule="auto"/>
        <w:rPr>
          <w:sz w:val="20"/>
          <w:szCs w:val="20"/>
          <w:color w:val="auto"/>
        </w:rPr>
      </w:pPr>
      <w:r>
        <w:rPr>
          <w:rFonts w:ascii="Arial" w:cs="Arial" w:eastAsia="Arial" w:hAnsi="Arial"/>
          <w:sz w:val="18"/>
          <w:szCs w:val="18"/>
          <w:color w:val="auto"/>
        </w:rPr>
        <w:t>time-to-time allocates Taxes to all tenants in the Project, Landlord shall have the right, but not the obligation, to pay such Taxes. Landlord’s</w:t>
      </w:r>
    </w:p>
    <w:p>
      <w:pPr>
        <w:spacing w:after="0" w:line="235" w:lineRule="auto"/>
        <w:rPr>
          <w:sz w:val="20"/>
          <w:szCs w:val="20"/>
          <w:color w:val="auto"/>
        </w:rPr>
      </w:pPr>
      <w:r>
        <w:rPr>
          <w:rFonts w:ascii="Arial" w:cs="Arial" w:eastAsia="Arial" w:hAnsi="Arial"/>
          <w:sz w:val="18"/>
          <w:szCs w:val="18"/>
          <w:color w:val="auto"/>
        </w:rPr>
        <w:t>determination of any excess assessed valuation shall be binding and conclusive, absent manifest error. The amount of any such payment by</w:t>
      </w:r>
    </w:p>
    <w:p>
      <w:pPr>
        <w:spacing w:after="0" w:line="235" w:lineRule="auto"/>
        <w:tabs>
          <w:tab w:leader="none" w:pos="8500" w:val="left"/>
        </w:tabs>
        <w:rPr>
          <w:sz w:val="20"/>
          <w:szCs w:val="20"/>
          <w:color w:val="auto"/>
        </w:rPr>
      </w:pPr>
      <w:r>
        <w:rPr>
          <w:rFonts w:ascii="Arial" w:cs="Arial" w:eastAsia="Arial" w:hAnsi="Arial"/>
          <w:sz w:val="18"/>
          <w:szCs w:val="18"/>
          <w:color w:val="auto"/>
        </w:rPr>
        <w:t>Landlord shall constitute Additional Rent due from Tenant to Landlord promptly upon written demand.</w:t>
        <w:tab/>
        <w:t>TENANT HEREBY WAIVES ALL</w:t>
      </w:r>
    </w:p>
    <w:p>
      <w:pPr>
        <w:spacing w:after="0" w:line="235" w:lineRule="auto"/>
        <w:rPr>
          <w:sz w:val="20"/>
          <w:szCs w:val="20"/>
          <w:color w:val="auto"/>
        </w:rPr>
      </w:pPr>
      <w:r>
        <w:rPr>
          <w:rFonts w:ascii="Arial" w:cs="Arial" w:eastAsia="Arial" w:hAnsi="Arial"/>
          <w:sz w:val="18"/>
          <w:szCs w:val="18"/>
          <w:color w:val="auto"/>
        </w:rPr>
        <w:t>RIGHTS TO PROTEST THE APPRAISED VALUE OF THE PROJECT OR TO APPEAL THE SAME AND ALL RIGHTS TO RECEIVE</w:t>
      </w:r>
    </w:p>
    <w:p>
      <w:pPr>
        <w:spacing w:after="0"/>
        <w:rPr>
          <w:sz w:val="20"/>
          <w:szCs w:val="20"/>
          <w:color w:val="auto"/>
        </w:rPr>
      </w:pPr>
      <w:r>
        <w:rPr>
          <w:rFonts w:ascii="Arial" w:cs="Arial" w:eastAsia="Arial" w:hAnsi="Arial"/>
          <w:sz w:val="18"/>
          <w:szCs w:val="18"/>
          <w:color w:val="auto"/>
        </w:rPr>
        <w:t>NOTICES OF REAPPRAISALS AS SET FORTH IN SECTIONS 41.413 AND 42.015 OF THE TEXAS TAX CODE.</w:t>
      </w:r>
    </w:p>
    <w:p>
      <w:pPr>
        <w:spacing w:after="0" w:line="194" w:lineRule="exact"/>
        <w:rPr>
          <w:sz w:val="20"/>
          <w:szCs w:val="20"/>
          <w:color w:val="auto"/>
        </w:rPr>
      </w:pPr>
    </w:p>
    <w:p>
      <w:pPr>
        <w:jc w:val="both"/>
        <w:ind w:firstLine="8"/>
        <w:spacing w:after="0"/>
        <w:tabs>
          <w:tab w:leader="none" w:pos="898"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applicable Legal Requirements, Force Majeure, a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by Landlord of its rights hereunder, Tenant shall have the right, at no additional cost to Tenant,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Landlord agrees to designate 1 reserved parking space for Tenant’s use in a location reasonably designated by Landlord. Landlord shall not be responsible for enforcing Tenant’s parking rights against any third parties, including other tenants of the Project or for enforcing any such reserved parking space. Landlord may allocate parking spaces among Tenant and other tenants in the Project pro rata as described above if Landlord determines that such parking facilities are becoming crowded.</w:t>
      </w:r>
    </w:p>
    <w:p>
      <w:pPr>
        <w:spacing w:after="0" w:line="180" w:lineRule="exact"/>
        <w:rPr>
          <w:rFonts w:ascii="Arial" w:cs="Arial" w:eastAsia="Arial" w:hAnsi="Arial"/>
          <w:sz w:val="18"/>
          <w:szCs w:val="18"/>
          <w:color w:val="auto"/>
        </w:rPr>
      </w:pPr>
    </w:p>
    <w:p>
      <w:pPr>
        <w:ind w:left="900" w:hanging="892"/>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w:t>
      </w:r>
    </w:p>
    <w:p>
      <w:pPr>
        <w:spacing w:after="0" w:line="21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 xml:space="preserve">Landlord shall provide, subject to the terms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water, electricity, heat, light, power, sewer, and other utilities (including gas and fire sprinklers to the extent the Project is plumbed for such services), with respect to the Common Areas only, refuse and trash collection and janitorial services (collectively, “</w:t>
      </w:r>
      <w:r>
        <w:rPr>
          <w:rFonts w:ascii="Arial" w:cs="Arial" w:eastAsia="Arial" w:hAnsi="Arial"/>
          <w:sz w:val="18"/>
          <w:szCs w:val="18"/>
          <w:b w:val="1"/>
          <w:bCs w:val="1"/>
          <w:color w:val="auto"/>
        </w:rPr>
        <w:t>Utilities</w:t>
      </w:r>
      <w:r>
        <w:rPr>
          <w:rFonts w:ascii="Arial" w:cs="Arial" w:eastAsia="Arial" w:hAnsi="Arial"/>
          <w:sz w:val="18"/>
          <w:szCs w:val="18"/>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 Tenant shall be responsible for obtaining and paying for its own janitorial services for the Premises and having its designated vendor (who shall be subject to Landlord’s prior approval) collect the refuse and trash collection from the Premises and deposit the same into Landlord’s designated common trash bins. Landlord shall manage emptying the common trash bins and the costs thereof shall be included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11</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w:t>
      </w:r>
    </w:p>
    <w:p>
      <w:pPr>
        <w:jc w:val="both"/>
        <w:spacing w:after="0" w:line="236" w:lineRule="auto"/>
        <w:rPr>
          <w:sz w:val="20"/>
          <w:szCs w:val="20"/>
          <w:color w:val="auto"/>
        </w:rPr>
      </w:pPr>
      <w:r>
        <w:rPr>
          <w:rFonts w:ascii="Arial" w:cs="Arial" w:eastAsia="Arial" w:hAnsi="Arial"/>
          <w:sz w:val="18"/>
          <w:szCs w:val="18"/>
          <w:color w:val="auto"/>
        </w:rPr>
        <w:t>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to the extent that such Service Interruption is covered by rental interruption insurance carried by Landlord pursuant to this Lease,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and electricity, but in each case only to the extent that Landlord has an obligation to provide same to Tenant under this Lease.</w:t>
      </w:r>
    </w:p>
    <w:p>
      <w:pPr>
        <w:spacing w:after="0" w:line="18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176" w:lineRule="exact"/>
        <w:rPr>
          <w:sz w:val="20"/>
          <w:szCs w:val="20"/>
          <w:color w:val="auto"/>
        </w:rPr>
      </w:pPr>
    </w:p>
    <w:p>
      <w:pPr>
        <w:jc w:val="both"/>
        <w:ind w:firstLine="8"/>
        <w:spacing w:after="0" w:line="239" w:lineRule="auto"/>
        <w:tabs>
          <w:tab w:leader="none" w:pos="898"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Except for the Tenant Improvements which shall be governed by the Work Letter,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alterations, additions, or improvements made to the Premises by or on 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shall be subject to Landlord’s prior written consent, which may be given or withheld in Landlord’s sole discretion if any such Alteration affects the structure or Building Systems and shall not be otherwise unreasonably withheld, conditioned or delayed. Tenant may construct nonstructural Alterations in the Premises without Landlord’s prior approval if the aggregate cost of all such work in any 12 month period does not exceed $100,000 (a “</w:t>
      </w:r>
      <w:r>
        <w:rPr>
          <w:rFonts w:ascii="Arial" w:cs="Arial" w:eastAsia="Arial" w:hAnsi="Arial"/>
          <w:sz w:val="18"/>
          <w:szCs w:val="18"/>
          <w:b w:val="1"/>
          <w:bCs w:val="1"/>
          <w:color w:val="auto"/>
        </w:rPr>
        <w:t>Notice-Only Alteration</w:t>
      </w:r>
      <w:r>
        <w:rPr>
          <w:rFonts w:ascii="Arial" w:cs="Arial" w:eastAsia="Arial" w:hAnsi="Arial"/>
          <w:sz w:val="18"/>
          <w:szCs w:val="18"/>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requested by Landlord, which notice and accompanying materials shall be delivered to Landlord not less than 15 business days in advance</w:t>
      </w:r>
    </w:p>
    <w:p>
      <w:pPr>
        <w:spacing w:after="0" w:line="234" w:lineRule="auto"/>
        <w:rPr>
          <w:sz w:val="20"/>
          <w:szCs w:val="20"/>
          <w:color w:val="auto"/>
        </w:rPr>
      </w:pPr>
      <w:r>
        <w:rPr>
          <w:rFonts w:ascii="Arial" w:cs="Arial" w:eastAsia="Arial" w:hAnsi="Arial"/>
          <w:sz w:val="18"/>
          <w:szCs w:val="18"/>
          <w:color w:val="auto"/>
        </w:rPr>
        <w:t>of any proposed construction. If Landlord approves any Alterations, Landlord may impose such conditions on Tenant in connection with the</w:t>
      </w:r>
    </w:p>
    <w:p>
      <w:pPr>
        <w:spacing w:after="0" w:line="235" w:lineRule="auto"/>
        <w:rPr>
          <w:sz w:val="20"/>
          <w:szCs w:val="20"/>
          <w:color w:val="auto"/>
        </w:rPr>
      </w:pPr>
      <w:r>
        <w:rPr>
          <w:rFonts w:ascii="Arial" w:cs="Arial" w:eastAsia="Arial" w:hAnsi="Arial"/>
          <w:sz w:val="18"/>
          <w:szCs w:val="18"/>
          <w:color w:val="auto"/>
        </w:rPr>
        <w:t>commencement,  performance  and  completion  of  such  Alterations  as  Landlord  may  deem  appropriate  in  Landlord’s  reasonable</w:t>
      </w:r>
    </w:p>
    <w:p>
      <w:pPr>
        <w:spacing w:after="0" w:line="235" w:lineRule="auto"/>
        <w:rPr>
          <w:sz w:val="20"/>
          <w:szCs w:val="20"/>
          <w:color w:val="auto"/>
        </w:rPr>
      </w:pPr>
      <w:r>
        <w:rPr>
          <w:rFonts w:ascii="Arial" w:cs="Arial" w:eastAsia="Arial" w:hAnsi="Arial"/>
          <w:sz w:val="18"/>
          <w:szCs w:val="18"/>
          <w:color w:val="auto"/>
        </w:rPr>
        <w:t>discretion. Any request for approval shall be in writing, delivered not less than 15 business days in advance of any proposed construction,</w:t>
      </w:r>
    </w:p>
    <w:p>
      <w:pPr>
        <w:spacing w:after="0" w:line="235" w:lineRule="auto"/>
        <w:rPr>
          <w:sz w:val="20"/>
          <w:szCs w:val="20"/>
          <w:color w:val="auto"/>
        </w:rPr>
      </w:pPr>
      <w:r>
        <w:rPr>
          <w:rFonts w:ascii="Arial" w:cs="Arial" w:eastAsia="Arial" w:hAnsi="Arial"/>
          <w:sz w:val="18"/>
          <w:szCs w:val="18"/>
          <w:color w:val="auto"/>
        </w:rPr>
        <w:t>and accompanied by plans, specifications, bid proposals, work contracts and such other information concerning the nature and cost of the</w:t>
      </w:r>
    </w:p>
    <w:p>
      <w:pPr>
        <w:spacing w:after="0" w:line="235" w:lineRule="auto"/>
        <w:rPr>
          <w:sz w:val="20"/>
          <w:szCs w:val="20"/>
          <w:color w:val="auto"/>
        </w:rPr>
      </w:pPr>
      <w:r>
        <w:rPr>
          <w:rFonts w:ascii="Arial" w:cs="Arial" w:eastAsia="Arial" w:hAnsi="Arial"/>
          <w:sz w:val="18"/>
          <w:szCs w:val="18"/>
          <w:color w:val="auto"/>
        </w:rPr>
        <w:t>alterations as may be reasonably requested by Landlord, including the identities and mailing addresses of all persons performing work or</w:t>
      </w:r>
    </w:p>
    <w:p>
      <w:pPr>
        <w:spacing w:after="0" w:line="234" w:lineRule="auto"/>
        <w:rPr>
          <w:sz w:val="20"/>
          <w:szCs w:val="20"/>
          <w:color w:val="auto"/>
        </w:rPr>
      </w:pPr>
      <w:r>
        <w:rPr>
          <w:rFonts w:ascii="Arial" w:cs="Arial" w:eastAsia="Arial" w:hAnsi="Arial"/>
          <w:sz w:val="18"/>
          <w:szCs w:val="18"/>
          <w:color w:val="auto"/>
        </w:rPr>
        <w:t>supplying materials.  Landlord’s right to review plans and specifications and to monitor construction shall be solely for its own benefit, and</w:t>
      </w:r>
    </w:p>
    <w:p>
      <w:pPr>
        <w:spacing w:after="0" w:line="235" w:lineRule="auto"/>
        <w:rPr>
          <w:sz w:val="20"/>
          <w:szCs w:val="20"/>
          <w:color w:val="auto"/>
        </w:rPr>
      </w:pPr>
      <w:r>
        <w:rPr>
          <w:rFonts w:ascii="Arial" w:cs="Arial" w:eastAsia="Arial" w:hAnsi="Arial"/>
          <w:sz w:val="18"/>
          <w:szCs w:val="18"/>
          <w:color w:val="auto"/>
        </w:rPr>
        <w:t>Landlord shall have no duty to ensure that such plans and specifications or construction comply with applicable Legal Requirements. Tenant</w:t>
      </w:r>
    </w:p>
    <w:p>
      <w:pPr>
        <w:spacing w:after="0" w:line="235" w:lineRule="auto"/>
        <w:rPr>
          <w:sz w:val="20"/>
          <w:szCs w:val="20"/>
          <w:color w:val="auto"/>
        </w:rPr>
      </w:pPr>
      <w:r>
        <w:rPr>
          <w:rFonts w:ascii="Arial" w:cs="Arial" w:eastAsia="Arial" w:hAnsi="Arial"/>
          <w:sz w:val="18"/>
          <w:szCs w:val="18"/>
          <w:color w:val="auto"/>
        </w:rPr>
        <w:t>shall cause, at its sole cost and expense, all Alterations to comply with insurance requirements and with Legal Requirements and shall</w:t>
      </w:r>
    </w:p>
    <w:p>
      <w:pPr>
        <w:spacing w:after="0" w:line="235" w:lineRule="auto"/>
        <w:rPr>
          <w:sz w:val="20"/>
          <w:szCs w:val="20"/>
          <w:color w:val="auto"/>
        </w:rPr>
      </w:pPr>
      <w:r>
        <w:rPr>
          <w:rFonts w:ascii="Arial" w:cs="Arial" w:eastAsia="Arial" w:hAnsi="Arial"/>
          <w:sz w:val="18"/>
          <w:szCs w:val="18"/>
          <w:color w:val="auto"/>
        </w:rPr>
        <w:t>implement at its sole cost and expense any alteration or modification required by Legal Requirements as a result of any Alterations. Tenant</w:t>
      </w:r>
    </w:p>
    <w:p>
      <w:pPr>
        <w:spacing w:after="0" w:line="235" w:lineRule="auto"/>
        <w:rPr>
          <w:sz w:val="20"/>
          <w:szCs w:val="20"/>
          <w:color w:val="auto"/>
        </w:rPr>
      </w:pPr>
      <w:r>
        <w:rPr>
          <w:rFonts w:ascii="Arial" w:cs="Arial" w:eastAsia="Arial" w:hAnsi="Arial"/>
          <w:sz w:val="18"/>
          <w:szCs w:val="18"/>
          <w:color w:val="auto"/>
        </w:rPr>
        <w:t>shall pay to Landlord, as Additional Rent, on written demand an amount equal to 3% of all charges incurred by Tenant or its contractors or</w:t>
      </w:r>
    </w:p>
    <w:p>
      <w:pPr>
        <w:spacing w:after="0" w:line="234" w:lineRule="auto"/>
        <w:rPr>
          <w:sz w:val="20"/>
          <w:szCs w:val="20"/>
          <w:color w:val="auto"/>
        </w:rPr>
      </w:pPr>
      <w:r>
        <w:rPr>
          <w:rFonts w:ascii="Arial" w:cs="Arial" w:eastAsia="Arial" w:hAnsi="Arial"/>
          <w:sz w:val="18"/>
          <w:szCs w:val="18"/>
          <w:color w:val="auto"/>
        </w:rPr>
        <w:t>agents in connection with any Alteration costing in excess of $100,000 to cover Landlord’s overhead and expenses for plan review,</w:t>
      </w:r>
    </w:p>
    <w:p>
      <w:pPr>
        <w:spacing w:after="0" w:line="235" w:lineRule="auto"/>
        <w:rPr>
          <w:sz w:val="20"/>
          <w:szCs w:val="20"/>
          <w:color w:val="auto"/>
        </w:rPr>
      </w:pPr>
      <w:r>
        <w:rPr>
          <w:rFonts w:ascii="Arial" w:cs="Arial" w:eastAsia="Arial" w:hAnsi="Arial"/>
          <w:sz w:val="18"/>
          <w:szCs w:val="18"/>
          <w:color w:val="auto"/>
        </w:rPr>
        <w:t>coordination, scheduling and supervision.  Before Tenant begins any Alteration, Landlord may post on and about the Premises notices of</w:t>
      </w:r>
    </w:p>
    <w:p>
      <w:pPr>
        <w:spacing w:after="0" w:line="235" w:lineRule="auto"/>
        <w:tabs>
          <w:tab w:leader="none" w:pos="3800" w:val="left"/>
        </w:tabs>
        <w:rPr>
          <w:sz w:val="20"/>
          <w:szCs w:val="20"/>
          <w:color w:val="auto"/>
        </w:rPr>
      </w:pPr>
      <w:r>
        <w:rPr>
          <w:rFonts w:ascii="Arial" w:cs="Arial" w:eastAsia="Arial" w:hAnsi="Arial"/>
          <w:sz w:val="18"/>
          <w:szCs w:val="18"/>
          <w:color w:val="auto"/>
        </w:rPr>
        <w:t>non-responsibility pursuant to applicable law.</w:t>
        <w:tab/>
        <w:t>Tenant shall reimburse Landlord for, and indemnify and hold Landlord harmless from, any</w:t>
      </w:r>
    </w:p>
    <w:p>
      <w:pPr>
        <w:spacing w:after="0" w:line="235" w:lineRule="auto"/>
        <w:rPr>
          <w:sz w:val="20"/>
          <w:szCs w:val="20"/>
          <w:color w:val="auto"/>
        </w:rPr>
      </w:pPr>
      <w:r>
        <w:rPr>
          <w:rFonts w:ascii="Arial" w:cs="Arial" w:eastAsia="Arial" w:hAnsi="Arial"/>
          <w:sz w:val="18"/>
          <w:szCs w:val="18"/>
          <w:color w:val="auto"/>
        </w:rPr>
        <w:t>expense actually incurred by Landlord by reason of faulty work done by Tenant or its contractors or delays caused by such work.  For the</w:t>
      </w:r>
    </w:p>
    <w:p>
      <w:pPr>
        <w:spacing w:after="0"/>
        <w:rPr>
          <w:sz w:val="20"/>
          <w:szCs w:val="20"/>
          <w:color w:val="auto"/>
        </w:rPr>
      </w:pPr>
      <w:r>
        <w:rPr>
          <w:rFonts w:ascii="Arial" w:cs="Arial" w:eastAsia="Arial" w:hAnsi="Arial"/>
          <w:sz w:val="18"/>
          <w:szCs w:val="18"/>
          <w:color w:val="auto"/>
        </w:rPr>
        <w:t>avoidance of doubt, the Tenant Improvements shall not constitute Alterations.</w:t>
      </w:r>
    </w:p>
    <w:p>
      <w:pPr>
        <w:spacing w:after="0" w:line="194"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statements setting forth the names of all contractors and subcontractors who did the work and final lien waivers from all such contractors and subcontractors; and (ii) “as built” plans for any such Alteration.</w:t>
      </w:r>
    </w:p>
    <w:p>
      <w:pPr>
        <w:spacing w:after="0" w:line="17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8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 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any personal property or equipment of Tenant that may be removed without material damage to the Premises,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13</w:t>
      </w:r>
    </w:p>
    <w:p>
      <w:pPr>
        <w:spacing w:after="0" w:line="13" w:lineRule="exact"/>
        <w:rPr>
          <w:sz w:val="20"/>
          <w:szCs w:val="20"/>
          <w:color w:val="auto"/>
        </w:rPr>
      </w:pPr>
    </w:p>
    <w:p>
      <w:pPr>
        <w:jc w:val="both"/>
        <w:ind w:firstLine="8"/>
        <w:spacing w:after="0" w:line="239" w:lineRule="auto"/>
        <w:tabs>
          <w:tab w:leader="none" w:pos="2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80" w:lineRule="exact"/>
        <w:rPr>
          <w:sz w:val="20"/>
          <w:szCs w:val="20"/>
          <w:color w:val="auto"/>
        </w:rPr>
      </w:pPr>
    </w:p>
    <w:p>
      <w:pPr>
        <w:ind w:right="20" w:firstLine="864"/>
        <w:spacing w:after="0" w:line="271" w:lineRule="auto"/>
        <w:rPr>
          <w:sz w:val="20"/>
          <w:szCs w:val="20"/>
          <w:color w:val="auto"/>
        </w:rPr>
      </w:pPr>
      <w:r>
        <w:rPr>
          <w:rFonts w:ascii="Arial" w:cs="Arial" w:eastAsia="Arial" w:hAnsi="Arial"/>
          <w:sz w:val="18"/>
          <w:szCs w:val="18"/>
          <w:color w:val="auto"/>
        </w:rPr>
        <w:t>Tenant shall not be required to remove the Tenant Improvements at the expiration or earlier termination of the Term and Tenant shall not remove any such Tenant Improvements.</w:t>
      </w:r>
    </w:p>
    <w:p>
      <w:pPr>
        <w:spacing w:after="0" w:line="154" w:lineRule="exact"/>
        <w:rPr>
          <w:sz w:val="20"/>
          <w:szCs w:val="20"/>
          <w:color w:val="auto"/>
        </w:rPr>
      </w:pPr>
    </w:p>
    <w:p>
      <w:pPr>
        <w:jc w:val="both"/>
        <w:ind w:firstLine="8"/>
        <w:spacing w:after="0" w:line="236" w:lineRule="auto"/>
        <w:tabs>
          <w:tab w:leader="none" w:pos="898"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as an Operating Expense (except to the extent the cost thereof is excluded from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Expenses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shall maintain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in good repair, reasonable wear and tear and uninsured losses and damages (unless such losses or damages would have been insured losses or expenses if the insurance Landlord is required to maintain hereunder had been obtained and so long as it would make reasonable business sense to Landlord, bearing in mind the potential amount of the losses and damages and the amount of the applicable deductibles, to submit a claim for such losses and damages to its insurer)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xml:space="preserve">”) excluded. Subject to the provisions of the penultimate paragraph of Section 17, losses and damages caused by Tenant or any Tenant Party shall be repaired by Landlord, at Tenant’s sole cost and expense, to the extent not covered by insurance Landlord is required to maintain hereunder (or to the extent such losses or damages would have been covered by insurance Landlord is required to maintain hereunder if such insurance had been maintained and so long as it would make reasonable business sense to Landlord, bearing in mind the potential amount of the losses and damages and the amount of the applicable deductibles, to submit a claim for such losses and damages to its insurer).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provided, however, that Landlord shall, except in case of emergency, give Tenant 48 hours advance notice of any planned stoppage of Building Systems services for routine maintenance, repairs, alterations or improvements. Landlord shall use reasonable efforts to minimize interruption to Tenant’s business during such planned stoppages of Building Systems.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Notwithstanding anything to the contrary contained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8"/>
        <w:spacing w:after="0"/>
        <w:tabs>
          <w:tab w:leader="none" w:pos="898"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 maintain in good condition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portions of the Premises, including, without limitation, entries, doors, ceilings, interior windows, interior walls, and the interior side of demising walls.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written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full uninsured cost of any repair or replacement to any part of the Project that results from damage caused by Tenant or any Tenant Party</w:t>
      </w:r>
    </w:p>
    <w:p>
      <w:pPr>
        <w:spacing w:after="0"/>
        <w:rPr>
          <w:sz w:val="20"/>
          <w:szCs w:val="20"/>
          <w:color w:val="auto"/>
        </w:rPr>
      </w:pPr>
      <w:r>
        <w:rPr>
          <w:rFonts w:ascii="Arial" w:cs="Arial" w:eastAsia="Arial" w:hAnsi="Arial"/>
          <w:sz w:val="18"/>
          <w:szCs w:val="18"/>
          <w:color w:val="auto"/>
        </w:rPr>
        <w:t>and any repair that benefits only the Premises.</w:t>
      </w:r>
    </w:p>
    <w:p>
      <w:pPr>
        <w:spacing w:after="0" w:line="194" w:lineRule="exact"/>
        <w:rPr>
          <w:sz w:val="20"/>
          <w:szCs w:val="20"/>
          <w:color w:val="auto"/>
        </w:rPr>
      </w:pPr>
    </w:p>
    <w:p>
      <w:pPr>
        <w:jc w:val="both"/>
        <w:ind w:firstLine="8"/>
        <w:spacing w:after="0" w:line="238" w:lineRule="auto"/>
        <w:tabs>
          <w:tab w:leader="none" w:pos="898"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 or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for work claimed to have been done for, or materials claimed to have been furnished to, Tenant within 15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85" w:lineRule="exact"/>
        <w:rPr>
          <w:rFonts w:ascii="Arial" w:cs="Arial" w:eastAsia="Arial" w:hAnsi="Arial"/>
          <w:sz w:val="18"/>
          <w:szCs w:val="18"/>
          <w:color w:val="auto"/>
        </w:rPr>
      </w:pPr>
    </w:p>
    <w:p>
      <w:pPr>
        <w:jc w:val="both"/>
        <w:ind w:firstLine="8"/>
        <w:spacing w:after="0" w:line="238" w:lineRule="auto"/>
        <w:tabs>
          <w:tab w:leader="none" w:pos="898"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its officers, directors,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agents, sub-agents, constituent entities and lease signators (collectively, “</w:t>
      </w:r>
      <w:r>
        <w:rPr>
          <w:rFonts w:ascii="Arial" w:cs="Arial" w:eastAsia="Arial" w:hAnsi="Arial"/>
          <w:sz w:val="18"/>
          <w:szCs w:val="18"/>
          <w:b w:val="1"/>
          <w:bCs w:val="1"/>
          <w:color w:val="auto"/>
        </w:rPr>
        <w:t>Landlord Indemnified Parties</w:t>
      </w:r>
      <w:r>
        <w:rPr>
          <w:rFonts w:ascii="Arial" w:cs="Arial" w:eastAsia="Arial" w:hAnsi="Arial"/>
          <w:sz w:val="18"/>
          <w:szCs w:val="18"/>
          <w:color w:val="auto"/>
        </w:rPr>
        <w:t>”) harmless from and against any and all Claims for injury or death to persons or damage to property occurring within or about the Premises or the Project by Tenant or any Tenant’s Parties arising directly or indirectly out of use or occupancy of the Premises or the Project (including, without limitation, any act, omission or neglect by Tenant or any Tenant’s Parties in or about the Premises or at the Project) or a breach or default by Tenant in the performance of any of its obligations hereunder, EXCEPT TO THE EXTENT SUCH LIABILITIES ARE CAUSED BY THE NEGLIGENCE OR WILLFUL MISCONDUCT OF ANY SUCH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EVEN IF SUCH DAMAGE OR CLAIMS ARE CAUSED SOLELY OR IN PART BY THE NEGLIGENCE OF ANY LANDLORD INDEMNIFIED PARTY. Landlord Indemnified Parties shall not be liable for any damages arising from any act, omission or neglect of any tenant in the Project or of any other third party.</w:t>
      </w:r>
    </w:p>
    <w:p>
      <w:pPr>
        <w:spacing w:after="0" w:line="182" w:lineRule="exact"/>
        <w:rPr>
          <w:rFonts w:ascii="Arial" w:cs="Arial" w:eastAsia="Arial" w:hAnsi="Arial"/>
          <w:sz w:val="18"/>
          <w:szCs w:val="18"/>
          <w:color w:val="auto"/>
        </w:rPr>
      </w:pPr>
    </w:p>
    <w:p>
      <w:pPr>
        <w:jc w:val="both"/>
        <w:ind w:firstLine="8"/>
        <w:spacing w:after="0" w:line="238" w:lineRule="auto"/>
        <w:tabs>
          <w:tab w:leader="none" w:pos="898"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 replacement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general liability insurance, with a minimum limit of not less than $2,000,000 per occurrence for bodily injury and property damage with</w:t>
      </w:r>
    </w:p>
    <w:p>
      <w:pPr>
        <w:spacing w:after="0" w:line="234" w:lineRule="auto"/>
        <w:rPr>
          <w:sz w:val="20"/>
          <w:szCs w:val="20"/>
          <w:color w:val="auto"/>
        </w:rPr>
      </w:pPr>
      <w:r>
        <w:rPr>
          <w:rFonts w:ascii="Arial" w:cs="Arial" w:eastAsia="Arial" w:hAnsi="Arial"/>
          <w:sz w:val="18"/>
          <w:szCs w:val="18"/>
          <w:color w:val="auto"/>
        </w:rPr>
        <w:t>respect to the Premises. The commercial general liability insurance policy maintained by Tenant shall name such parties as Landlord may</w:t>
      </w:r>
    </w:p>
    <w:p>
      <w:pPr>
        <w:spacing w:after="0" w:line="235" w:lineRule="auto"/>
        <w:rPr>
          <w:sz w:val="20"/>
          <w:szCs w:val="20"/>
          <w:color w:val="auto"/>
        </w:rPr>
      </w:pPr>
      <w:r>
        <w:rPr>
          <w:rFonts w:ascii="Arial" w:cs="Arial" w:eastAsia="Arial" w:hAnsi="Arial"/>
          <w:sz w:val="18"/>
          <w:szCs w:val="18"/>
          <w:color w:val="auto"/>
        </w:rPr>
        <w:t>designate and Landlord, its officers, directors, employees, managers, agents, sub-agents, constituent entities and lease signators</w:t>
      </w:r>
    </w:p>
    <w:p>
      <w:pPr>
        <w:spacing w:after="0" w:line="235" w:lineRule="auto"/>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Landlord Insured Parties</w:t>
      </w:r>
      <w:r>
        <w:rPr>
          <w:rFonts w:ascii="Arial" w:cs="Arial" w:eastAsia="Arial" w:hAnsi="Arial"/>
          <w:sz w:val="18"/>
          <w:szCs w:val="18"/>
          <w:color w:val="auto"/>
        </w:rPr>
        <w:t>”), as additional insureds; insure on an occurrence and not a claims-made basis; be issued by</w:t>
      </w:r>
    </w:p>
    <w:p>
      <w:pPr>
        <w:spacing w:after="0" w:line="235" w:lineRule="auto"/>
        <w:rPr>
          <w:sz w:val="20"/>
          <w:szCs w:val="20"/>
          <w:color w:val="auto"/>
        </w:rPr>
      </w:pPr>
      <w:r>
        <w:rPr>
          <w:rFonts w:ascii="Arial" w:cs="Arial" w:eastAsia="Arial" w:hAnsi="Arial"/>
          <w:sz w:val="18"/>
          <w:szCs w:val="18"/>
          <w:color w:val="auto"/>
        </w:rPr>
        <w:t>insurance companies which have a rating of not less than policyholder rating of A and financial category rating of at least Class X in “Best’s</w:t>
      </w:r>
    </w:p>
    <w:p>
      <w:pPr>
        <w:spacing w:after="0" w:line="235" w:lineRule="auto"/>
        <w:rPr>
          <w:sz w:val="20"/>
          <w:szCs w:val="20"/>
          <w:color w:val="auto"/>
        </w:rPr>
      </w:pPr>
      <w:r>
        <w:rPr>
          <w:rFonts w:ascii="Arial" w:cs="Arial" w:eastAsia="Arial" w:hAnsi="Arial"/>
          <w:sz w:val="18"/>
          <w:szCs w:val="18"/>
          <w:color w:val="auto"/>
        </w:rPr>
        <w:t>Insurance Guide”; shall not be cancelable for nonpayment of premium unless 10 days prior written notice shall have been given to Landlord</w:t>
      </w:r>
    </w:p>
    <w:p>
      <w:pPr>
        <w:spacing w:after="0" w:line="234" w:lineRule="auto"/>
        <w:rPr>
          <w:sz w:val="20"/>
          <w:szCs w:val="20"/>
          <w:color w:val="auto"/>
        </w:rPr>
      </w:pPr>
      <w:r>
        <w:rPr>
          <w:rFonts w:ascii="Arial" w:cs="Arial" w:eastAsia="Arial" w:hAnsi="Arial"/>
          <w:sz w:val="18"/>
          <w:szCs w:val="18"/>
          <w:color w:val="auto"/>
        </w:rPr>
        <w:t>from the insurer; not contain a hostile fire exclusion; contain a contractual liability endorsement; and provide primary coverage to Landlord</w:t>
      </w:r>
    </w:p>
    <w:p>
      <w:pPr>
        <w:spacing w:after="0" w:line="235" w:lineRule="auto"/>
        <w:rPr>
          <w:sz w:val="20"/>
          <w:szCs w:val="20"/>
          <w:color w:val="auto"/>
        </w:rPr>
      </w:pPr>
      <w:r>
        <w:rPr>
          <w:rFonts w:ascii="Arial" w:cs="Arial" w:eastAsia="Arial" w:hAnsi="Arial"/>
          <w:sz w:val="18"/>
          <w:szCs w:val="18"/>
          <w:color w:val="auto"/>
        </w:rPr>
        <w:t>Insured Parties (any policy issued to Landlord Insured Parties providing duplicate or similar coverage shall be deemed excess over Tenant’s</w:t>
      </w:r>
    </w:p>
    <w:p>
      <w:pPr>
        <w:spacing w:after="0" w:line="235" w:lineRule="auto"/>
        <w:rPr>
          <w:sz w:val="20"/>
          <w:szCs w:val="20"/>
          <w:color w:val="auto"/>
        </w:rPr>
      </w:pPr>
      <w:r>
        <w:rPr>
          <w:rFonts w:ascii="Arial" w:cs="Arial" w:eastAsia="Arial" w:hAnsi="Arial"/>
          <w:sz w:val="18"/>
          <w:szCs w:val="18"/>
          <w:color w:val="auto"/>
        </w:rPr>
        <w:t>policies, regardless of limits). Copies of such policies (if requested by Landlord), or certificates of insurance showing the limits of coverage</w:t>
      </w:r>
    </w:p>
    <w:p>
      <w:pPr>
        <w:spacing w:after="0" w:line="235" w:lineRule="auto"/>
        <w:rPr>
          <w:sz w:val="20"/>
          <w:szCs w:val="20"/>
          <w:color w:val="auto"/>
        </w:rPr>
      </w:pPr>
      <w:r>
        <w:rPr>
          <w:rFonts w:ascii="Arial" w:cs="Arial" w:eastAsia="Arial" w:hAnsi="Arial"/>
          <w:sz w:val="18"/>
          <w:szCs w:val="18"/>
          <w:color w:val="auto"/>
        </w:rPr>
        <w:t>required hereunder and showing Landlord as an additional insured, along with reasonable evidence of the payment of premiums for the</w:t>
      </w:r>
    </w:p>
    <w:p>
      <w:pPr>
        <w:spacing w:after="0" w:line="235" w:lineRule="auto"/>
        <w:rPr>
          <w:sz w:val="20"/>
          <w:szCs w:val="20"/>
          <w:color w:val="auto"/>
        </w:rPr>
      </w:pPr>
      <w:r>
        <w:rPr>
          <w:rFonts w:ascii="Arial" w:cs="Arial" w:eastAsia="Arial" w:hAnsi="Arial"/>
          <w:sz w:val="18"/>
          <w:szCs w:val="18"/>
          <w:color w:val="auto"/>
        </w:rPr>
        <w:t>applicable period, shall be delivered to Landlord by Tenant prior to (i) the earlier to occur of (x) the Commencement Date, or (y) the date that</w:t>
      </w:r>
    </w:p>
    <w:p>
      <w:pPr>
        <w:spacing w:after="0" w:line="234" w:lineRule="auto"/>
        <w:rPr>
          <w:sz w:val="20"/>
          <w:szCs w:val="20"/>
          <w:color w:val="auto"/>
        </w:rPr>
      </w:pPr>
      <w:r>
        <w:rPr>
          <w:rFonts w:ascii="Arial" w:cs="Arial" w:eastAsia="Arial" w:hAnsi="Arial"/>
          <w:sz w:val="18"/>
          <w:szCs w:val="18"/>
          <w:color w:val="auto"/>
        </w:rPr>
        <w:t>Tenant accesses the Premises under this Lease and (ii) each renewal of said insurance.  Tenant’s policy may be a “blanket policy” with an</w:t>
      </w:r>
    </w:p>
    <w:p>
      <w:pPr>
        <w:spacing w:after="0" w:line="235" w:lineRule="auto"/>
        <w:rPr>
          <w:sz w:val="20"/>
          <w:szCs w:val="20"/>
          <w:color w:val="auto"/>
        </w:rPr>
      </w:pPr>
      <w:r>
        <w:rPr>
          <w:rFonts w:ascii="Arial" w:cs="Arial" w:eastAsia="Arial" w:hAnsi="Arial"/>
          <w:sz w:val="18"/>
          <w:szCs w:val="18"/>
          <w:color w:val="auto"/>
        </w:rPr>
        <w:t>aggregate per location endorsement which specifically provides that the amount of insurance shall not be prejudiced by other losses covered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the policy. Tenant shall, at least 5 days prior to the expiration of such policies, furnish Landlord with renewal certificates.</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7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EVEN IF SUCH LIABILITIES ARE CAUSED SOLELY OR IN PART BY THE NEGLIGENCE OF ANY RELATED PARTY.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EVEN IF SUCH BUSINESS INTERRUPTION OR LOSSES ARE CAUSED SOLELY OR IN PART BY THE NEGLIGENCE OF ANY LANDLORD INDEMNIFIED PARTY. If the foregoing waivers shall contravene any law with respect to exculpatory agreements, the liability of Landlord or Tenant shall be deemed not released but shall be secondary to the other’s insurer.</w:t>
      </w:r>
    </w:p>
    <w:p>
      <w:pPr>
        <w:spacing w:after="0" w:line="18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74" w:lineRule="exact"/>
        <w:rPr>
          <w:sz w:val="20"/>
          <w:szCs w:val="20"/>
          <w:color w:val="auto"/>
        </w:rPr>
      </w:pPr>
    </w:p>
    <w:p>
      <w:pPr>
        <w:jc w:val="both"/>
        <w:ind w:firstLine="8"/>
        <w:spacing w:after="0" w:line="244" w:lineRule="auto"/>
        <w:tabs>
          <w:tab w:leader="none" w:pos="89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 or other casualty,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9 months (the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Landlord’s election to restore, Tenant may elect to terminate this Lease by written notice to Landlord delivered within 10</w:t>
      </w:r>
    </w:p>
    <w:p>
      <w:pPr>
        <w:spacing w:after="0" w:line="234" w:lineRule="auto"/>
        <w:rPr>
          <w:sz w:val="20"/>
          <w:szCs w:val="20"/>
          <w:color w:val="auto"/>
        </w:rPr>
      </w:pPr>
      <w:r>
        <w:rPr>
          <w:rFonts w:ascii="Arial" w:cs="Arial" w:eastAsia="Arial" w:hAnsi="Arial"/>
          <w:sz w:val="18"/>
          <w:szCs w:val="18"/>
          <w:color w:val="auto"/>
        </w:rPr>
        <w:t>business days of receipt of a notice from Landlord estimating a Restoration Period for the Premises longer than the Maximum Restoration</w:t>
      </w:r>
    </w:p>
    <w:p>
      <w:pPr>
        <w:spacing w:after="0" w:line="235" w:lineRule="auto"/>
        <w:rPr>
          <w:sz w:val="20"/>
          <w:szCs w:val="20"/>
          <w:color w:val="auto"/>
        </w:rPr>
      </w:pPr>
      <w:r>
        <w:rPr>
          <w:rFonts w:ascii="Arial" w:cs="Arial" w:eastAsia="Arial" w:hAnsi="Arial"/>
          <w:sz w:val="18"/>
          <w:szCs w:val="18"/>
          <w:color w:val="auto"/>
        </w:rPr>
        <w:t>Period. Unless either Landlord or Tenant so elects to terminate this Lease, Landlord shall, subject to receipt of sufficient insurance proceeds</w:t>
      </w:r>
    </w:p>
    <w:p>
      <w:pPr>
        <w:spacing w:after="0" w:line="235" w:lineRule="auto"/>
        <w:rPr>
          <w:sz w:val="20"/>
          <w:szCs w:val="20"/>
          <w:color w:val="auto"/>
        </w:rPr>
      </w:pPr>
      <w:r>
        <w:rPr>
          <w:rFonts w:ascii="Arial" w:cs="Arial" w:eastAsia="Arial" w:hAnsi="Arial"/>
          <w:sz w:val="18"/>
          <w:szCs w:val="18"/>
          <w:color w:val="auto"/>
        </w:rPr>
        <w:t xml:space="preserve">(with any deductible to be treated as an Operating Expense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promptly restore the Premises (excluding</w:t>
      </w:r>
    </w:p>
    <w:p>
      <w:pPr>
        <w:spacing w:after="0" w:line="235" w:lineRule="auto"/>
        <w:rPr>
          <w:sz w:val="20"/>
          <w:szCs w:val="20"/>
          <w:color w:val="auto"/>
        </w:rPr>
      </w:pPr>
      <w:r>
        <w:rPr>
          <w:rFonts w:ascii="Arial" w:cs="Arial" w:eastAsia="Arial" w:hAnsi="Arial"/>
          <w:sz w:val="18"/>
          <w:szCs w:val="18"/>
          <w:color w:val="auto"/>
        </w:rPr>
        <w:t>the improvements installed by Tenant or by Landlord and paid for by Tenant unless covered by the insurance Landlord maintains as an</w:t>
      </w:r>
    </w:p>
    <w:p>
      <w:pPr>
        <w:spacing w:after="0" w:line="235" w:lineRule="auto"/>
        <w:rPr>
          <w:sz w:val="20"/>
          <w:szCs w:val="20"/>
          <w:color w:val="auto"/>
        </w:rPr>
      </w:pPr>
      <w:r>
        <w:rPr>
          <w:rFonts w:ascii="Arial" w:cs="Arial" w:eastAsia="Arial" w:hAnsi="Arial"/>
          <w:sz w:val="18"/>
          <w:szCs w:val="18"/>
          <w:color w:val="auto"/>
        </w:rPr>
        <w:t>Operating Expense hereunder, in which case such improvements shall be included, to the extent of such insurance proceeds, in Landlord’s</w:t>
      </w:r>
    </w:p>
    <w:p>
      <w:pPr>
        <w:spacing w:after="0" w:line="234" w:lineRule="auto"/>
        <w:rPr>
          <w:sz w:val="20"/>
          <w:szCs w:val="20"/>
          <w:color w:val="auto"/>
        </w:rPr>
      </w:pPr>
      <w:r>
        <w:rPr>
          <w:rFonts w:ascii="Arial" w:cs="Arial" w:eastAsia="Arial" w:hAnsi="Arial"/>
          <w:sz w:val="18"/>
          <w:szCs w:val="18"/>
          <w:color w:val="auto"/>
        </w:rPr>
        <w:t>restoration), subject to delays arising from the collection of insurance proceeds, from Force Majeure events or as needed to obtain any</w:t>
      </w:r>
    </w:p>
    <w:p>
      <w:pPr>
        <w:spacing w:after="0" w:line="235" w:lineRule="auto"/>
        <w:rPr>
          <w:sz w:val="20"/>
          <w:szCs w:val="20"/>
          <w:color w:val="auto"/>
        </w:rPr>
      </w:pPr>
      <w:r>
        <w:rPr>
          <w:rFonts w:ascii="Arial" w:cs="Arial" w:eastAsia="Arial" w:hAnsi="Arial"/>
          <w:sz w:val="18"/>
          <w:szCs w:val="18"/>
          <w:color w:val="auto"/>
        </w:rPr>
        <w:t>license, clearance or other authorization of any kind required to enter into and restore the Premises issued by any Governmental Authority</w:t>
      </w:r>
    </w:p>
    <w:p>
      <w:pPr>
        <w:spacing w:after="0" w:line="235" w:lineRule="auto"/>
        <w:rPr>
          <w:sz w:val="20"/>
          <w:szCs w:val="20"/>
          <w:color w:val="auto"/>
        </w:rPr>
      </w:pPr>
      <w:r>
        <w:rPr>
          <w:rFonts w:ascii="Arial" w:cs="Arial" w:eastAsia="Arial" w:hAnsi="Arial"/>
          <w:sz w:val="18"/>
          <w:szCs w:val="18"/>
          <w:color w:val="auto"/>
        </w:rPr>
        <w:t>having jurisdiction over the use, storage, handling, treatment, generation, release, disposal, removal or remediation of Hazardous Materials</w:t>
      </w:r>
    </w:p>
    <w:p>
      <w:pPr>
        <w:spacing w:after="0" w:line="235" w:lineRule="auto"/>
        <w:rPr>
          <w:sz w:val="20"/>
          <w:szCs w:val="20"/>
          <w:color w:val="auto"/>
        </w:rPr>
      </w:pPr>
      <w:r>
        <w:rPr>
          <w:rFonts w:ascii="Arial" w:cs="Arial" w:eastAsia="Arial" w:hAnsi="Arial"/>
          <w:sz w:val="18"/>
          <w:szCs w:val="18"/>
          <w:color w:val="auto"/>
        </w:rPr>
        <w:t xml:space="preserve">(as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Premises (collectively referred to herein as “</w:t>
      </w:r>
      <w:r>
        <w:rPr>
          <w:rFonts w:ascii="Arial" w:cs="Arial" w:eastAsia="Arial" w:hAnsi="Arial"/>
          <w:sz w:val="18"/>
          <w:szCs w:val="18"/>
          <w:b w:val="1"/>
          <w:bCs w:val="1"/>
          <w:color w:val="auto"/>
        </w:rPr>
        <w:t>Hazardous Materials Clearances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w:t>
      </w:r>
    </w:p>
    <w:p>
      <w:pPr>
        <w:spacing w:after="0" w:line="234" w:lineRule="auto"/>
        <w:rPr>
          <w:sz w:val="20"/>
          <w:szCs w:val="20"/>
          <w:color w:val="auto"/>
        </w:rPr>
      </w:pPr>
      <w:r>
        <w:rPr>
          <w:rFonts w:ascii="Arial" w:cs="Arial" w:eastAsia="Arial" w:hAnsi="Arial"/>
          <w:sz w:val="18"/>
          <w:szCs w:val="18"/>
          <w:color w:val="auto"/>
        </w:rPr>
        <w:t>longer, the Restoration Period, Landlord may, in its sole and absolute discretion, elect not to proceed with such repair and restoration, or</w:t>
      </w:r>
    </w:p>
    <w:p>
      <w:pPr>
        <w:spacing w:after="0" w:line="235" w:lineRule="auto"/>
        <w:rPr>
          <w:sz w:val="20"/>
          <w:szCs w:val="20"/>
          <w:color w:val="auto"/>
        </w:rPr>
      </w:pPr>
      <w:r>
        <w:rPr>
          <w:rFonts w:ascii="Arial" w:cs="Arial" w:eastAsia="Arial" w:hAnsi="Arial"/>
          <w:sz w:val="18"/>
          <w:szCs w:val="18"/>
          <w:color w:val="auto"/>
        </w:rPr>
        <w:t>Tenant may by written notice to Landlord delivered within 10 business days of the expiration of the Maximum Restoration Period or, if longer,</w:t>
      </w:r>
    </w:p>
    <w:p>
      <w:pPr>
        <w:spacing w:after="0" w:line="235" w:lineRule="auto"/>
        <w:rPr>
          <w:sz w:val="20"/>
          <w:szCs w:val="20"/>
          <w:color w:val="auto"/>
        </w:rPr>
      </w:pPr>
      <w:r>
        <w:rPr>
          <w:rFonts w:ascii="Arial" w:cs="Arial" w:eastAsia="Arial" w:hAnsi="Arial"/>
          <w:sz w:val="18"/>
          <w:szCs w:val="18"/>
          <w:color w:val="auto"/>
        </w:rPr>
        <w:t>the Restoration Period, elect to terminate this Lease, in which event Landlord shall be relieved of its obligation to make such repairs or</w:t>
      </w:r>
    </w:p>
    <w:p>
      <w:pPr>
        <w:spacing w:after="0" w:line="235" w:lineRule="auto"/>
        <w:rPr>
          <w:sz w:val="20"/>
          <w:szCs w:val="20"/>
          <w:color w:val="auto"/>
        </w:rPr>
      </w:pPr>
      <w:r>
        <w:rPr>
          <w:rFonts w:ascii="Arial" w:cs="Arial" w:eastAsia="Arial" w:hAnsi="Arial"/>
          <w:sz w:val="18"/>
          <w:szCs w:val="18"/>
          <w:color w:val="auto"/>
        </w:rPr>
        <w:t>restoration and this Lease shall terminate as of the date that is 75 days after the later of: (i) discovery of such damage or destruction, or (ii)</w:t>
      </w:r>
    </w:p>
    <w:p>
      <w:pPr>
        <w:spacing w:after="0" w:line="235" w:lineRule="auto"/>
        <w:rPr>
          <w:sz w:val="20"/>
          <w:szCs w:val="20"/>
          <w:color w:val="auto"/>
        </w:rPr>
      </w:pPr>
      <w:r>
        <w:rPr>
          <w:rFonts w:ascii="Arial" w:cs="Arial" w:eastAsia="Arial" w:hAnsi="Arial"/>
          <w:sz w:val="18"/>
          <w:szCs w:val="18"/>
          <w:color w:val="auto"/>
        </w:rPr>
        <w:t>the date all required Hazardous Materials Clearances are obtained, but Landlord shall retain any Rent paid and the right to any Rent payable</w:t>
      </w:r>
    </w:p>
    <w:p>
      <w:pPr>
        <w:spacing w:after="0"/>
        <w:rPr>
          <w:sz w:val="20"/>
          <w:szCs w:val="20"/>
          <w:color w:val="auto"/>
        </w:rPr>
      </w:pPr>
      <w:r>
        <w:rPr>
          <w:rFonts w:ascii="Arial" w:cs="Arial" w:eastAsia="Arial" w:hAnsi="Arial"/>
          <w:sz w:val="18"/>
          <w:szCs w:val="18"/>
          <w:color w:val="auto"/>
        </w:rPr>
        <w:t>by Tenant prior to such election by Landlord or Tenant.</w:t>
      </w:r>
    </w:p>
    <w:p>
      <w:pPr>
        <w:spacing w:after="0" w:line="19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from Force Majeure events or to obtain Hazardous Material Clearances, all repairs or restoration to the Premises not required to be done by Landlord.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on or near the Project during the period of repair that is suitable, in Tenant’s reasonable discretion,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Tenant waives any right to terminate this Lease by reason of damage or casualty loss.</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76" w:lineRule="exact"/>
        <w:rPr>
          <w:sz w:val="20"/>
          <w:szCs w:val="20"/>
          <w:color w:val="auto"/>
        </w:rPr>
      </w:pPr>
    </w:p>
    <w:p>
      <w:pPr>
        <w:jc w:val="both"/>
        <w:ind w:firstLine="8"/>
        <w:spacing w:after="0"/>
        <w:tabs>
          <w:tab w:leader="none" w:pos="89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 use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materially interfere with or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17</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Tenant to the other this Lease shall terminate and Rent shall be apportioned as of said date. If part of the Premises shall be Taken, and this</w:t>
      </w:r>
    </w:p>
    <w:p>
      <w:pPr>
        <w:spacing w:after="0" w:line="234" w:lineRule="auto"/>
        <w:rPr>
          <w:sz w:val="20"/>
          <w:szCs w:val="20"/>
          <w:color w:val="auto"/>
        </w:rPr>
      </w:pPr>
      <w:r>
        <w:rPr>
          <w:rFonts w:ascii="Arial" w:cs="Arial" w:eastAsia="Arial" w:hAnsi="Arial"/>
          <w:sz w:val="18"/>
          <w:szCs w:val="18"/>
          <w:color w:val="auto"/>
        </w:rPr>
        <w:t>Lease is not terminated as provided above, Landlord shall promptly restore the Premises and the Project as nearly as is commercially</w:t>
      </w:r>
    </w:p>
    <w:p>
      <w:pPr>
        <w:spacing w:after="0" w:line="235" w:lineRule="auto"/>
        <w:rPr>
          <w:sz w:val="20"/>
          <w:szCs w:val="20"/>
          <w:color w:val="auto"/>
        </w:rPr>
      </w:pPr>
      <w:r>
        <w:rPr>
          <w:rFonts w:ascii="Arial" w:cs="Arial" w:eastAsia="Arial" w:hAnsi="Arial"/>
          <w:sz w:val="18"/>
          <w:szCs w:val="18"/>
          <w:color w:val="auto"/>
        </w:rPr>
        <w:t>reasonable under the circumstances to their condition prior to such partial Taking and the rentable square footage of the Building, the</w:t>
      </w:r>
    </w:p>
    <w:p>
      <w:pPr>
        <w:spacing w:after="0" w:line="235" w:lineRule="auto"/>
        <w:rPr>
          <w:sz w:val="20"/>
          <w:szCs w:val="20"/>
          <w:color w:val="auto"/>
        </w:rPr>
      </w:pPr>
      <w:r>
        <w:rPr>
          <w:rFonts w:ascii="Arial" w:cs="Arial" w:eastAsia="Arial" w:hAnsi="Arial"/>
          <w:sz w:val="18"/>
          <w:szCs w:val="18"/>
          <w:color w:val="auto"/>
        </w:rPr>
        <w:t>rentable square footage of the Premises, Tenant’s Share of Operating Expenses and the Rent payable hereunder during the unexpired Term</w:t>
      </w:r>
    </w:p>
    <w:p>
      <w:pPr>
        <w:spacing w:after="0" w:line="235" w:lineRule="auto"/>
        <w:rPr>
          <w:sz w:val="20"/>
          <w:szCs w:val="20"/>
          <w:color w:val="auto"/>
        </w:rPr>
      </w:pPr>
      <w:r>
        <w:rPr>
          <w:rFonts w:ascii="Arial" w:cs="Arial" w:eastAsia="Arial" w:hAnsi="Arial"/>
          <w:sz w:val="18"/>
          <w:szCs w:val="18"/>
          <w:color w:val="auto"/>
        </w:rPr>
        <w:t>shall be reduced to such extent as may be fair and reasonable under the circumstances. Upon any such Taking, Landlord shall be entitled to</w:t>
      </w:r>
    </w:p>
    <w:p>
      <w:pPr>
        <w:spacing w:after="0" w:line="235" w:lineRule="auto"/>
        <w:rPr>
          <w:sz w:val="20"/>
          <w:szCs w:val="20"/>
          <w:color w:val="auto"/>
        </w:rPr>
      </w:pPr>
      <w:r>
        <w:rPr>
          <w:rFonts w:ascii="Arial" w:cs="Arial" w:eastAsia="Arial" w:hAnsi="Arial"/>
          <w:sz w:val="18"/>
          <w:szCs w:val="18"/>
          <w:color w:val="auto"/>
        </w:rPr>
        <w:t>receive the entire price or award from any such Taking without any payment to Tenant, and Tenant hereby assigns to Landlord Tenant’s</w:t>
      </w:r>
    </w:p>
    <w:p>
      <w:pPr>
        <w:spacing w:after="0" w:line="234" w:lineRule="auto"/>
        <w:rPr>
          <w:sz w:val="20"/>
          <w:szCs w:val="20"/>
          <w:color w:val="auto"/>
        </w:rPr>
      </w:pPr>
      <w:r>
        <w:rPr>
          <w:rFonts w:ascii="Arial" w:cs="Arial" w:eastAsia="Arial" w:hAnsi="Arial"/>
          <w:sz w:val="18"/>
          <w:szCs w:val="18"/>
          <w:color w:val="auto"/>
        </w:rPr>
        <w:t>interest, if any, in such award. Tenant shall have the right, to the extent that same shall not diminish Landlord’s award, to make a separate</w:t>
      </w:r>
    </w:p>
    <w:p>
      <w:pPr>
        <w:spacing w:after="0" w:line="235" w:lineRule="auto"/>
        <w:rPr>
          <w:sz w:val="20"/>
          <w:szCs w:val="20"/>
          <w:color w:val="auto"/>
        </w:rPr>
      </w:pPr>
      <w:r>
        <w:rPr>
          <w:rFonts w:ascii="Arial" w:cs="Arial" w:eastAsia="Arial" w:hAnsi="Arial"/>
          <w:sz w:val="18"/>
          <w:szCs w:val="18"/>
          <w:color w:val="auto"/>
        </w:rPr>
        <w:t>claim against the condemning authority (but not Landlord) for such compensation as may be separately awarded or recoverable by Tenant</w:t>
      </w:r>
    </w:p>
    <w:p>
      <w:pPr>
        <w:spacing w:after="0" w:line="235" w:lineRule="auto"/>
        <w:rPr>
          <w:sz w:val="20"/>
          <w:szCs w:val="20"/>
          <w:color w:val="auto"/>
        </w:rPr>
      </w:pPr>
      <w:r>
        <w:rPr>
          <w:rFonts w:ascii="Arial" w:cs="Arial" w:eastAsia="Arial" w:hAnsi="Arial"/>
          <w:sz w:val="18"/>
          <w:szCs w:val="18"/>
          <w:color w:val="auto"/>
        </w:rPr>
        <w:t>for moving expenses and damage to Tenant’s trade fixtures, if a separate award for such items is made to Tenant. Tenant hereby waives any</w:t>
      </w:r>
    </w:p>
    <w:p>
      <w:pPr>
        <w:spacing w:after="0" w:line="235" w:lineRule="auto"/>
        <w:rPr>
          <w:sz w:val="20"/>
          <w:szCs w:val="20"/>
          <w:color w:val="auto"/>
        </w:rPr>
      </w:pPr>
      <w:r>
        <w:rPr>
          <w:rFonts w:ascii="Arial" w:cs="Arial" w:eastAsia="Arial" w:hAnsi="Arial"/>
          <w:sz w:val="18"/>
          <w:szCs w:val="18"/>
          <w:color w:val="auto"/>
        </w:rPr>
        <w:t>and all rights it might otherwise have pursuant to any provision of state law to terminate this Lease upon a partial Taking of the Premises or</w:t>
      </w:r>
    </w:p>
    <w:p>
      <w:pPr>
        <w:spacing w:after="0"/>
        <w:rPr>
          <w:sz w:val="20"/>
          <w:szCs w:val="20"/>
          <w:color w:val="auto"/>
        </w:rPr>
      </w:pPr>
      <w:r>
        <w:rPr>
          <w:rFonts w:ascii="Arial" w:cs="Arial" w:eastAsia="Arial" w:hAnsi="Arial"/>
          <w:sz w:val="18"/>
          <w:szCs w:val="18"/>
          <w:color w:val="auto"/>
        </w:rPr>
        <w:t>the Project.</w:t>
      </w:r>
    </w:p>
    <w:p>
      <w:pPr>
        <w:spacing w:after="0" w:line="194" w:lineRule="exact"/>
        <w:rPr>
          <w:sz w:val="20"/>
          <w:szCs w:val="20"/>
          <w:color w:val="auto"/>
        </w:rPr>
      </w:pPr>
    </w:p>
    <w:p>
      <w:pPr>
        <w:ind w:left="900" w:hanging="892"/>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12" w:lineRule="exact"/>
        <w:rPr>
          <w:sz w:val="20"/>
          <w:szCs w:val="20"/>
          <w:color w:val="auto"/>
        </w:rPr>
      </w:pPr>
    </w:p>
    <w:p>
      <w:pPr>
        <w:jc w:val="both"/>
        <w:ind w:firstLine="8"/>
        <w:spacing w:after="0" w:line="247"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Landlord will give Tenant written notice and an opportunity to cure any failure to pay Rent within 5 days of any such notice not more than twice in any 12 month period and Tenant agrees that such notice shall be in lieu of and not in addition to, or shall be deemed to be, any notice required by law.</w:t>
      </w:r>
    </w:p>
    <w:p>
      <w:pPr>
        <w:spacing w:after="0" w:line="173" w:lineRule="exact"/>
        <w:rPr>
          <w:rFonts w:ascii="Arial" w:cs="Arial" w:eastAsia="Arial" w:hAnsi="Arial"/>
          <w:sz w:val="18"/>
          <w:szCs w:val="18"/>
          <w:color w:val="auto"/>
        </w:rPr>
      </w:pPr>
    </w:p>
    <w:p>
      <w:pPr>
        <w:jc w:val="both"/>
        <w:ind w:firstLine="8"/>
        <w:spacing w:after="0" w:line="253"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or shall be reduced or materially changed, or Landlord shall receive a notice of nonrenewal of any such insurance and Tenant shall fail to obtain replacement insurance at least 5 days before the expiration of the current coverage.</w:t>
      </w:r>
    </w:p>
    <w:p>
      <w:pPr>
        <w:spacing w:after="0" w:line="168" w:lineRule="exact"/>
        <w:rPr>
          <w:rFonts w:ascii="Arial" w:cs="Arial" w:eastAsia="Arial" w:hAnsi="Arial"/>
          <w:sz w:val="18"/>
          <w:szCs w:val="18"/>
          <w:color w:val="auto"/>
        </w:rPr>
      </w:pPr>
    </w:p>
    <w:p>
      <w:pPr>
        <w:ind w:left="860" w:hanging="852"/>
        <w:spacing w:after="0"/>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211" w:lineRule="exact"/>
        <w:rPr>
          <w:rFonts w:ascii="Arial" w:cs="Arial" w:eastAsia="Arial" w:hAnsi="Arial"/>
          <w:sz w:val="18"/>
          <w:szCs w:val="18"/>
          <w:color w:val="auto"/>
        </w:rPr>
      </w:pPr>
    </w:p>
    <w:p>
      <w:pPr>
        <w:jc w:val="both"/>
        <w:ind w:firstLine="8"/>
        <w:spacing w:after="0" w:line="253"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this Lease or the Premises except as expressly permitted herein, or Tenant’s interest in this Lease shall be attached, executed upon, or otherwise judicially seized and such action is not released within 90 days of the action.</w:t>
      </w:r>
    </w:p>
    <w:p>
      <w:pPr>
        <w:spacing w:after="0" w:line="168" w:lineRule="exact"/>
        <w:rPr>
          <w:rFonts w:ascii="Arial" w:cs="Arial" w:eastAsia="Arial" w:hAnsi="Arial"/>
          <w:sz w:val="18"/>
          <w:szCs w:val="18"/>
          <w:color w:val="auto"/>
        </w:rPr>
      </w:pPr>
    </w:p>
    <w:p>
      <w:pPr>
        <w:ind w:firstLine="8"/>
        <w:spacing w:after="0" w:line="271"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within 15 days after Tenant’s receipt of notice that any such lien is filed against the Premises.</w:t>
      </w:r>
    </w:p>
    <w:p>
      <w:pPr>
        <w:spacing w:after="0" w:line="153" w:lineRule="exact"/>
        <w:rPr>
          <w:rFonts w:ascii="Arial" w:cs="Arial" w:eastAsia="Arial" w:hAnsi="Arial"/>
          <w:sz w:val="18"/>
          <w:szCs w:val="18"/>
          <w:color w:val="auto"/>
        </w:rPr>
      </w:pPr>
    </w:p>
    <w:p>
      <w:pPr>
        <w:jc w:val="both"/>
        <w:ind w:firstLine="8"/>
        <w:spacing w:after="0"/>
        <w:tabs>
          <w:tab w:leader="none" w:pos="81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84" w:lineRule="exact"/>
        <w:rPr>
          <w:rFonts w:ascii="Arial" w:cs="Arial" w:eastAsia="Arial" w:hAnsi="Arial"/>
          <w:sz w:val="18"/>
          <w:szCs w:val="18"/>
          <w:color w:val="auto"/>
        </w:rPr>
      </w:pPr>
    </w:p>
    <w:p>
      <w:pPr>
        <w:ind w:right="20" w:firstLine="8"/>
        <w:spacing w:after="0" w:line="271"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days after a second notice requesting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18</w:t>
      </w:r>
    </w:p>
    <w:p>
      <w:pPr>
        <w:spacing w:after="0" w:line="13" w:lineRule="exact"/>
        <w:rPr>
          <w:sz w:val="20"/>
          <w:szCs w:val="20"/>
          <w:color w:val="auto"/>
        </w:rPr>
      </w:pPr>
    </w:p>
    <w:p>
      <w:pPr>
        <w:jc w:val="both"/>
        <w:ind w:firstLine="8"/>
        <w:spacing w:after="0" w:line="242" w:lineRule="auto"/>
        <w:tabs>
          <w:tab w:leader="none" w:pos="86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 to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20</w:t>
      </w:r>
      <w:r>
        <w:rPr>
          <w:rFonts w:ascii="Arial" w:cs="Arial" w:eastAsia="Arial" w:hAnsi="Arial"/>
          <w:sz w:val="18"/>
          <w:szCs w:val="18"/>
          <w:color w:val="auto"/>
        </w:rPr>
        <w:t>, and, except as otherwise expressly provided herein, such failure shall continue for a period of 30 days after written notice thereof from Landlord to Tenant.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be in writing and: (i) specify the alleged default, (ii) demand that Tenant cure such default,</w:t>
      </w:r>
    </w:p>
    <w:p>
      <w:pPr>
        <w:spacing w:after="0" w:line="14" w:lineRule="exact"/>
        <w:rPr>
          <w:sz w:val="20"/>
          <w:szCs w:val="20"/>
          <w:color w:val="auto"/>
        </w:rPr>
      </w:pPr>
    </w:p>
    <w:p>
      <w:pPr>
        <w:jc w:val="both"/>
        <w:ind w:firstLine="8"/>
        <w:spacing w:after="0" w:line="238"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181" w:lineRule="exact"/>
        <w:rPr>
          <w:sz w:val="20"/>
          <w:szCs w:val="20"/>
          <w:color w:val="auto"/>
        </w:rPr>
      </w:pPr>
    </w:p>
    <w:p>
      <w:pPr>
        <w:ind w:left="900" w:hanging="892"/>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44" w:lineRule="auto"/>
        <w:tabs>
          <w:tab w:leader="none" w:pos="86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Tenant hereunder, make such payment or perform such act on behalf of Tenant.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176" w:lineRule="exact"/>
        <w:rPr>
          <w:rFonts w:ascii="Arial" w:cs="Arial" w:eastAsia="Arial" w:hAnsi="Arial"/>
          <w:sz w:val="18"/>
          <w:szCs w:val="18"/>
          <w:color w:val="auto"/>
        </w:rPr>
      </w:pPr>
    </w:p>
    <w:p>
      <w:pPr>
        <w:jc w:val="both"/>
        <w:ind w:firstLine="8"/>
        <w:spacing w:after="0" w:line="239" w:lineRule="auto"/>
        <w:tabs>
          <w:tab w:leader="none" w:pos="86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83" w:lineRule="exact"/>
        <w:rPr>
          <w:rFonts w:ascii="Arial" w:cs="Arial" w:eastAsia="Arial" w:hAnsi="Arial"/>
          <w:sz w:val="18"/>
          <w:szCs w:val="18"/>
          <w:color w:val="auto"/>
        </w:rPr>
      </w:pPr>
    </w:p>
    <w:p>
      <w:pPr>
        <w:jc w:val="both"/>
        <w:ind w:firstLine="8"/>
        <w:spacing w:after="0" w:line="253" w:lineRule="auto"/>
        <w:tabs>
          <w:tab w:leader="none" w:pos="85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any event of default specified in this Lease, Landlord shall have the option to pursue any (i)</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 the following remedies without any notice or demand whatsoever and without releasing Tenant from any obligation under this Lease; or (ii) other remedy offered Landlord in law or in equity:</w:t>
      </w:r>
    </w:p>
    <w:p>
      <w:pPr>
        <w:spacing w:after="0" w:line="169" w:lineRule="exact"/>
        <w:rPr>
          <w:sz w:val="20"/>
          <w:szCs w:val="20"/>
          <w:color w:val="auto"/>
        </w:rPr>
      </w:pPr>
    </w:p>
    <w:p>
      <w:pPr>
        <w:jc w:val="both"/>
        <w:ind w:firstLine="8"/>
        <w:spacing w:after="0" w:line="244" w:lineRule="auto"/>
        <w:tabs>
          <w:tab w:leader="none" w:pos="8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Landlord may enter the Premises without terminating this Lease and perform any covenant or agreement or cure any condition creating or giving rise to an event of default under this Lease and Tenant shall pay to Landlord on demand, as additional rent, the amount expended by Landlord in performing such covenants or agreements or satisfying or observing such condition. Landlord, or its agents or employees, shall have the right to enter the Premises, and such entry and such performance shall not terminate this Lease or constitute an eviction of Tenant.</w:t>
      </w:r>
    </w:p>
    <w:p>
      <w:pPr>
        <w:spacing w:after="0" w:line="176" w:lineRule="exact"/>
        <w:rPr>
          <w:rFonts w:ascii="Arial" w:cs="Arial" w:eastAsia="Arial" w:hAnsi="Arial"/>
          <w:sz w:val="18"/>
          <w:szCs w:val="18"/>
          <w:color w:val="auto"/>
        </w:rPr>
      </w:pPr>
    </w:p>
    <w:p>
      <w:pPr>
        <w:jc w:val="both"/>
        <w:ind w:firstLine="8"/>
        <w:spacing w:after="0" w:line="244" w:lineRule="auto"/>
        <w:tabs>
          <w:tab w:leader="none" w:pos="8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Landlord may terminate this Lease by written notice to Tenant (and not otherwise) or Landlord may terminate Tenant’s right of possession without terminating this Lease. In either of such events Tenant shall surrender possession of and vacate the Premises immediately and deliver possession thereof to Landlord, and Tenant hereby grants to Landlord full and free license to enter the Premises, in whole or in part, with or without process of law and to expel or remove Tenant and any other person, firm or entity who may be occupying the Premises or any part thereof and remove any and all property therefrom, using such lawful force as may be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19</w:t>
      </w:r>
    </w:p>
    <w:p>
      <w:pPr>
        <w:spacing w:after="0" w:line="13" w:lineRule="exact"/>
        <w:rPr>
          <w:sz w:val="20"/>
          <w:szCs w:val="20"/>
          <w:color w:val="auto"/>
        </w:rPr>
      </w:pPr>
    </w:p>
    <w:p>
      <w:pPr>
        <w:jc w:val="both"/>
        <w:ind w:firstLine="8"/>
        <w:spacing w:after="0" w:line="242" w:lineRule="auto"/>
        <w:tabs>
          <w:tab w:leader="none" w:pos="8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Landlord elects to re-enter or take possession of the Premises after Tenant’s default, with or without terminating this Lease, Landlord may change locks or alter security devices and lock out, expel or remove Tenant and any other person who may be occupying all or any part of the Premises without being liable for any claim for damages.</w:t>
      </w:r>
    </w:p>
    <w:p>
      <w:pPr>
        <w:spacing w:after="0" w:line="179" w:lineRule="exact"/>
        <w:rPr>
          <w:rFonts w:ascii="Arial" w:cs="Arial" w:eastAsia="Arial" w:hAnsi="Arial"/>
          <w:sz w:val="18"/>
          <w:szCs w:val="18"/>
          <w:color w:val="auto"/>
        </w:rPr>
      </w:pPr>
    </w:p>
    <w:p>
      <w:pPr>
        <w:jc w:val="both"/>
        <w:ind w:firstLine="8"/>
        <w:spacing w:after="0" w:line="253" w:lineRule="auto"/>
        <w:tabs>
          <w:tab w:leader="none" w:pos="8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if Landlord terminates Tenant’s right to possession without terminating this Lease after an event of default, Landlord shall, if required by State law, use commercially reasonable efforts to relet the Premises and mitigate damage as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below.</w:t>
      </w:r>
    </w:p>
    <w:p>
      <w:pPr>
        <w:spacing w:after="0" w:line="168" w:lineRule="exact"/>
        <w:rPr>
          <w:rFonts w:ascii="Arial" w:cs="Arial" w:eastAsia="Arial" w:hAnsi="Arial"/>
          <w:sz w:val="18"/>
          <w:szCs w:val="18"/>
          <w:color w:val="auto"/>
        </w:rPr>
      </w:pPr>
    </w:p>
    <w:p>
      <w:pPr>
        <w:jc w:val="both"/>
        <w:ind w:firstLine="8"/>
        <w:spacing w:after="0" w:line="238" w:lineRule="auto"/>
        <w:tabs>
          <w:tab w:leader="none" w:pos="8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 prior election by Landlord to not terminate this Lease, Landlord may at any time, including subsequent to any re-entry or taking of possession of the Premises as allowed hereinabove, elect to terminate this Lease. Tenant shall be liable for and shall immediately pay to Landlord the amount of all Base Rent and other sums of money due under this Lease as may have accrued as of the date of termination. Tenant shall also immediately pay to Landlord, as agreed and liquidated damages, an amount of money equal to the Base Rent and other amounts due for the remaining portion of the Lease Term (had such term not been terminated by Landlord prior to the expiration of the Lease Term), less the fair rental value of the Premises for the residue of the Lease Term, both discounted to their present value based upon an interest rate of eight percent (8%) per annum. In determining fair rental value, Landlord shall be entitled to take into account the time and expenses necessary to obtain a replacement tenant or tenants, including lost rental revenues and anticipated expenses hereinafter described relating to recovery, preparation and reletting of the Premises. If Landlord elects to relet the Premises, or any portion thereof, before presentation of proof of such liquidated damages, the amount of rent reserved upon such reletting shall be deemed prima facie evidence of the fair rental value of the portion of the Premises so relet.</w:t>
      </w:r>
    </w:p>
    <w:p>
      <w:pPr>
        <w:spacing w:after="0" w:line="186" w:lineRule="exact"/>
        <w:rPr>
          <w:sz w:val="20"/>
          <w:szCs w:val="20"/>
          <w:color w:val="auto"/>
        </w:rPr>
      </w:pPr>
    </w:p>
    <w:p>
      <w:pPr>
        <w:jc w:val="both"/>
        <w:ind w:left="880" w:firstLine="797"/>
        <w:spacing w:after="0" w:line="242" w:lineRule="auto"/>
        <w:rPr>
          <w:sz w:val="20"/>
          <w:szCs w:val="20"/>
          <w:color w:val="auto"/>
        </w:rPr>
      </w:pPr>
      <w:r>
        <w:rPr>
          <w:rFonts w:ascii="Arial" w:cs="Arial" w:eastAsia="Arial" w:hAnsi="Arial"/>
          <w:sz w:val="18"/>
          <w:szCs w:val="18"/>
          <w:color w:val="auto"/>
        </w:rPr>
        <w:t>Landlord and Tenant agree that because of the difficulty or impossibility of determining Landlord’s damages from the loss of anticipated Additional Rent and other lease charges from the Tenant, there shall be included as a component of Tenant’s annual total rent obligation (for the calculation of Landlord’s remedies), an amount equal to the average monthly Additional Rent paid by Tenant for the twelve (12) full calendar months immediately preceding the event of default (or such lesser period of the term if the event of default occurs prior to the twelfth (12th) full calendar month of the term) multiplied by the number of months remaining in the Lease Term.</w:t>
      </w:r>
    </w:p>
    <w:p>
      <w:pPr>
        <w:spacing w:after="0" w:line="179" w:lineRule="exact"/>
        <w:rPr>
          <w:sz w:val="20"/>
          <w:szCs w:val="20"/>
          <w:color w:val="auto"/>
        </w:rPr>
      </w:pPr>
    </w:p>
    <w:p>
      <w:pPr>
        <w:jc w:val="both"/>
        <w:ind w:firstLine="8"/>
        <w:spacing w:after="0" w:line="244" w:lineRule="auto"/>
        <w:tabs>
          <w:tab w:leader="none" w:pos="8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any sum provided to be paid above, Tenant shall also be liable for and shall immediately pay to Landlord all broker’s fees incurred by Landlord in connection with any reletting of the whole or any part of the Premises, the costs of removing and storing Tenant’s or any other occupant’s property, the cost of repairing, altering, remodeling, renovating or otherwise putting the Premises into a condition acceptable to a new tenant or tenants, the cost of removal and replacement of Tenant’s signage and all reasonable expenses by Landlord in enforcing Landlord’s remedies, including reasonable attorneys’ fees.</w:t>
      </w:r>
    </w:p>
    <w:p>
      <w:pPr>
        <w:spacing w:after="0" w:line="176" w:lineRule="exact"/>
        <w:rPr>
          <w:rFonts w:ascii="Arial" w:cs="Arial" w:eastAsia="Arial" w:hAnsi="Arial"/>
          <w:sz w:val="18"/>
          <w:szCs w:val="18"/>
          <w:color w:val="auto"/>
        </w:rPr>
      </w:pPr>
    </w:p>
    <w:p>
      <w:pPr>
        <w:jc w:val="both"/>
        <w:ind w:firstLine="8"/>
        <w:spacing w:after="0" w:line="247" w:lineRule="auto"/>
        <w:tabs>
          <w:tab w:leader="none" w:pos="9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Landlord may apply Tenant’s Security Deposit to the extent necessary to make good any rent arrearage, to pay the cost of remedying Tenant’s default or to reimburse Landlord for expenditures made or damages suffered as a consequence of Tenant’s default, without prejudice to any other remedies Landlord may have under this Lease. Following any such application of the Security Deposit, Tenant shall pay to Landlord on demand the amount so applied in order to restore the Security Deposit to its original amount</w:t>
      </w:r>
    </w:p>
    <w:p>
      <w:pPr>
        <w:spacing w:after="0" w:line="174" w:lineRule="exact"/>
        <w:rPr>
          <w:sz w:val="20"/>
          <w:szCs w:val="20"/>
          <w:color w:val="auto"/>
        </w:rPr>
      </w:pPr>
    </w:p>
    <w:p>
      <w:pPr>
        <w:ind w:left="880" w:hanging="872"/>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Mitigation of Damages</w:t>
      </w:r>
      <w:r>
        <w:rPr>
          <w:rFonts w:ascii="Arial" w:cs="Arial" w:eastAsia="Arial" w:hAnsi="Arial"/>
          <w:sz w:val="18"/>
          <w:szCs w:val="18"/>
          <w:color w:val="auto"/>
        </w:rPr>
        <w:t>.</w:t>
      </w:r>
    </w:p>
    <w:p>
      <w:pPr>
        <w:spacing w:after="0" w:line="212" w:lineRule="exact"/>
        <w:rPr>
          <w:sz w:val="20"/>
          <w:szCs w:val="20"/>
          <w:color w:val="auto"/>
        </w:rPr>
      </w:pPr>
    </w:p>
    <w:p>
      <w:pPr>
        <w:ind w:right="20" w:firstLine="8"/>
        <w:spacing w:after="0" w:line="271" w:lineRule="auto"/>
        <w:tabs>
          <w:tab w:leader="none" w:pos="8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a default under the Lease, Landlord and Tenant shall each use commercially reasonable efforts to mitigate any damages resulting from a default of the other party under this Lease.</w:t>
      </w:r>
    </w:p>
    <w:p>
      <w:pPr>
        <w:spacing w:after="0" w:line="153" w:lineRule="exact"/>
        <w:rPr>
          <w:rFonts w:ascii="Arial" w:cs="Arial" w:eastAsia="Arial" w:hAnsi="Arial"/>
          <w:sz w:val="18"/>
          <w:szCs w:val="18"/>
          <w:color w:val="auto"/>
        </w:rPr>
      </w:pPr>
    </w:p>
    <w:p>
      <w:pPr>
        <w:ind w:firstLine="8"/>
        <w:spacing w:after="0" w:line="271" w:lineRule="auto"/>
        <w:tabs>
          <w:tab w:leader="none" w:pos="8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Landlord’s obligation to mitigate damages after a default by Tenant shall be satisfied in full if Landlord undertakes to lease the Premises to another tenant (a “Substitute Tenant”) in accordance with the following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20</w:t>
      </w:r>
    </w:p>
    <w:p>
      <w:pPr>
        <w:spacing w:after="0" w:line="13" w:lineRule="exact"/>
        <w:rPr>
          <w:sz w:val="20"/>
          <w:szCs w:val="20"/>
          <w:color w:val="auto"/>
        </w:rPr>
      </w:pPr>
    </w:p>
    <w:p>
      <w:pPr>
        <w:jc w:val="both"/>
        <w:ind w:firstLine="8"/>
        <w:spacing w:after="0" w:line="242" w:lineRule="auto"/>
        <w:tabs>
          <w:tab w:leader="none" w:pos="8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Landlord shall have no obligation to solicit or entertain negotiations with any other prospective tenant for the Premises until Landlord obtains full and complete possession of the Premises including, without limitation, the final and unappealable legal right to relet the Premises free of any claim of Tenant.</w:t>
      </w:r>
    </w:p>
    <w:p>
      <w:pPr>
        <w:spacing w:after="0" w:line="179" w:lineRule="exact"/>
        <w:rPr>
          <w:rFonts w:ascii="Arial" w:cs="Arial" w:eastAsia="Arial" w:hAnsi="Arial"/>
          <w:sz w:val="18"/>
          <w:szCs w:val="18"/>
          <w:color w:val="auto"/>
        </w:rPr>
      </w:pPr>
    </w:p>
    <w:p>
      <w:pPr>
        <w:ind w:right="20" w:firstLine="8"/>
        <w:spacing w:after="0" w:line="271" w:lineRule="auto"/>
        <w:tabs>
          <w:tab w:leader="none" w:pos="8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Landlord shall not be obligated to offer the Premises to a Substitute Tenant when other premises in the Project suitable for that prospective tenant’s use are (or soon will be) available.</w:t>
      </w:r>
    </w:p>
    <w:p>
      <w:pPr>
        <w:spacing w:after="0" w:line="153" w:lineRule="exact"/>
        <w:rPr>
          <w:rFonts w:ascii="Arial" w:cs="Arial" w:eastAsia="Arial" w:hAnsi="Arial"/>
          <w:sz w:val="18"/>
          <w:szCs w:val="18"/>
          <w:color w:val="auto"/>
        </w:rPr>
      </w:pPr>
    </w:p>
    <w:p>
      <w:pPr>
        <w:jc w:val="both"/>
        <w:ind w:firstLine="8"/>
        <w:spacing w:after="0" w:line="253" w:lineRule="auto"/>
        <w:tabs>
          <w:tab w:leader="none" w:pos="89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Landlord shall not be obligated to lease the Premises to a Substitute Tenant for a rental less than the current fair market rental then prevailing for similar space, nor shall Landlord be obligated to enter into a new lease under other terms and conditions that are unacceptable to Landlord under Landlord’s then current leasing policies for comparable space.</w:t>
      </w:r>
    </w:p>
    <w:p>
      <w:pPr>
        <w:spacing w:after="0" w:line="168" w:lineRule="exact"/>
        <w:rPr>
          <w:rFonts w:ascii="Arial" w:cs="Arial" w:eastAsia="Arial" w:hAnsi="Arial"/>
          <w:sz w:val="18"/>
          <w:szCs w:val="18"/>
          <w:color w:val="auto"/>
        </w:rPr>
      </w:pPr>
    </w:p>
    <w:p>
      <w:pPr>
        <w:ind w:left="900" w:hanging="892"/>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Landlord shall not be obligated to enter into a lease with any proposed tenant whose use would:</w:t>
      </w:r>
    </w:p>
    <w:p>
      <w:pPr>
        <w:spacing w:after="0" w:line="212" w:lineRule="exact"/>
        <w:rPr>
          <w:sz w:val="20"/>
          <w:szCs w:val="20"/>
          <w:color w:val="auto"/>
        </w:rPr>
      </w:pPr>
    </w:p>
    <w:p>
      <w:pPr>
        <w:ind w:left="880" w:hanging="872"/>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Disrupt the tenant mix or balance of the Project;</w:t>
      </w:r>
    </w:p>
    <w:p>
      <w:pPr>
        <w:spacing w:after="0" w:line="211" w:lineRule="exact"/>
        <w:rPr>
          <w:rFonts w:ascii="Arial" w:cs="Arial" w:eastAsia="Arial" w:hAnsi="Arial"/>
          <w:sz w:val="18"/>
          <w:szCs w:val="18"/>
          <w:color w:val="auto"/>
        </w:rPr>
      </w:pPr>
    </w:p>
    <w:p>
      <w:pPr>
        <w:ind w:left="880" w:hanging="872"/>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Violate any restriction, covenant, or requirement contained in the lease of another tenant of the Project;</w:t>
      </w:r>
    </w:p>
    <w:p>
      <w:pPr>
        <w:spacing w:after="0" w:line="211" w:lineRule="exact"/>
        <w:rPr>
          <w:rFonts w:ascii="Arial" w:cs="Arial" w:eastAsia="Arial" w:hAnsi="Arial"/>
          <w:sz w:val="18"/>
          <w:szCs w:val="18"/>
          <w:color w:val="auto"/>
        </w:rPr>
      </w:pPr>
    </w:p>
    <w:p>
      <w:pPr>
        <w:ind w:left="860" w:hanging="852"/>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Adversely affect the reputation of the Project; or</w:t>
      </w:r>
    </w:p>
    <w:p>
      <w:pPr>
        <w:spacing w:after="0" w:line="211" w:lineRule="exact"/>
        <w:rPr>
          <w:rFonts w:ascii="Arial" w:cs="Arial" w:eastAsia="Arial" w:hAnsi="Arial"/>
          <w:sz w:val="18"/>
          <w:szCs w:val="18"/>
          <w:color w:val="auto"/>
        </w:rPr>
      </w:pPr>
    </w:p>
    <w:p>
      <w:pPr>
        <w:ind w:left="880" w:hanging="872"/>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 incompatible with the operation of the Project.</w:t>
      </w:r>
    </w:p>
    <w:p>
      <w:pPr>
        <w:spacing w:after="0" w:line="212" w:lineRule="exact"/>
        <w:rPr>
          <w:sz w:val="20"/>
          <w:szCs w:val="20"/>
          <w:color w:val="auto"/>
        </w:rPr>
      </w:pPr>
    </w:p>
    <w:p>
      <w:pPr>
        <w:jc w:val="both"/>
        <w:ind w:right="20" w:firstLine="8"/>
        <w:spacing w:after="0" w:line="271" w:lineRule="auto"/>
        <w:tabs>
          <w:tab w:leader="none" w:pos="8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Landlord shall not be obligated to enter into a lease with any proposed Substitute Tenant (a “Substitute Lease”) which does not have, in Landlord’s reasonable opinion, sufficient financial resources or operating experience to operate the Premises in a first-class manner.</w:t>
      </w:r>
    </w:p>
    <w:p>
      <w:pPr>
        <w:spacing w:after="0" w:line="153" w:lineRule="exact"/>
        <w:rPr>
          <w:rFonts w:ascii="Arial" w:cs="Arial" w:eastAsia="Arial" w:hAnsi="Arial"/>
          <w:sz w:val="18"/>
          <w:szCs w:val="18"/>
          <w:color w:val="auto"/>
        </w:rPr>
      </w:pPr>
    </w:p>
    <w:p>
      <w:pPr>
        <w:ind w:firstLine="8"/>
        <w:spacing w:after="0" w:line="271" w:lineRule="auto"/>
        <w:tabs>
          <w:tab w:leader="none" w:pos="8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Landlord shall not be required to expend any amount of money to alter, remodel, or otherwise make the Premises suitable for use by a proposed Substitute Tenant unless:</w:t>
      </w:r>
    </w:p>
    <w:p>
      <w:pPr>
        <w:spacing w:after="0" w:line="154" w:lineRule="exact"/>
        <w:rPr>
          <w:sz w:val="20"/>
          <w:szCs w:val="20"/>
          <w:color w:val="auto"/>
        </w:rPr>
      </w:pPr>
    </w:p>
    <w:p>
      <w:pPr>
        <w:ind w:right="40" w:firstLine="8"/>
        <w:spacing w:after="0" w:line="253" w:lineRule="auto"/>
        <w:tabs>
          <w:tab w:leader="none" w:pos="8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Tenant pays any such sum to Landlord in advance of Landlord’s execution of a Substitute Lease with such Substitute Tenant (which payment shall not be in lieu of any damages or other sums to which Landlord may be entitled as a result of Tenant’s default under this Lease); or</w:t>
      </w:r>
    </w:p>
    <w:p>
      <w:pPr>
        <w:spacing w:after="0" w:line="168" w:lineRule="exact"/>
        <w:rPr>
          <w:rFonts w:ascii="Arial" w:cs="Arial" w:eastAsia="Arial" w:hAnsi="Arial"/>
          <w:sz w:val="18"/>
          <w:szCs w:val="18"/>
          <w:color w:val="auto"/>
        </w:rPr>
      </w:pPr>
    </w:p>
    <w:p>
      <w:pPr>
        <w:ind w:right="40" w:firstLine="8"/>
        <w:spacing w:after="0" w:line="271" w:lineRule="auto"/>
        <w:tabs>
          <w:tab w:leader="none" w:pos="8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Landlord, in Landlord’s sole discretion, determines that any such expenditure is financially justified in connection with entering into any such Substitute Lease.</w:t>
      </w:r>
    </w:p>
    <w:p>
      <w:pPr>
        <w:spacing w:after="0" w:line="154" w:lineRule="exact"/>
        <w:rPr>
          <w:sz w:val="20"/>
          <w:szCs w:val="20"/>
          <w:color w:val="auto"/>
        </w:rPr>
      </w:pPr>
    </w:p>
    <w:p>
      <w:pPr>
        <w:jc w:val="both"/>
        <w:ind w:firstLine="8"/>
        <w:spacing w:after="0" w:line="242" w:lineRule="auto"/>
        <w:tabs>
          <w:tab w:leader="none" w:pos="8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Upon compliance with the above criteria regarding the releasing of the Premises after a default by Tenant, Landlord shall be deemed to have fully satisfied Landlord’s obligation to mitigate damages under this Lease and under any law or judicial ruling in effect on the date of this Lease or at the time of Tenant’s default, and Tenant waives and releases, to the fullest extent legally permissible, any right to assert in any action by Landlord to enforce the terms of this Lease, any defense, counterclaim, or rights of setoff or recoupment respecting the mitigation of damages by Landlord, unless and to the extent Landlord maliciously or in bad faith fails to act in accordance with the requirements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8"/>
        <w:spacing w:after="0" w:line="253" w:lineRule="auto"/>
        <w:tabs>
          <w:tab w:leader="none" w:pos="89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Tenant’s right to seek damages from Landlord as a result of a default by Landlord under this Lease shall be conditioned on Tenant taking all actions reasonably required, under the circumstances, to minimize any loss or damage to Tenant’s property or business, or to any of Tenant’s officers, employees, agents, invitees, or other third parties that may be caused by any such default of Landlord.</w:t>
      </w:r>
    </w:p>
    <w:p>
      <w:pPr>
        <w:spacing w:after="0" w:line="169" w:lineRule="exact"/>
        <w:rPr>
          <w:sz w:val="20"/>
          <w:szCs w:val="20"/>
          <w:color w:val="auto"/>
        </w:rPr>
      </w:pPr>
    </w:p>
    <w:p>
      <w:pPr>
        <w:ind w:firstLine="8"/>
        <w:spacing w:after="0" w:line="271" w:lineRule="auto"/>
        <w:tabs>
          <w:tab w:leader="none" w:pos="86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Remedies Cumulative</w:t>
      </w:r>
      <w:r>
        <w:rPr>
          <w:rFonts w:ascii="Arial" w:cs="Arial" w:eastAsia="Arial" w:hAnsi="Arial"/>
          <w:sz w:val="18"/>
          <w:szCs w:val="18"/>
          <w:color w:val="auto"/>
        </w:rPr>
        <w:t>. All rights and remedies of Landlord herein or existing at law or in equity are cumulative and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one or more rights or remedies shall not be taken to exclude or waive the right to the exercise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21</w:t>
      </w:r>
    </w:p>
    <w:p>
      <w:pPr>
        <w:spacing w:after="0" w:line="13" w:lineRule="exact"/>
        <w:rPr>
          <w:sz w:val="20"/>
          <w:szCs w:val="20"/>
          <w:color w:val="auto"/>
        </w:rPr>
      </w:pPr>
    </w:p>
    <w:p>
      <w:pPr>
        <w:jc w:val="both"/>
        <w:ind w:firstLine="8"/>
        <w:spacing w:after="0" w:line="236" w:lineRule="auto"/>
        <w:tabs>
          <w:tab w:leader="none" w:pos="818"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Effect of Exercise</w:t>
      </w:r>
      <w:r>
        <w:rPr>
          <w:rFonts w:ascii="Arial" w:cs="Arial" w:eastAsia="Arial" w:hAnsi="Arial"/>
          <w:sz w:val="18"/>
          <w:szCs w:val="18"/>
          <w:color w:val="auto"/>
        </w:rPr>
        <w:t>. Exercise by Landlord of any remedies hereunder or otherwise available shall not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Following a Default by Tenant under this Lease and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81" w:lineRule="exact"/>
        <w:rPr>
          <w:sz w:val="20"/>
          <w:szCs w:val="20"/>
          <w:color w:val="auto"/>
        </w:rPr>
      </w:pPr>
    </w:p>
    <w:p>
      <w:pPr>
        <w:ind w:left="900" w:hanging="892"/>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37" w:lineRule="auto"/>
        <w:tabs>
          <w:tab w:leader="none" w:pos="868"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not to be unreasonably withheld, conditioned or delayed,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and on the conditions described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including without limitation,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below,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Notwithstanding the foregoing, Tenant shall have the right to obtain financing from investors (including venture capital funding and corporate partners) or undergo a public offering which results in a change in control of Tenant without such change of control constituting an assignment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87" w:lineRule="exact"/>
        <w:rPr>
          <w:rFonts w:ascii="Arial" w:cs="Arial" w:eastAsia="Arial" w:hAnsi="Arial"/>
          <w:sz w:val="18"/>
          <w:szCs w:val="18"/>
          <w:color w:val="auto"/>
        </w:rPr>
      </w:pPr>
    </w:p>
    <w:p>
      <w:pPr>
        <w:jc w:val="both"/>
        <w:ind w:firstLine="8"/>
        <w:spacing w:after="0" w:line="239" w:lineRule="auto"/>
        <w:tabs>
          <w:tab w:leader="none" w:pos="868"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 sublet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substantially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discretion; or (iii) terminate this Lease with respect to the space described in the Assignment Notice as of the Assignment Date (an</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Termination</w:t>
      </w:r>
      <w:r>
        <w:rPr>
          <w:rFonts w:ascii="Arial" w:cs="Arial" w:eastAsia="Arial" w:hAnsi="Arial"/>
          <w:sz w:val="18"/>
          <w:szCs w:val="18"/>
          <w:color w:val="auto"/>
        </w:rPr>
        <w:t>”) if the proposed assignment or subletting concerns more than 50% of the Premises for the remainder (or</w:t>
      </w:r>
    </w:p>
    <w:p>
      <w:pPr>
        <w:spacing w:after="0" w:line="235" w:lineRule="auto"/>
        <w:rPr>
          <w:sz w:val="20"/>
          <w:szCs w:val="20"/>
          <w:color w:val="auto"/>
        </w:rPr>
      </w:pPr>
      <w:r>
        <w:rPr>
          <w:rFonts w:ascii="Arial" w:cs="Arial" w:eastAsia="Arial" w:hAnsi="Arial"/>
          <w:sz w:val="18"/>
          <w:szCs w:val="18"/>
          <w:color w:val="auto"/>
        </w:rPr>
        <w:t>substantially all of the remainder) of the Term.  Among other reasons, it shall be reasonable for Landlord to withhold its consent in any of</w:t>
      </w:r>
    </w:p>
    <w:p>
      <w:pPr>
        <w:spacing w:after="0" w:line="235" w:lineRule="auto"/>
        <w:rPr>
          <w:sz w:val="20"/>
          <w:szCs w:val="20"/>
          <w:color w:val="auto"/>
        </w:rPr>
      </w:pPr>
      <w:r>
        <w:rPr>
          <w:rFonts w:ascii="Arial" w:cs="Arial" w:eastAsia="Arial" w:hAnsi="Arial"/>
          <w:sz w:val="18"/>
          <w:szCs w:val="18"/>
          <w:color w:val="auto"/>
        </w:rPr>
        <w:t>these instances:  (1) the proposed assignee or subtenant is a governmental agency; (2) in Landlord’s reasonable judgment, the use of the</w:t>
      </w:r>
    </w:p>
    <w:p>
      <w:pPr>
        <w:spacing w:after="0" w:line="235" w:lineRule="auto"/>
        <w:rPr>
          <w:sz w:val="20"/>
          <w:szCs w:val="20"/>
          <w:color w:val="auto"/>
        </w:rPr>
      </w:pPr>
      <w:r>
        <w:rPr>
          <w:rFonts w:ascii="Arial" w:cs="Arial" w:eastAsia="Arial" w:hAnsi="Arial"/>
          <w:sz w:val="18"/>
          <w:szCs w:val="18"/>
          <w:color w:val="auto"/>
        </w:rPr>
        <w:t>Premises by the proposed assignee or subtenant would entail any alterations that would lessen the value of the leasehold improvements in</w:t>
      </w:r>
    </w:p>
    <w:p>
      <w:pPr>
        <w:spacing w:after="0" w:line="235" w:lineRule="auto"/>
        <w:rPr>
          <w:sz w:val="20"/>
          <w:szCs w:val="20"/>
          <w:color w:val="auto"/>
        </w:rPr>
      </w:pPr>
      <w:r>
        <w:rPr>
          <w:rFonts w:ascii="Arial" w:cs="Arial" w:eastAsia="Arial" w:hAnsi="Arial"/>
          <w:sz w:val="18"/>
          <w:szCs w:val="18"/>
          <w:color w:val="auto"/>
        </w:rPr>
        <w:t>the Premises, or would require increased services by Landlord; (3) in Landlord’s reasonable judgment, the proposed assignee or subtenant</w:t>
      </w:r>
    </w:p>
    <w:p>
      <w:pPr>
        <w:spacing w:after="0" w:line="234" w:lineRule="auto"/>
        <w:rPr>
          <w:sz w:val="20"/>
          <w:szCs w:val="20"/>
          <w:color w:val="auto"/>
        </w:rPr>
      </w:pPr>
      <w:r>
        <w:rPr>
          <w:rFonts w:ascii="Arial" w:cs="Arial" w:eastAsia="Arial" w:hAnsi="Arial"/>
          <w:sz w:val="18"/>
          <w:szCs w:val="18"/>
          <w:color w:val="auto"/>
        </w:rPr>
        <w:t>is engaged in areas of scientific research or other business concerns that are controversial; (4) in Landlord’s reasonable judgment, the</w:t>
      </w:r>
    </w:p>
    <w:p>
      <w:pPr>
        <w:spacing w:after="0" w:line="235" w:lineRule="auto"/>
        <w:rPr>
          <w:sz w:val="20"/>
          <w:szCs w:val="20"/>
          <w:color w:val="auto"/>
        </w:rPr>
      </w:pPr>
      <w:r>
        <w:rPr>
          <w:rFonts w:ascii="Arial" w:cs="Arial" w:eastAsia="Arial" w:hAnsi="Arial"/>
          <w:sz w:val="18"/>
          <w:szCs w:val="18"/>
          <w:color w:val="auto"/>
        </w:rPr>
        <w:t>proposed assignee or subtenant lacks the creditworthiness to support the financial obligations it will incur under the proposed assignment or</w:t>
      </w:r>
    </w:p>
    <w:p>
      <w:pPr>
        <w:spacing w:after="0" w:line="235" w:lineRule="auto"/>
        <w:rPr>
          <w:sz w:val="20"/>
          <w:szCs w:val="20"/>
          <w:color w:val="auto"/>
        </w:rPr>
      </w:pPr>
      <w:r>
        <w:rPr>
          <w:rFonts w:ascii="Arial" w:cs="Arial" w:eastAsia="Arial" w:hAnsi="Arial"/>
          <w:sz w:val="18"/>
          <w:szCs w:val="18"/>
          <w:color w:val="auto"/>
        </w:rPr>
        <w:t>sublease; (5) in Landlord’s reasonable judgment, the character, reputation, or business of the proposed assignee or subtenant is inconsistent</w:t>
      </w:r>
    </w:p>
    <w:p>
      <w:pPr>
        <w:spacing w:after="0" w:line="235" w:lineRule="auto"/>
        <w:rPr>
          <w:sz w:val="20"/>
          <w:szCs w:val="20"/>
          <w:color w:val="auto"/>
        </w:rPr>
      </w:pPr>
      <w:r>
        <w:rPr>
          <w:rFonts w:ascii="Arial" w:cs="Arial" w:eastAsia="Arial" w:hAnsi="Arial"/>
          <w:sz w:val="18"/>
          <w:szCs w:val="18"/>
          <w:color w:val="auto"/>
        </w:rPr>
        <w:t>with the desired tenant-mix or the quality of other tenancies in the Project or is inconsistent with the type and quality of the nature of the</w:t>
      </w:r>
    </w:p>
    <w:p>
      <w:pPr>
        <w:spacing w:after="0" w:line="235" w:lineRule="auto"/>
        <w:rPr>
          <w:sz w:val="20"/>
          <w:szCs w:val="20"/>
          <w:color w:val="auto"/>
        </w:rPr>
      </w:pPr>
      <w:r>
        <w:rPr>
          <w:rFonts w:ascii="Arial" w:cs="Arial" w:eastAsia="Arial" w:hAnsi="Arial"/>
          <w:sz w:val="18"/>
          <w:szCs w:val="18"/>
          <w:color w:val="auto"/>
        </w:rPr>
        <w:t>Building; (6) Landlord has received from any prior landlord to the proposed assignee or subtenant a negative written report concerning such</w:t>
      </w:r>
    </w:p>
    <w:p>
      <w:pPr>
        <w:spacing w:after="0" w:line="234" w:lineRule="auto"/>
        <w:rPr>
          <w:sz w:val="20"/>
          <w:szCs w:val="20"/>
          <w:color w:val="auto"/>
        </w:rPr>
      </w:pPr>
      <w:r>
        <w:rPr>
          <w:rFonts w:ascii="Arial" w:cs="Arial" w:eastAsia="Arial" w:hAnsi="Arial"/>
          <w:sz w:val="18"/>
          <w:szCs w:val="18"/>
          <w:color w:val="auto"/>
        </w:rPr>
        <w:t>prior landlord’s experience with the proposed assignee or subtenant; (7) Landlord has experienced previous defaults by or is in litigation with</w:t>
      </w:r>
    </w:p>
    <w:p>
      <w:pPr>
        <w:spacing w:after="0" w:line="235" w:lineRule="auto"/>
        <w:rPr>
          <w:sz w:val="20"/>
          <w:szCs w:val="20"/>
          <w:color w:val="auto"/>
        </w:rPr>
      </w:pPr>
      <w:r>
        <w:rPr>
          <w:rFonts w:ascii="Arial" w:cs="Arial" w:eastAsia="Arial" w:hAnsi="Arial"/>
          <w:sz w:val="18"/>
          <w:szCs w:val="18"/>
          <w:color w:val="auto"/>
        </w:rPr>
        <w:t>the proposed assignee or subtenant; (8) the use of the Premises by the proposed assignee or subtenant will violate any applicable Legal</w:t>
      </w:r>
    </w:p>
    <w:p>
      <w:pPr>
        <w:spacing w:after="0" w:line="235" w:lineRule="auto"/>
        <w:rPr>
          <w:sz w:val="20"/>
          <w:szCs w:val="20"/>
          <w:color w:val="auto"/>
        </w:rPr>
      </w:pPr>
      <w:r>
        <w:rPr>
          <w:rFonts w:ascii="Arial" w:cs="Arial" w:eastAsia="Arial" w:hAnsi="Arial"/>
          <w:sz w:val="18"/>
          <w:szCs w:val="18"/>
          <w:color w:val="auto"/>
        </w:rPr>
        <w:t>Requirement; (9) the proposed assignee or subtenant is an entity with whom Landlord is actively negotiating to lease space in the Project; or</w:t>
      </w:r>
    </w:p>
    <w:p>
      <w:pPr>
        <w:jc w:val="both"/>
        <w:ind w:firstLine="8"/>
        <w:spacing w:after="0" w:line="235" w:lineRule="auto"/>
        <w:tabs>
          <w:tab w:leader="none" w:pos="39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assignment or sublease is prohibited by Landlord’s lender. If Landlord delivers notice of its election to exercise an Assignment Termination, Tenant shall have the right to withdraw such Assignment Notice by written notice to Landlord of such election within 10 days after Tenant’s receipt of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 Notwithstanding the foregoing, Landlord’s consent to a deemed assignment due to a change in control or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Control Permitted Assignment</w:t>
      </w:r>
      <w:r>
        <w:rPr>
          <w:rFonts w:ascii="Arial" w:cs="Arial" w:eastAsia="Arial" w:hAnsi="Arial"/>
          <w:sz w:val="18"/>
          <w:szCs w:val="18"/>
          <w:color w:val="auto"/>
        </w:rPr>
        <w:t>”) shall not be required, provided that Landlord shall have the right to approve the form of any such sublease or assignment (which approval shall not be unreasonably withheld or delayed). In addition, Tenant shall have the right to assign this Lease, upon 15 days prior written notice to Landlord but without obtaining Landlord’s prior written consent, to a corporation or other entity which is a successor-in-interest to Tenant (or, if applicable, the resulting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net worth (as determined in accordance with GAAP) of Tenant as of the date of Tenant’s most current quarterly or annual financial statements, and (iii) if the resulting assignee is an entity other than Nurix Therapeutics, Inc., a Delaware corporation, such assignee shall agree in writing to assume all of the terms, covenants and conditions of this Lease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 Notwithstanding anything to the contrary contained herein, Landlord shall have no right to deliver an Assignment Termination as a result of a Permitted Assignment or any notice of a Permitted Assignment from Tenant.</w:t>
      </w:r>
    </w:p>
    <w:p>
      <w:pPr>
        <w:spacing w:after="0" w:line="194" w:lineRule="exact"/>
        <w:rPr>
          <w:sz w:val="20"/>
          <w:szCs w:val="20"/>
          <w:color w:val="auto"/>
        </w:rPr>
      </w:pPr>
    </w:p>
    <w:p>
      <w:pPr>
        <w:ind w:firstLine="8"/>
        <w:spacing w:after="0" w:line="271" w:lineRule="auto"/>
        <w:tabs>
          <w:tab w:leader="none" w:pos="85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whether or not Landlord’s consent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may require:</w:t>
      </w:r>
    </w:p>
    <w:p>
      <w:pPr>
        <w:spacing w:after="0" w:line="154" w:lineRule="exact"/>
        <w:rPr>
          <w:sz w:val="20"/>
          <w:szCs w:val="20"/>
          <w:color w:val="auto"/>
        </w:rPr>
      </w:pPr>
    </w:p>
    <w:p>
      <w:pPr>
        <w:jc w:val="both"/>
        <w:ind w:firstLine="8"/>
        <w:spacing w:after="0" w:line="253" w:lineRule="auto"/>
        <w:tabs>
          <w:tab w:leader="none" w:pos="8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without any liability except to credit such payment against those due under this Lease, and any such third party shall agree to attorn to</w:t>
      </w:r>
    </w:p>
    <w:p>
      <w:pPr>
        <w:spacing w:after="0" w:line="234" w:lineRule="auto"/>
        <w:rPr>
          <w:sz w:val="20"/>
          <w:szCs w:val="20"/>
          <w:color w:val="auto"/>
        </w:rPr>
      </w:pPr>
      <w:r>
        <w:rPr>
          <w:rFonts w:ascii="Arial" w:cs="Arial" w:eastAsia="Arial" w:hAnsi="Arial"/>
          <w:sz w:val="18"/>
          <w:szCs w:val="18"/>
          <w:color w:val="auto"/>
        </w:rPr>
        <w:t xml:space="preserve">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successors or assigns be obligated to accept such attornment; and</w:t>
      </w:r>
    </w:p>
    <w:p>
      <w:pPr>
        <w:spacing w:after="0" w:line="194" w:lineRule="exact"/>
        <w:rPr>
          <w:sz w:val="20"/>
          <w:szCs w:val="20"/>
          <w:color w:val="auto"/>
        </w:rPr>
      </w:pPr>
    </w:p>
    <w:p>
      <w:pPr>
        <w:jc w:val="both"/>
        <w:ind w:firstLine="8"/>
        <w:spacing w:after="0" w:line="238" w:lineRule="auto"/>
        <w:tabs>
          <w:tab w:leader="none" w:pos="8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86" w:lineRule="exact"/>
        <w:rPr>
          <w:sz w:val="20"/>
          <w:szCs w:val="20"/>
          <w:color w:val="auto"/>
        </w:rPr>
      </w:pPr>
    </w:p>
    <w:p>
      <w:pPr>
        <w:jc w:val="both"/>
        <w:ind w:firstLine="8"/>
        <w:spacing w:after="0" w:line="238" w:lineRule="auto"/>
        <w:tabs>
          <w:tab w:leader="none" w:pos="86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 any guarantor or</w:t>
      </w:r>
      <w:r>
        <w:rPr>
          <w:rFonts w:ascii="Arial" w:cs="Arial" w:eastAsia="Arial" w:hAnsi="Arial"/>
          <w:sz w:val="18"/>
          <w:szCs w:val="18"/>
          <w:b w:val="1"/>
          <w:bCs w:val="1"/>
          <w:color w:val="auto"/>
        </w:rPr>
        <w:t xml:space="preserve"> </w:t>
      </w:r>
      <w:r>
        <w:rPr>
          <w:rFonts w:ascii="Arial" w:cs="Arial" w:eastAsia="Arial" w:hAnsi="Arial"/>
          <w:sz w:val="18"/>
          <w:szCs w:val="18"/>
          <w:color w:val="auto"/>
        </w:rPr>
        <w:t>surety of Tenant’s obligations under this Lease shall at all times remain fully and primarily responsible and liable for the payment of Rent and for compliance with all of Tenant’s other obligations under this Lease. Except with respect to a Permitted Assignment, if the rent due and payable by a sublessee or assignee (or a combination of the rental payable under such sublease or assignment plus any bonus or other consideration therefor or incident thereto in any form attributable to the assignment or sublease) exceeds the sum of the rental payable under this Lease (in the case of a sublease, with respect to the portions of the Premises subject to such sublease),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80" w:lineRule="exact"/>
        <w:rPr>
          <w:rFonts w:ascii="Arial" w:cs="Arial" w:eastAsia="Arial" w:hAnsi="Arial"/>
          <w:sz w:val="18"/>
          <w:szCs w:val="18"/>
          <w:color w:val="auto"/>
        </w:rPr>
      </w:pPr>
    </w:p>
    <w:p>
      <w:pPr>
        <w:jc w:val="both"/>
        <w:ind w:firstLine="8"/>
        <w:spacing w:after="0" w:line="244" w:lineRule="auto"/>
        <w:tabs>
          <w:tab w:leader="none" w:pos="86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6" w:lineRule="exact"/>
        <w:rPr>
          <w:rFonts w:ascii="Arial" w:cs="Arial" w:eastAsia="Arial" w:hAnsi="Arial"/>
          <w:sz w:val="18"/>
          <w:szCs w:val="18"/>
          <w:color w:val="auto"/>
        </w:rPr>
      </w:pPr>
    </w:p>
    <w:p>
      <w:pPr>
        <w:jc w:val="both"/>
        <w:ind w:firstLine="8"/>
        <w:spacing w:after="0" w:line="241" w:lineRule="auto"/>
        <w:tabs>
          <w:tab w:leader="none" w:pos="81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 proposed assignee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sublessee of Tenant has been required by any prior landlord, lender or Governmental Authority to take remedial action in connection with Hazardous Materials contaminating a property, where the contamination resulted from such party’s action or use of the property in question,</w:t>
      </w:r>
    </w:p>
    <w:p>
      <w:pPr>
        <w:spacing w:after="0" w:line="1" w:lineRule="exact"/>
        <w:rPr>
          <w:rFonts w:ascii="Arial" w:cs="Arial" w:eastAsia="Arial" w:hAnsi="Arial"/>
          <w:sz w:val="18"/>
          <w:szCs w:val="18"/>
          <w:color w:val="auto"/>
        </w:rPr>
      </w:pPr>
    </w:p>
    <w:p>
      <w:pPr>
        <w:jc w:val="both"/>
        <w:ind w:firstLine="8"/>
        <w:spacing w:after="0" w:line="239" w:lineRule="auto"/>
        <w:tabs>
          <w:tab w:leader="none" w:pos="2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increased or exacerbated by the proposed use of Hazardous Materials by such proposed assignee or sublessee, Landlord shall have the</w:t>
      </w:r>
    </w:p>
    <w:p>
      <w:pPr>
        <w:spacing w:after="0"/>
        <w:rPr>
          <w:sz w:val="20"/>
          <w:szCs w:val="20"/>
          <w:color w:val="auto"/>
        </w:rPr>
      </w:pPr>
      <w:r>
        <w:rPr>
          <w:rFonts w:ascii="Arial" w:cs="Arial" w:eastAsia="Arial" w:hAnsi="Arial"/>
          <w:sz w:val="18"/>
          <w:szCs w:val="18"/>
          <w:color w:val="auto"/>
        </w:rPr>
        <w:t>absolute right to refuse to consent to any assignment or subletting to any such party.</w:t>
      </w:r>
    </w:p>
    <w:p>
      <w:pPr>
        <w:spacing w:after="0" w:line="194" w:lineRule="exact"/>
        <w:rPr>
          <w:sz w:val="20"/>
          <w:szCs w:val="20"/>
          <w:color w:val="auto"/>
        </w:rPr>
      </w:pPr>
    </w:p>
    <w:p>
      <w:pPr>
        <w:jc w:val="both"/>
        <w:ind w:firstLine="8"/>
        <w:spacing w:after="0" w:line="239" w:lineRule="auto"/>
        <w:tabs>
          <w:tab w:leader="none" w:pos="89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 acknowledge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5 days after Tenant’s receipt of a second written notice from Landlord shall, at the option of Landlord be conclusive upon Tenant that this Lease is in full force and effect and without modification except as may be represented by Landlord in any certificate prepared by Landlord and delivered to Tenant for execution.</w:t>
      </w:r>
    </w:p>
    <w:p>
      <w:pPr>
        <w:spacing w:after="0" w:line="179" w:lineRule="exact"/>
        <w:rPr>
          <w:rFonts w:ascii="Arial" w:cs="Arial" w:eastAsia="Arial" w:hAnsi="Arial"/>
          <w:sz w:val="18"/>
          <w:szCs w:val="18"/>
          <w:color w:val="auto"/>
        </w:rPr>
      </w:pPr>
    </w:p>
    <w:p>
      <w:pPr>
        <w:ind w:right="20" w:firstLine="8"/>
        <w:spacing w:after="0" w:line="271" w:lineRule="auto"/>
        <w:tabs>
          <w:tab w:leader="none" w:pos="89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 Lease,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during the Term, have peaceful and quiet enjoyment of the Premises against any person claiming by, through or under Landlord.</w:t>
      </w:r>
    </w:p>
    <w:p>
      <w:pPr>
        <w:spacing w:after="0" w:line="153" w:lineRule="exact"/>
        <w:rPr>
          <w:rFonts w:ascii="Arial" w:cs="Arial" w:eastAsia="Arial" w:hAnsi="Arial"/>
          <w:sz w:val="18"/>
          <w:szCs w:val="18"/>
          <w:color w:val="auto"/>
        </w:rPr>
      </w:pPr>
    </w:p>
    <w:p>
      <w:pPr>
        <w:ind w:left="900" w:hanging="892"/>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 day year and 30 day</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months.</w:t>
      </w:r>
    </w:p>
    <w:p>
      <w:pPr>
        <w:spacing w:after="0" w:line="193" w:lineRule="exact"/>
        <w:rPr>
          <w:rFonts w:ascii="Arial" w:cs="Arial" w:eastAsia="Arial" w:hAnsi="Arial"/>
          <w:sz w:val="18"/>
          <w:szCs w:val="18"/>
          <w:color w:val="auto"/>
        </w:rPr>
      </w:pPr>
    </w:p>
    <w:p>
      <w:pPr>
        <w:jc w:val="both"/>
        <w:ind w:firstLine="8"/>
        <w:spacing w:after="0"/>
        <w:tabs>
          <w:tab w:leader="none" w:pos="89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 reasonable rules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regulations at any time or from time to time established by Landlord covering use of the Premises and the Project. Such rules and regulations may include, without limitation, rules and regulations which are intended to encourage social distancing, promote and protect health and physical well-being within the Building and the Project and/or intended to limit the spread of Infectious Conditions.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84" w:lineRule="exact"/>
        <w:rPr>
          <w:rFonts w:ascii="Arial" w:cs="Arial" w:eastAsia="Arial" w:hAnsi="Arial"/>
          <w:sz w:val="18"/>
          <w:szCs w:val="18"/>
          <w:color w:val="auto"/>
        </w:rPr>
      </w:pPr>
    </w:p>
    <w:p>
      <w:pPr>
        <w:jc w:val="both"/>
        <w:ind w:firstLine="8"/>
        <w:spacing w:after="0" w:line="237" w:lineRule="auto"/>
        <w:tabs>
          <w:tab w:leader="none" w:pos="89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 subordinate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by the Holder of any such Mortgage. Tenant agrees, at the written election of the Holder of any such Mortgage and upon a foreclosure (or delivery of a deed-in-lieu of foreclosure) of such Mortgage, to attorn to any such Holder. Tenant agrees upon written demand to execute, acknowledge and deliver such instruments, confirming such subordination, and such reasonable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25</w:t>
      </w:r>
    </w:p>
    <w:p>
      <w:pPr>
        <w:spacing w:after="0" w:line="13" w:lineRule="exact"/>
        <w:rPr>
          <w:sz w:val="20"/>
          <w:szCs w:val="20"/>
          <w:color w:val="auto"/>
        </w:rPr>
      </w:pPr>
    </w:p>
    <w:p>
      <w:pPr>
        <w:jc w:val="both"/>
        <w:ind w:firstLine="8"/>
        <w:spacing w:after="0" w:line="235" w:lineRule="auto"/>
        <w:tabs>
          <w:tab w:leader="none" w:pos="898"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 surrender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Landlord in the condition following the Substantial Completion of the Tenant Improvements, subject to any Alterations or Installations permitted by Landlord to remain in the Premises, free of Hazardous Materials brought upon, kept, used, stored, handled, treated, generated in, or released or disposed of from, the Premises by any person other than Landlord or any Landlord’s employees, agents and contractors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8"/>
          <w:szCs w:val="18"/>
          <w:b w:val="1"/>
          <w:bCs w:val="1"/>
          <w:color w:val="auto"/>
        </w:rPr>
        <w:t>Decommissioning and</w:t>
      </w:r>
      <w:r>
        <w:rPr>
          <w:rFonts w:ascii="Arial" w:cs="Arial" w:eastAsia="Arial" w:hAnsi="Arial"/>
          <w:sz w:val="18"/>
          <w:szCs w:val="18"/>
          <w:color w:val="auto"/>
        </w:rPr>
        <w:t xml:space="preserve"> </w:t>
      </w:r>
      <w:r>
        <w:rPr>
          <w:rFonts w:ascii="Arial" w:cs="Arial" w:eastAsia="Arial" w:hAnsi="Arial"/>
          <w:sz w:val="18"/>
          <w:szCs w:val="18"/>
          <w:b w:val="1"/>
          <w:bCs w:val="1"/>
          <w:color w:val="auto"/>
        </w:rPr>
        <w:t>HazMat Closure Plan</w:t>
      </w:r>
      <w:r>
        <w:rPr>
          <w:rFonts w:ascii="Arial" w:cs="Arial" w:eastAsia="Arial" w:hAnsi="Arial"/>
          <w:sz w:val="18"/>
          <w:szCs w:val="18"/>
          <w:color w:val="auto"/>
        </w:rPr>
        <w:t>”). Such Decommissioning and HazMat Closure Plan shall be accompanied by a current listing of (i) all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which approval is not to be unreasonably withheld, conditioned or delayed. In connection with the review and approval of the Decommissioning and HazMat Closure Plan, upon the request of Landlord, Tenant shall deliver to Landlord or its consultant such additional non-proprietary information concerning Tenant HazMat Operations as Landlord shall request. On or before such surrender, Tenant shall deliver to Landlord evidence that the approved Decommissioning and HazMat Closure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reasonable out-of-pocket expense incurred by Landlord for Landlord’s environmental consultant to review and approve the Decommissioning and HazMat Closure Plan and to visit the Premises and verify satisfactory completion of the same, which cost shall not exceed $2,500. Landlord shall have the unrestricted right to deliver such Decommissioning and HazMat Closure Plan and any report by Landlord’s environmental consultant with respect to the surrender of the Premises to third parties.</w:t>
      </w:r>
    </w:p>
    <w:p>
      <w:pPr>
        <w:spacing w:after="0" w:line="194"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18"/>
          <w:szCs w:val="18"/>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7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26</w:t>
      </w:r>
    </w:p>
    <w:p>
      <w:pPr>
        <w:spacing w:after="0" w:line="13" w:lineRule="exact"/>
        <w:rPr>
          <w:sz w:val="20"/>
          <w:szCs w:val="20"/>
          <w:color w:val="auto"/>
        </w:rPr>
      </w:pPr>
    </w:p>
    <w:p>
      <w:pPr>
        <w:jc w:val="both"/>
        <w:ind w:firstLine="8"/>
        <w:spacing w:after="0"/>
        <w:tabs>
          <w:tab w:leader="none" w:pos="898"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 TRIAL BY</w:t>
      </w:r>
      <w:r>
        <w:rPr>
          <w:rFonts w:ascii="Arial" w:cs="Arial" w:eastAsia="Arial" w:hAnsi="Arial"/>
          <w:sz w:val="18"/>
          <w:szCs w:val="18"/>
          <w:b w:val="1"/>
          <w:bCs w:val="1"/>
          <w:color w:val="auto"/>
        </w:rPr>
        <w:t xml:space="preserve"> </w:t>
      </w:r>
      <w:r>
        <w:rPr>
          <w:rFonts w:ascii="Arial" w:cs="Arial" w:eastAsia="Arial" w:hAnsi="Arial"/>
          <w:sz w:val="18"/>
          <w:szCs w:val="18"/>
          <w:color w:val="auto"/>
        </w:rPr>
        <w:t>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80" w:lineRule="exact"/>
        <w:rPr>
          <w:rFonts w:ascii="Arial" w:cs="Arial" w:eastAsia="Arial" w:hAnsi="Arial"/>
          <w:sz w:val="18"/>
          <w:szCs w:val="18"/>
          <w:color w:val="auto"/>
        </w:rPr>
      </w:pPr>
    </w:p>
    <w:p>
      <w:pPr>
        <w:ind w:left="900" w:hanging="892"/>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36" w:lineRule="auto"/>
        <w:tabs>
          <w:tab w:leader="none" w:pos="86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 hereinafter defined)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8"/>
          <w:szCs w:val="18"/>
          <w:b w:val="1"/>
          <w:bCs w:val="1"/>
          <w:color w:val="auto"/>
        </w:rPr>
        <w:t>Environmental Claims</w:t>
      </w:r>
      <w:r>
        <w:rPr>
          <w:rFonts w:ascii="Arial" w:cs="Arial" w:eastAsia="Arial" w:hAnsi="Arial"/>
          <w:sz w:val="18"/>
          <w:szCs w:val="18"/>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Section 28 or this Section 30, Tenant shall not be responsible for, and the indemnification and hold harmless obligation set forth in this paragraph shall not apply to (i) contamination in the Premises which Tenant can prove existed in the Premises immediately prior to the Commencement Date, or (ii) the presence of any Hazardous Materials in the Premises which Tenant can prove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185" w:lineRule="exact"/>
        <w:rPr>
          <w:rFonts w:ascii="Arial" w:cs="Arial" w:eastAsia="Arial" w:hAnsi="Arial"/>
          <w:sz w:val="18"/>
          <w:szCs w:val="18"/>
          <w:color w:val="auto"/>
        </w:rPr>
      </w:pPr>
    </w:p>
    <w:p>
      <w:pPr>
        <w:jc w:val="both"/>
        <w:ind w:firstLine="8"/>
        <w:spacing w:after="0" w:line="242" w:lineRule="auto"/>
        <w:tabs>
          <w:tab w:leader="none" w:pos="86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 Premises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27</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forth any and all governmental approvals or permits required in connection with the presence, use, storage, handling, treatment, generation,</w:t>
      </w:r>
    </w:p>
    <w:p>
      <w:pPr>
        <w:spacing w:after="0" w:line="234" w:lineRule="auto"/>
        <w:rPr>
          <w:sz w:val="20"/>
          <w:szCs w:val="20"/>
          <w:color w:val="auto"/>
        </w:rPr>
      </w:pPr>
      <w:r>
        <w:rPr>
          <w:rFonts w:ascii="Arial" w:cs="Arial" w:eastAsia="Arial" w:hAnsi="Arial"/>
          <w:sz w:val="18"/>
          <w:szCs w:val="18"/>
          <w:color w:val="auto"/>
        </w:rPr>
        <w:t>release or disposal of such Hazardous Materials on or from the Premises (“</w:t>
      </w:r>
      <w:r>
        <w:rPr>
          <w:rFonts w:ascii="Arial" w:cs="Arial" w:eastAsia="Arial" w:hAnsi="Arial"/>
          <w:sz w:val="18"/>
          <w:szCs w:val="18"/>
          <w:b w:val="1"/>
          <w:bCs w:val="1"/>
          <w:color w:val="auto"/>
        </w:rPr>
        <w:t>Hazardous Materials List</w:t>
      </w:r>
      <w:r>
        <w:rPr>
          <w:rFonts w:ascii="Arial" w:cs="Arial" w:eastAsia="Arial" w:hAnsi="Arial"/>
          <w:sz w:val="18"/>
          <w:szCs w:val="18"/>
          <w:color w:val="auto"/>
        </w:rPr>
        <w:t>”).  Upon Landlord’s request, or any</w:t>
      </w:r>
    </w:p>
    <w:p>
      <w:pPr>
        <w:spacing w:after="0" w:line="235" w:lineRule="auto"/>
        <w:rPr>
          <w:sz w:val="20"/>
          <w:szCs w:val="20"/>
          <w:color w:val="auto"/>
        </w:rPr>
      </w:pPr>
      <w:r>
        <w:rPr>
          <w:rFonts w:ascii="Arial" w:cs="Arial" w:eastAsia="Arial" w:hAnsi="Arial"/>
          <w:sz w:val="18"/>
          <w:szCs w:val="18"/>
          <w:color w:val="auto"/>
        </w:rPr>
        <w:t>time that Tenant is required to deliver a Hazardous Materials List to any Governmental Authority (e.g., the fire department) in connection with</w:t>
      </w:r>
    </w:p>
    <w:p>
      <w:pPr>
        <w:spacing w:after="0" w:line="235" w:lineRule="auto"/>
        <w:rPr>
          <w:sz w:val="20"/>
          <w:szCs w:val="20"/>
          <w:color w:val="auto"/>
        </w:rPr>
      </w:pPr>
      <w:r>
        <w:rPr>
          <w:rFonts w:ascii="Arial" w:cs="Arial" w:eastAsia="Arial" w:hAnsi="Arial"/>
          <w:sz w:val="18"/>
          <w:szCs w:val="18"/>
          <w:color w:val="auto"/>
        </w:rPr>
        <w:t>Tenant’s use or occupancy of the Premises, Tenant shall deliver to Landlord a copy of such Hazardous Materials List. Tenant shall deliver to</w:t>
      </w:r>
    </w:p>
    <w:p>
      <w:pPr>
        <w:spacing w:after="0" w:line="235" w:lineRule="auto"/>
        <w:rPr>
          <w:sz w:val="20"/>
          <w:szCs w:val="20"/>
          <w:color w:val="auto"/>
        </w:rPr>
      </w:pPr>
      <w:r>
        <w:rPr>
          <w:rFonts w:ascii="Arial" w:cs="Arial" w:eastAsia="Arial" w:hAnsi="Arial"/>
          <w:sz w:val="18"/>
          <w:szCs w:val="18"/>
          <w:color w:val="auto"/>
        </w:rPr>
        <w:t>Landlord true and correct copies of the following documents (the “</w:t>
      </w:r>
      <w:r>
        <w:rPr>
          <w:rFonts w:ascii="Arial" w:cs="Arial" w:eastAsia="Arial" w:hAnsi="Arial"/>
          <w:sz w:val="18"/>
          <w:szCs w:val="18"/>
          <w:b w:val="1"/>
          <w:bCs w:val="1"/>
          <w:color w:val="auto"/>
        </w:rPr>
        <w:t>Haz Mat Documents</w:t>
      </w:r>
      <w:r>
        <w:rPr>
          <w:rFonts w:ascii="Arial" w:cs="Arial" w:eastAsia="Arial" w:hAnsi="Arial"/>
          <w:sz w:val="18"/>
          <w:szCs w:val="18"/>
          <w:color w:val="auto"/>
        </w:rPr>
        <w:t>”) relating to the use, storage, handling, treatment,</w:t>
      </w:r>
    </w:p>
    <w:p>
      <w:pPr>
        <w:spacing w:after="0" w:line="235" w:lineRule="auto"/>
        <w:rPr>
          <w:sz w:val="20"/>
          <w:szCs w:val="20"/>
          <w:color w:val="auto"/>
        </w:rPr>
      </w:pPr>
      <w:r>
        <w:rPr>
          <w:rFonts w:ascii="Arial" w:cs="Arial" w:eastAsia="Arial" w:hAnsi="Arial"/>
          <w:sz w:val="18"/>
          <w:szCs w:val="18"/>
          <w:color w:val="auto"/>
        </w:rPr>
        <w:t>generation, release or disposal of Hazardous Materials prior to the Commencement Date, or if unavailable at that time, concurrent with the</w:t>
      </w:r>
    </w:p>
    <w:p>
      <w:pPr>
        <w:spacing w:after="0" w:line="234" w:lineRule="auto"/>
        <w:rPr>
          <w:sz w:val="20"/>
          <w:szCs w:val="20"/>
          <w:color w:val="auto"/>
        </w:rPr>
      </w:pPr>
      <w:r>
        <w:rPr>
          <w:rFonts w:ascii="Arial" w:cs="Arial" w:eastAsia="Arial" w:hAnsi="Arial"/>
          <w:sz w:val="18"/>
          <w:szCs w:val="18"/>
          <w:color w:val="auto"/>
        </w:rPr>
        <w:t>receipt from or submission to a Governmental Authority: permits; approvals; reports and correspondence; storage and management plans,</w:t>
      </w:r>
    </w:p>
    <w:p>
      <w:pPr>
        <w:spacing w:after="0" w:line="235" w:lineRule="auto"/>
        <w:rPr>
          <w:sz w:val="20"/>
          <w:szCs w:val="20"/>
          <w:color w:val="auto"/>
        </w:rPr>
      </w:pPr>
      <w:r>
        <w:rPr>
          <w:rFonts w:ascii="Arial" w:cs="Arial" w:eastAsia="Arial" w:hAnsi="Arial"/>
          <w:sz w:val="18"/>
          <w:szCs w:val="18"/>
          <w:color w:val="auto"/>
        </w:rPr>
        <w:t>notice of violations of any Legal Requirements; plans relating to the installation of any storage tanks to be installed in or under the Project</w:t>
      </w:r>
    </w:p>
    <w:p>
      <w:pPr>
        <w:spacing w:after="0" w:line="235" w:lineRule="auto"/>
        <w:rPr>
          <w:sz w:val="20"/>
          <w:szCs w:val="20"/>
          <w:color w:val="auto"/>
        </w:rPr>
      </w:pPr>
      <w:r>
        <w:rPr>
          <w:rFonts w:ascii="Arial" w:cs="Arial" w:eastAsia="Arial" w:hAnsi="Arial"/>
          <w:sz w:val="18"/>
          <w:szCs w:val="18"/>
          <w:color w:val="auto"/>
        </w:rPr>
        <w:t>(provided, said installation of tanks shall only be permitted after Landlord has given Tenant its written consent to do so, which consent may</w:t>
      </w:r>
    </w:p>
    <w:p>
      <w:pPr>
        <w:spacing w:after="0" w:line="235" w:lineRule="auto"/>
        <w:rPr>
          <w:sz w:val="20"/>
          <w:szCs w:val="20"/>
          <w:color w:val="auto"/>
        </w:rPr>
      </w:pPr>
      <w:r>
        <w:rPr>
          <w:rFonts w:ascii="Arial" w:cs="Arial" w:eastAsia="Arial" w:hAnsi="Arial"/>
          <w:sz w:val="18"/>
          <w:szCs w:val="18"/>
          <w:color w:val="auto"/>
        </w:rPr>
        <w:t>be withheld in Landlord’s sole and absolute discretion); all closure plans or any other documents required by any and all federal, state and</w:t>
      </w:r>
    </w:p>
    <w:p>
      <w:pPr>
        <w:spacing w:after="0" w:line="235" w:lineRule="auto"/>
        <w:rPr>
          <w:sz w:val="20"/>
          <w:szCs w:val="20"/>
          <w:color w:val="auto"/>
        </w:rPr>
      </w:pPr>
      <w:r>
        <w:rPr>
          <w:rFonts w:ascii="Arial" w:cs="Arial" w:eastAsia="Arial" w:hAnsi="Arial"/>
          <w:sz w:val="18"/>
          <w:szCs w:val="18"/>
          <w:color w:val="auto"/>
        </w:rPr>
        <w:t>local Governmental Authorities for any storage tanks installed in, on or under the Project for the closure of any such tanks; and a</w:t>
      </w:r>
    </w:p>
    <w:p>
      <w:pPr>
        <w:spacing w:after="0" w:line="234" w:lineRule="auto"/>
        <w:rPr>
          <w:sz w:val="20"/>
          <w:szCs w:val="20"/>
          <w:color w:val="auto"/>
        </w:rPr>
      </w:pPr>
      <w:r>
        <w:rPr>
          <w:rFonts w:ascii="Arial" w:cs="Arial" w:eastAsia="Arial" w:hAnsi="Arial"/>
          <w:sz w:val="18"/>
          <w:szCs w:val="18"/>
          <w:color w:val="auto"/>
        </w:rPr>
        <w:t xml:space="preserve">Decommissioning and HazMat Closure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w:t>
      </w:r>
    </w:p>
    <w:p>
      <w:pPr>
        <w:spacing w:after="0" w:line="235" w:lineRule="auto"/>
        <w:rPr>
          <w:sz w:val="20"/>
          <w:szCs w:val="20"/>
          <w:color w:val="auto"/>
        </w:rPr>
      </w:pPr>
      <w:r>
        <w:rPr>
          <w:rFonts w:ascii="Arial" w:cs="Arial" w:eastAsia="Arial" w:hAnsi="Arial"/>
          <w:sz w:val="18"/>
          <w:szCs w:val="18"/>
          <w:color w:val="auto"/>
        </w:rPr>
        <w:t>months).  Tenant is not required, however, to provide Landlord with any portion(s) of the Haz Mat Documents containing information of a</w:t>
      </w:r>
    </w:p>
    <w:p>
      <w:pPr>
        <w:spacing w:after="0" w:line="235" w:lineRule="auto"/>
        <w:rPr>
          <w:sz w:val="20"/>
          <w:szCs w:val="20"/>
          <w:color w:val="auto"/>
        </w:rPr>
      </w:pPr>
      <w:r>
        <w:rPr>
          <w:rFonts w:ascii="Arial" w:cs="Arial" w:eastAsia="Arial" w:hAnsi="Arial"/>
          <w:sz w:val="18"/>
          <w:szCs w:val="18"/>
          <w:color w:val="auto"/>
        </w:rPr>
        <w:t>proprietary nature which, in and of themselves, do not contain a reference to any Hazardous Materials or hazardous activities. It is not the</w:t>
      </w:r>
    </w:p>
    <w:p>
      <w:pPr>
        <w:spacing w:after="0" w:line="235" w:lineRule="auto"/>
        <w:rPr>
          <w:sz w:val="20"/>
          <w:szCs w:val="20"/>
          <w:color w:val="auto"/>
        </w:rPr>
      </w:pPr>
      <w:r>
        <w:rPr>
          <w:rFonts w:ascii="Arial" w:cs="Arial" w:eastAsia="Arial" w:hAnsi="Arial"/>
          <w:sz w:val="18"/>
          <w:szCs w:val="18"/>
          <w:color w:val="auto"/>
        </w:rPr>
        <w:t>intent of this Section to provide Landlord with information which could be detrimental to Tenant’s business should such information become</w:t>
      </w:r>
    </w:p>
    <w:p>
      <w:pPr>
        <w:spacing w:after="0"/>
        <w:rPr>
          <w:sz w:val="20"/>
          <w:szCs w:val="20"/>
          <w:color w:val="auto"/>
        </w:rPr>
      </w:pPr>
      <w:r>
        <w:rPr>
          <w:rFonts w:ascii="Arial" w:cs="Arial" w:eastAsia="Arial" w:hAnsi="Arial"/>
          <w:sz w:val="18"/>
          <w:szCs w:val="18"/>
          <w:color w:val="auto"/>
        </w:rPr>
        <w:t>possessed by Tenant’s competitors.</w:t>
      </w:r>
    </w:p>
    <w:p>
      <w:pPr>
        <w:spacing w:after="0" w:line="194" w:lineRule="exact"/>
        <w:rPr>
          <w:sz w:val="20"/>
          <w:szCs w:val="20"/>
          <w:color w:val="auto"/>
        </w:rPr>
      </w:pPr>
    </w:p>
    <w:p>
      <w:pPr>
        <w:jc w:val="both"/>
        <w:ind w:firstLine="8"/>
        <w:spacing w:after="0"/>
        <w:tabs>
          <w:tab w:leader="none" w:pos="85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Tenant Representation and Warranty</w:t>
      </w:r>
      <w:r>
        <w:rPr>
          <w:rFonts w:ascii="Arial" w:cs="Arial" w:eastAsia="Arial" w:hAnsi="Arial"/>
          <w:sz w:val="18"/>
          <w:szCs w:val="18"/>
          <w:color w:val="auto"/>
        </w:rPr>
        <w:t>. Tenant hereby represents and warrants to Landlord that (i) neither Tenant nor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80" w:lineRule="exact"/>
        <w:rPr>
          <w:rFonts w:ascii="Arial" w:cs="Arial" w:eastAsia="Arial" w:hAnsi="Arial"/>
          <w:sz w:val="18"/>
          <w:szCs w:val="18"/>
          <w:color w:val="auto"/>
        </w:rPr>
      </w:pPr>
    </w:p>
    <w:p>
      <w:pPr>
        <w:jc w:val="both"/>
        <w:ind w:firstLine="8"/>
        <w:spacing w:after="0" w:line="237" w:lineRule="auto"/>
        <w:tabs>
          <w:tab w:leader="none" w:pos="86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Landlord shall have the right to conduct annual tests of the Premises to determine whether any contamination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or the Project has occurred as a result of Tenant’s use. Tenant shall be required to pay the cost of such annual test of the Premises if there is a violation of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or if contamination for which Tenant is responsible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87" w:lineRule="exact"/>
        <w:rPr>
          <w:rFonts w:ascii="Arial" w:cs="Arial" w:eastAsia="Arial" w:hAnsi="Arial"/>
          <w:sz w:val="18"/>
          <w:szCs w:val="18"/>
          <w:color w:val="auto"/>
        </w:rPr>
      </w:pPr>
    </w:p>
    <w:p>
      <w:pPr>
        <w:jc w:val="both"/>
        <w:ind w:firstLine="8"/>
        <w:spacing w:after="0" w:line="253" w:lineRule="auto"/>
        <w:tabs>
          <w:tab w:leader="none" w:pos="86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Control Areas</w:t>
      </w:r>
      <w:r>
        <w:rPr>
          <w:rFonts w:ascii="Arial" w:cs="Arial" w:eastAsia="Arial" w:hAnsi="Arial"/>
          <w:sz w:val="18"/>
          <w:szCs w:val="18"/>
          <w:color w:val="auto"/>
        </w:rPr>
        <w:t>. Tenant shall be allowed to utilize up to its pro rata share of the Hazardous Materials inventory within any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area or zone (located within the Premises), as designated by the applicable building code, for chemical use or storage. As used in the preceding sentence, Tenant’s pro rata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any control areas or zones located within the Premises shall be determined based on the rentable square footage that Tenant leases within</w:t>
      </w:r>
    </w:p>
    <w:p>
      <w:pPr>
        <w:spacing w:after="0" w:line="234" w:lineRule="auto"/>
        <w:rPr>
          <w:sz w:val="20"/>
          <w:szCs w:val="20"/>
          <w:color w:val="auto"/>
        </w:rPr>
      </w:pPr>
      <w:r>
        <w:rPr>
          <w:rFonts w:ascii="Arial" w:cs="Arial" w:eastAsia="Arial" w:hAnsi="Arial"/>
          <w:sz w:val="18"/>
          <w:szCs w:val="18"/>
          <w:color w:val="auto"/>
        </w:rPr>
        <w:t>the applicable control area or zone. For purposes of example only, if a control area or zone contains 10,000 rentable square feet and 2,000</w:t>
      </w:r>
    </w:p>
    <w:p>
      <w:pPr>
        <w:spacing w:after="0" w:line="235" w:lineRule="auto"/>
        <w:rPr>
          <w:sz w:val="20"/>
          <w:szCs w:val="20"/>
          <w:color w:val="auto"/>
        </w:rPr>
      </w:pPr>
      <w:r>
        <w:rPr>
          <w:rFonts w:ascii="Arial" w:cs="Arial" w:eastAsia="Arial" w:hAnsi="Arial"/>
          <w:sz w:val="18"/>
          <w:szCs w:val="18"/>
          <w:color w:val="auto"/>
        </w:rPr>
        <w:t>rentable square feet of a tenant’s premises are located within such control area or zone (while such premises as a whole contains 5,000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rentable square feet), the applicable tenant’s pro rata share of such control area would be 20%.</w:t>
      </w:r>
    </w:p>
    <w:p>
      <w:pPr>
        <w:spacing w:after="0" w:line="194" w:lineRule="exact"/>
        <w:rPr>
          <w:sz w:val="20"/>
          <w:szCs w:val="20"/>
          <w:color w:val="auto"/>
        </w:rPr>
      </w:pPr>
    </w:p>
    <w:p>
      <w:pPr>
        <w:jc w:val="both"/>
        <w:ind w:firstLine="8"/>
        <w:spacing w:after="0" w:line="242" w:lineRule="auto"/>
        <w:tabs>
          <w:tab w:leader="none" w:pos="818"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Storage Tanks</w:t>
      </w:r>
      <w:r>
        <w:rPr>
          <w:rFonts w:ascii="Arial" w:cs="Arial" w:eastAsia="Arial" w:hAnsi="Arial"/>
          <w:sz w:val="18"/>
          <w:szCs w:val="18"/>
          <w:color w:val="auto"/>
        </w:rPr>
        <w:t>. If storage tanks storing Hazardous Materials located on the Premises or the Project are used by Tenant or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placed on the Premises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78" w:lineRule="exact"/>
        <w:rPr>
          <w:rFonts w:ascii="Arial" w:cs="Arial" w:eastAsia="Arial" w:hAnsi="Arial"/>
          <w:sz w:val="18"/>
          <w:szCs w:val="18"/>
          <w:color w:val="auto"/>
        </w:rPr>
      </w:pPr>
    </w:p>
    <w:p>
      <w:pPr>
        <w:jc w:val="both"/>
        <w:ind w:firstLine="8"/>
        <w:spacing w:after="0" w:line="242" w:lineRule="auto"/>
        <w:tabs>
          <w:tab w:leader="none" w:pos="868"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178" w:lineRule="exact"/>
        <w:rPr>
          <w:rFonts w:ascii="Arial" w:cs="Arial" w:eastAsia="Arial" w:hAnsi="Arial"/>
          <w:sz w:val="18"/>
          <w:szCs w:val="18"/>
          <w:color w:val="auto"/>
        </w:rPr>
      </w:pPr>
    </w:p>
    <w:p>
      <w:pPr>
        <w:jc w:val="both"/>
        <w:ind w:firstLine="8"/>
        <w:spacing w:after="0" w:line="238" w:lineRule="auto"/>
        <w:tabs>
          <w:tab w:leader="none" w:pos="868"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 statutes,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6" w:lineRule="exact"/>
        <w:rPr>
          <w:sz w:val="20"/>
          <w:szCs w:val="20"/>
          <w:color w:val="auto"/>
        </w:rPr>
      </w:pPr>
    </w:p>
    <w:p>
      <w:pPr>
        <w:jc w:val="both"/>
        <w:ind w:firstLine="8"/>
        <w:spacing w:after="0" w:line="239" w:lineRule="auto"/>
        <w:tabs>
          <w:tab w:leader="none" w:pos="89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 to perform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83"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29</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but such obligations shall be binding during the Term upon each new owner for the duration of such owner’s ownership.</w:t>
      </w:r>
    </w:p>
    <w:p>
      <w:pPr>
        <w:spacing w:after="0" w:line="194" w:lineRule="exact"/>
        <w:rPr>
          <w:sz w:val="20"/>
          <w:szCs w:val="20"/>
          <w:color w:val="auto"/>
        </w:rPr>
      </w:pPr>
    </w:p>
    <w:p>
      <w:pPr>
        <w:jc w:val="both"/>
        <w:ind w:firstLine="8"/>
        <w:spacing w:after="0" w:line="238"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Landlord’s agents, representatives and contractors may enter the Premises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reasonable business purpose. Landlord shall use reasonable efforts to minimize interruption of Tenant’s business during such inspections or repairs.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85" w:lineRule="exact"/>
        <w:rPr>
          <w:rFonts w:ascii="Arial" w:cs="Arial" w:eastAsia="Arial" w:hAnsi="Arial"/>
          <w:sz w:val="18"/>
          <w:szCs w:val="18"/>
          <w:color w:val="auto"/>
        </w:rPr>
      </w:pPr>
    </w:p>
    <w:p>
      <w:pPr>
        <w:jc w:val="both"/>
        <w:ind w:firstLine="8"/>
        <w:spacing w:after="0"/>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w:t>
      </w:r>
      <w:r>
        <w:rPr>
          <w:rFonts w:ascii="Arial" w:cs="Arial" w:eastAsia="Arial" w:hAnsi="Arial"/>
          <w:sz w:val="18"/>
          <w:szCs w:val="18"/>
          <w:b w:val="1"/>
          <w:bCs w:val="1"/>
          <w:color w:val="auto"/>
        </w:rPr>
        <w:t xml:space="preserve"> </w:t>
      </w:r>
      <w:r>
        <w:rPr>
          <w:rFonts w:ascii="Arial" w:cs="Arial" w:eastAsia="Arial" w:hAnsi="Arial"/>
          <w:sz w:val="18"/>
          <w:szCs w:val="18"/>
          <w:color w:val="auto"/>
        </w:rPr>
        <w:t>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EVEN IF SUCH CLAIM IS CAUSED SOLELY OR IN PART BY THE NEGLIGENCE OF ANY LANDLORD INDEMNIFIED PARTY.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80" w:lineRule="exact"/>
        <w:rPr>
          <w:rFonts w:ascii="Arial" w:cs="Arial" w:eastAsia="Arial" w:hAnsi="Arial"/>
          <w:sz w:val="18"/>
          <w:szCs w:val="18"/>
          <w:color w:val="auto"/>
        </w:rPr>
      </w:pPr>
    </w:p>
    <w:p>
      <w:pPr>
        <w:jc w:val="both"/>
        <w:ind w:firstLine="8"/>
        <w:spacing w:after="0" w:line="242"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the payment of Rent, neither Tenant nor Landlord shall be responsible or liable for delays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local, regional or national pandemic or epidemic and other similar causes or events beyond their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firstLine="8"/>
        <w:spacing w:after="0" w:line="242"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Transwestern. Landlord and Tenant each hereby agree to indemnify and hold the other harmless from and against any claims by any Broker, other than Transwestern, claiming a commission or other form of compensation by virtue of having dealt with Tenant or Landlord, as applicable, with regard to this leasing transaction. Landlord shall be responsible for all commissions due to Transwestern arising out of the execution of this Lease in accordance with the terms of a separate written agreement between Transwestern and Landlord.</w:t>
      </w:r>
    </w:p>
    <w:p>
      <w:pPr>
        <w:spacing w:after="0" w:line="178" w:lineRule="exact"/>
        <w:rPr>
          <w:rFonts w:ascii="Arial" w:cs="Arial" w:eastAsia="Arial" w:hAnsi="Arial"/>
          <w:sz w:val="18"/>
          <w:szCs w:val="18"/>
          <w:color w:val="auto"/>
        </w:rPr>
      </w:pPr>
    </w:p>
    <w:p>
      <w:pPr>
        <w:jc w:val="both"/>
        <w:ind w:firstLine="8"/>
        <w:spacing w:after="0" w:line="244" w:lineRule="auto"/>
        <w:tabs>
          <w:tab w:leader="none" w:pos="89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SCIENTIFIC  RESEARCH,  SCIENTIFIC  EXPERIMENTS,  LABORATORY  ANIMALS,  PRODUCT,  SPECIMENS,  SAMPLES,  AND/OR</w:t>
      </w:r>
    </w:p>
    <w:p>
      <w:pPr>
        <w:spacing w:after="0" w:line="234" w:lineRule="auto"/>
        <w:rPr>
          <w:sz w:val="20"/>
          <w:szCs w:val="20"/>
          <w:color w:val="auto"/>
        </w:rPr>
      </w:pPr>
      <w:r>
        <w:rPr>
          <w:rFonts w:ascii="Arial" w:cs="Arial" w:eastAsia="Arial" w:hAnsi="Arial"/>
          <w:sz w:val="18"/>
          <w:szCs w:val="18"/>
          <w:color w:val="auto"/>
        </w:rPr>
        <w:t>SCIENTIFIC, BUSINESS, ACCOUNTING AND OTHER RECORDS OF EVERY KIND AND DESCRIPTION KEPT AT THE PREMISES AND</w:t>
      </w:r>
    </w:p>
    <w:p>
      <w:pPr>
        <w:spacing w:after="0" w:line="235" w:lineRule="auto"/>
        <w:rPr>
          <w:sz w:val="20"/>
          <w:szCs w:val="20"/>
          <w:color w:val="auto"/>
        </w:rPr>
      </w:pPr>
      <w:r>
        <w:rPr>
          <w:rFonts w:ascii="Arial" w:cs="Arial" w:eastAsia="Arial" w:hAnsi="Arial"/>
          <w:sz w:val="18"/>
          <w:szCs w:val="18"/>
          <w:color w:val="auto"/>
        </w:rPr>
        <w:t>ANY AND ALL INCOME DERIVED OR DERIVABLE THEREFROM EVEN IF SUCH LOSS, DAMAGE OR INJURY IS CAUSED SOLELY OR</w:t>
      </w:r>
    </w:p>
    <w:p>
      <w:pPr>
        <w:spacing w:after="0" w:line="235" w:lineRule="auto"/>
        <w:rPr>
          <w:sz w:val="20"/>
          <w:szCs w:val="20"/>
          <w:color w:val="auto"/>
        </w:rPr>
      </w:pPr>
      <w:r>
        <w:rPr>
          <w:rFonts w:ascii="Arial" w:cs="Arial" w:eastAsia="Arial" w:hAnsi="Arial"/>
          <w:sz w:val="18"/>
          <w:szCs w:val="18"/>
          <w:color w:val="auto"/>
        </w:rPr>
        <w:t>IN PARY BY THE NEGLIGENCE OF ANY LANDLORD INDEMNIFIED PARTY; (B) THERE SHALL BE NO PERSONAL RECOURSE TO</w:t>
      </w:r>
    </w:p>
    <w:p>
      <w:pPr>
        <w:spacing w:after="0" w:line="235" w:lineRule="auto"/>
        <w:rPr>
          <w:sz w:val="20"/>
          <w:szCs w:val="20"/>
          <w:color w:val="auto"/>
        </w:rPr>
      </w:pPr>
      <w:r>
        <w:rPr>
          <w:rFonts w:ascii="Arial" w:cs="Arial" w:eastAsia="Arial" w:hAnsi="Arial"/>
          <w:sz w:val="18"/>
          <w:szCs w:val="18"/>
          <w:color w:val="auto"/>
        </w:rPr>
        <w:t>LANDLORD FOR ANY ACT OR OCCURRENCE IN, ON OR ABOUT THE PREMISES OR ARISING IN ANY WAY UNDER THIS LEASE OR</w:t>
      </w:r>
    </w:p>
    <w:p>
      <w:pPr>
        <w:spacing w:after="0" w:line="235" w:lineRule="auto"/>
        <w:rPr>
          <w:sz w:val="20"/>
          <w:szCs w:val="20"/>
          <w:color w:val="auto"/>
        </w:rPr>
      </w:pPr>
      <w:r>
        <w:rPr>
          <w:rFonts w:ascii="Arial" w:cs="Arial" w:eastAsia="Arial" w:hAnsi="Arial"/>
          <w:sz w:val="18"/>
          <w:szCs w:val="18"/>
          <w:color w:val="auto"/>
        </w:rPr>
        <w:t>ANY OTHER AGREEMENT BETWEEN LANDLORD AND TENANT WITH RESPECT TO THE SUBJECT MATTER HEREOF AND ANY</w:t>
      </w:r>
    </w:p>
    <w:p>
      <w:pPr>
        <w:spacing w:after="0" w:line="234" w:lineRule="auto"/>
        <w:rPr>
          <w:sz w:val="20"/>
          <w:szCs w:val="20"/>
          <w:color w:val="auto"/>
        </w:rPr>
      </w:pPr>
      <w:r>
        <w:rPr>
          <w:rFonts w:ascii="Arial" w:cs="Arial" w:eastAsia="Arial" w:hAnsi="Arial"/>
          <w:sz w:val="18"/>
          <w:szCs w:val="18"/>
          <w:color w:val="auto"/>
        </w:rPr>
        <w:t>LIABILITY OF LANDLORD HEREUNDER SHALL BE STRICTLY LIMITED SOLELY TO LANDLORD’S INTEREST IN THE PROJECT OR</w:t>
      </w:r>
    </w:p>
    <w:p>
      <w:pPr>
        <w:spacing w:after="0" w:line="235" w:lineRule="auto"/>
        <w:rPr>
          <w:sz w:val="20"/>
          <w:szCs w:val="20"/>
          <w:color w:val="auto"/>
        </w:rPr>
      </w:pPr>
      <w:r>
        <w:rPr>
          <w:rFonts w:ascii="Arial" w:cs="Arial" w:eastAsia="Arial" w:hAnsi="Arial"/>
          <w:sz w:val="18"/>
          <w:szCs w:val="18"/>
          <w:color w:val="auto"/>
        </w:rPr>
        <w:t>ANY PROCEEDS FROM SALE OR CONDEMNATION THEREOF AND ANY INSURANCE PROCEEDS PAYABLE IN RESPECT OF</w:t>
      </w:r>
    </w:p>
    <w:p>
      <w:pPr>
        <w:spacing w:after="0" w:line="235" w:lineRule="auto"/>
        <w:rPr>
          <w:sz w:val="20"/>
          <w:szCs w:val="20"/>
          <w:color w:val="auto"/>
        </w:rPr>
      </w:pPr>
      <w:r>
        <w:rPr>
          <w:rFonts w:ascii="Arial" w:cs="Arial" w:eastAsia="Arial" w:hAnsi="Arial"/>
          <w:sz w:val="18"/>
          <w:szCs w:val="18"/>
          <w:color w:val="auto"/>
        </w:rPr>
        <w:t>LANDLORD’S INTEREST IN THE PROJECT OR IN CONNECTION WITH ANY SUCH LOSS; AND (C) IN NO EVENT SHALL ANY</w:t>
      </w:r>
    </w:p>
    <w:p>
      <w:pPr>
        <w:spacing w:after="0" w:line="235" w:lineRule="auto"/>
        <w:rPr>
          <w:sz w:val="20"/>
          <w:szCs w:val="20"/>
          <w:color w:val="auto"/>
        </w:rPr>
      </w:pPr>
      <w:r>
        <w:rPr>
          <w:rFonts w:ascii="Arial" w:cs="Arial" w:eastAsia="Arial" w:hAnsi="Arial"/>
          <w:sz w:val="18"/>
          <w:szCs w:val="18"/>
          <w:color w:val="auto"/>
        </w:rPr>
        <w:t>PERSONAL LIABILITY BE ASSERTED AGAINST LANDLORD IN CONNECTION WITH THIS LEASE NOR SHALL ANY RECOURSE BE</w:t>
      </w:r>
    </w:p>
    <w:p>
      <w:pPr>
        <w:spacing w:after="0" w:line="235" w:lineRule="auto"/>
        <w:rPr>
          <w:sz w:val="20"/>
          <w:szCs w:val="20"/>
          <w:color w:val="auto"/>
        </w:rPr>
      </w:pPr>
      <w:r>
        <w:rPr>
          <w:rFonts w:ascii="Arial" w:cs="Arial" w:eastAsia="Arial" w:hAnsi="Arial"/>
          <w:sz w:val="18"/>
          <w:szCs w:val="18"/>
          <w:color w:val="auto"/>
        </w:rPr>
        <w:t>HAD TO ANY OTHER PROPERTY OR ASSETS OF LANDLORD OR ANY OF LANDLORD’S OFFICERS, DIRECTORS, EMPLOYEES,</w:t>
      </w:r>
    </w:p>
    <w:p>
      <w:pPr>
        <w:spacing w:after="0" w:line="234" w:lineRule="auto"/>
        <w:tabs>
          <w:tab w:leader="none" w:pos="2980" w:val="left"/>
        </w:tabs>
        <w:rPr>
          <w:sz w:val="20"/>
          <w:szCs w:val="20"/>
          <w:color w:val="auto"/>
        </w:rPr>
      </w:pPr>
      <w:r>
        <w:rPr>
          <w:rFonts w:ascii="Arial" w:cs="Arial" w:eastAsia="Arial" w:hAnsi="Arial"/>
          <w:sz w:val="18"/>
          <w:szCs w:val="18"/>
          <w:color w:val="auto"/>
        </w:rPr>
        <w:t>AGENTS  OR  CONTRACTORS.</w:t>
        <w:tab/>
        <w:t>UNDER  NO  CIRCUMSTANCES  SHALL  LANDLORD  OR  ANY  OF  LANDLORD’S  OFFICERS,</w:t>
      </w:r>
    </w:p>
    <w:p>
      <w:pPr>
        <w:spacing w:after="0" w:line="235" w:lineRule="auto"/>
        <w:rPr>
          <w:sz w:val="20"/>
          <w:szCs w:val="20"/>
          <w:color w:val="auto"/>
        </w:rPr>
      </w:pPr>
      <w:r>
        <w:rPr>
          <w:rFonts w:ascii="Arial" w:cs="Arial" w:eastAsia="Arial" w:hAnsi="Arial"/>
          <w:sz w:val="18"/>
          <w:szCs w:val="18"/>
          <w:color w:val="auto"/>
        </w:rPr>
        <w:t>DIRECTORS, EMPLOYEES, AGENTS OR CONTRACTORS BE LIABLE FOR INJURY TO TENANT’S BUSINESS OR FOR ANY LOSS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OR PROFIT THEREFROM.</w:t>
      </w:r>
    </w:p>
    <w:p>
      <w:pPr>
        <w:spacing w:after="0" w:line="19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color w:val="auto"/>
        </w:rPr>
        <w:t>Tenant acknowledges and agrees that measures and/or services implemented at the Project, if any, intended to encourage social distancing, promote and protect health and physical well-being and/or intended to limit the spread of Infectious Conditions, may not prevent the spread of such Infectious Conditions. Neither Landlord nor any Landlord Indemnified Parties shall have any liability and Tenant waives any claims against Landlord and the Landlord Indemnified Parties with respect to any loss, damage or injury in connection with (x) the implementation, or failure of Landlord or any Landlord Indemnified Parties to implement, any measures and/or services at the Project intended to encourage social distancing, promote and protect health and physical well-being and/or intended to limit the spread of Infectious Conditions, or (y) the failure of any measures and/or services implemented at the Project, if any, to limit the spread of any Infections Conditions, EVEN IF SUCH LOSS, DAMAGE OR INJURY IS CAUSED SOLELY OR IN PART BY THE NEGLIGENCE OF ANY LANDLORD INDEMNIFIED PARTY.</w:t>
      </w:r>
    </w:p>
    <w:p>
      <w:pPr>
        <w:spacing w:after="0" w:line="183" w:lineRule="exact"/>
        <w:rPr>
          <w:sz w:val="20"/>
          <w:szCs w:val="20"/>
          <w:color w:val="auto"/>
        </w:rPr>
      </w:pPr>
    </w:p>
    <w:p>
      <w:pPr>
        <w:jc w:val="both"/>
        <w:ind w:firstLine="8"/>
        <w:spacing w:after="0" w:line="244" w:lineRule="auto"/>
        <w:tabs>
          <w:tab w:leader="none" w:pos="898"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 then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jc w:val="both"/>
        <w:ind w:firstLine="8"/>
        <w:spacing w:after="0" w:line="238" w:lineRule="auto"/>
        <w:tabs>
          <w:tab w:leader="none" w:pos="898"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 granted or withheld in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reasonable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Suite entry signage shall be inscribed, painted or affixed for Tenant by Landlord at the sole cost and expense of Landlord, and shall be of a size, color and type acceptable to Landlord. Landlord shall also include Tenant’s name and location on the Building lobby directory (to the extent Landlord maintains a lobby directory). Nothing may be placed on the exterior of corridor walls or corridor doors other than Landlord’s standard lettering. The lobby directory shall be provided exclusively for the display of the name and location of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31</w:t>
      </w:r>
    </w:p>
    <w:p>
      <w:pPr>
        <w:spacing w:after="0" w:line="13" w:lineRule="exact"/>
        <w:rPr>
          <w:sz w:val="20"/>
          <w:szCs w:val="20"/>
          <w:color w:val="auto"/>
        </w:rPr>
      </w:pPr>
    </w:p>
    <w:p>
      <w:pPr>
        <w:ind w:left="900" w:hanging="892"/>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Right to Expand</w:t>
      </w:r>
      <w:r>
        <w:rPr>
          <w:rFonts w:ascii="Arial" w:cs="Arial" w:eastAsia="Arial" w:hAnsi="Arial"/>
          <w:sz w:val="18"/>
          <w:szCs w:val="18"/>
          <w:color w:val="auto"/>
        </w:rPr>
        <w:t>.</w:t>
      </w:r>
    </w:p>
    <w:p>
      <w:pPr>
        <w:spacing w:after="0" w:line="194" w:lineRule="exact"/>
        <w:rPr>
          <w:sz w:val="20"/>
          <w:szCs w:val="20"/>
          <w:color w:val="auto"/>
        </w:rPr>
      </w:pPr>
    </w:p>
    <w:p>
      <w:pPr>
        <w:jc w:val="both"/>
        <w:ind w:firstLine="8"/>
        <w:spacing w:after="0" w:line="239" w:lineRule="auto"/>
        <w:tabs>
          <w:tab w:leader="none" w:pos="86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Right of First Offer</w:t>
      </w:r>
      <w:r>
        <w:rPr>
          <w:rFonts w:ascii="Arial" w:cs="Arial" w:eastAsia="Arial" w:hAnsi="Arial"/>
          <w:sz w:val="18"/>
          <w:szCs w:val="18"/>
          <w:color w:val="auto"/>
        </w:rPr>
        <w:t>. Commencing upon the execution of this Lease, Landlord shall, the first time prior to offering all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remaining space in Building 100 (any such space, the “</w:t>
      </w:r>
      <w:r>
        <w:rPr>
          <w:rFonts w:ascii="Arial" w:cs="Arial" w:eastAsia="Arial" w:hAnsi="Arial"/>
          <w:sz w:val="18"/>
          <w:szCs w:val="18"/>
          <w:b w:val="1"/>
          <w:bCs w:val="1"/>
          <w:color w:val="auto"/>
        </w:rPr>
        <w:t>ROFO Space</w:t>
      </w:r>
      <w:r>
        <w:rPr>
          <w:rFonts w:ascii="Arial" w:cs="Arial" w:eastAsia="Arial" w:hAnsi="Arial"/>
          <w:sz w:val="18"/>
          <w:szCs w:val="18"/>
          <w:color w:val="auto"/>
        </w:rPr>
        <w:t>”) for lease, first offer to lease the ROFO Space to Tenant and such offer shall be (i) in writing and delivered to Tenant (such offer being a “</w:t>
      </w:r>
      <w:r>
        <w:rPr>
          <w:rFonts w:ascii="Arial" w:cs="Arial" w:eastAsia="Arial" w:hAnsi="Arial"/>
          <w:sz w:val="18"/>
          <w:szCs w:val="18"/>
          <w:b w:val="1"/>
          <w:bCs w:val="1"/>
          <w:color w:val="auto"/>
        </w:rPr>
        <w:t>ROFO Notice</w:t>
      </w:r>
      <w:r>
        <w:rPr>
          <w:rFonts w:ascii="Arial" w:cs="Arial" w:eastAsia="Arial" w:hAnsi="Arial"/>
          <w:sz w:val="18"/>
          <w:szCs w:val="18"/>
          <w:color w:val="auto"/>
        </w:rPr>
        <w:t>”) and (ii) for a term of a reasonable length and be on then current market rental terms for such term, all as reasonably determined by Landlord based on the use for which the space is being offered. Tenant shall notify Landlord in writing (“</w:t>
      </w:r>
      <w:r>
        <w:rPr>
          <w:rFonts w:ascii="Arial" w:cs="Arial" w:eastAsia="Arial" w:hAnsi="Arial"/>
          <w:sz w:val="18"/>
          <w:szCs w:val="18"/>
          <w:b w:val="1"/>
          <w:bCs w:val="1"/>
          <w:color w:val="auto"/>
        </w:rPr>
        <w:t>Exercise Notice</w:t>
      </w:r>
      <w:r>
        <w:rPr>
          <w:rFonts w:ascii="Arial" w:cs="Arial" w:eastAsia="Arial" w:hAnsi="Arial"/>
          <w:sz w:val="18"/>
          <w:szCs w:val="18"/>
          <w:color w:val="auto"/>
        </w:rPr>
        <w:t>”) whether Tenant elects to lease all or any portion of the ROFO Space on the terms set forth in the applicable ROFO Notice within 10 business days after the receipt by Tenant of the ROFO Notice. Tenant’s right to elect to lease only a portion of the ROFO Space offered to Tenant is expressly subject to such portion of the ROFO Space being acceptable to Landlord in its good faith sole discretion (i.e., if Tenant elects to lease only a portion of the ROFO Space, the balance of the space that was offered but rejected would still be reasonably leasable by Landlord on the same market terms).</w:t>
      </w:r>
    </w:p>
    <w:p>
      <w:pPr>
        <w:spacing w:after="0" w:line="183" w:lineRule="exact"/>
        <w:rPr>
          <w:rFonts w:ascii="Arial" w:cs="Arial" w:eastAsia="Arial" w:hAnsi="Arial"/>
          <w:sz w:val="18"/>
          <w:szCs w:val="18"/>
          <w:color w:val="auto"/>
        </w:rPr>
      </w:pPr>
    </w:p>
    <w:p>
      <w:pPr>
        <w:jc w:val="both"/>
        <w:ind w:firstLine="8"/>
        <w:spacing w:after="0" w:line="244" w:lineRule="auto"/>
        <w:tabs>
          <w:tab w:leader="none" w:pos="86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(i) Tenant fails to timely deliver an Exercise Notice, or (ii) after the expiration of a period of 20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delivery to Tenant of a lease amendment for Tenant’s lease of the ROFO Space, no lease amendment for such applicable space acceptable to both parties each in their reasonable discretion after using diligent good faith efforts to negotiate the same, has been executed, Tenant shall, notwithstanding anything to the contrary contained herein, be deemed to have forever waived its right to lease the ROFO Space and the terms of this Section 39 shall thereafter be of no further force or effect.</w:t>
      </w:r>
    </w:p>
    <w:p>
      <w:pPr>
        <w:spacing w:after="0" w:line="176" w:lineRule="exact"/>
        <w:rPr>
          <w:rFonts w:ascii="Arial" w:cs="Arial" w:eastAsia="Arial" w:hAnsi="Arial"/>
          <w:sz w:val="18"/>
          <w:szCs w:val="18"/>
          <w:color w:val="auto"/>
        </w:rPr>
      </w:pPr>
    </w:p>
    <w:p>
      <w:pPr>
        <w:ind w:firstLine="8"/>
        <w:spacing w:after="0" w:line="271" w:lineRule="auto"/>
        <w:tabs>
          <w:tab w:leader="none" w:pos="85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the above, the Right of First Offer shall, at Landlord’s option, not be in effect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by Tenant during any period of time that Tenant is in Default under any provision of this Lease.</w:t>
      </w:r>
    </w:p>
    <w:p>
      <w:pPr>
        <w:spacing w:after="0" w:line="153" w:lineRule="exact"/>
        <w:rPr>
          <w:rFonts w:ascii="Arial" w:cs="Arial" w:eastAsia="Arial" w:hAnsi="Arial"/>
          <w:sz w:val="18"/>
          <w:szCs w:val="18"/>
          <w:color w:val="auto"/>
        </w:rPr>
      </w:pPr>
    </w:p>
    <w:p>
      <w:pPr>
        <w:ind w:left="880" w:hanging="872"/>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8"/>
        <w:spacing w:after="0" w:line="253" w:lineRule="auto"/>
        <w:tabs>
          <w:tab w:leader="none" w:pos="86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Right of First Offer is personal to Tenant and are not assignable without Landlord’s consent,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or withheld in Landlord’s sole discretion separate and apart from any consent by Landlord to an assignment of Tenant’s interest in this Lease, except that they may be assigned in connection with any Permitted Assignment of this Lease.</w:t>
      </w:r>
    </w:p>
    <w:p>
      <w:pPr>
        <w:spacing w:after="0" w:line="168" w:lineRule="exact"/>
        <w:rPr>
          <w:rFonts w:ascii="Arial" w:cs="Arial" w:eastAsia="Arial" w:hAnsi="Arial"/>
          <w:sz w:val="18"/>
          <w:szCs w:val="18"/>
          <w:color w:val="auto"/>
        </w:rPr>
      </w:pPr>
    </w:p>
    <w:p>
      <w:pPr>
        <w:ind w:right="20" w:firstLine="8"/>
        <w:spacing w:after="0" w:line="271" w:lineRule="auto"/>
        <w:tabs>
          <w:tab w:leader="none" w:pos="81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Right of First Offer may be exercised shall not be extended or enlarged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Tenant’s inability to exercise the Right of First Offer.</w:t>
      </w:r>
    </w:p>
    <w:p>
      <w:pPr>
        <w:spacing w:after="0" w:line="153" w:lineRule="exact"/>
        <w:rPr>
          <w:rFonts w:ascii="Arial" w:cs="Arial" w:eastAsia="Arial" w:hAnsi="Arial"/>
          <w:sz w:val="18"/>
          <w:szCs w:val="18"/>
          <w:color w:val="auto"/>
        </w:rPr>
      </w:pPr>
    </w:p>
    <w:p>
      <w:pPr>
        <w:jc w:val="both"/>
        <w:ind w:right="20" w:firstLine="8"/>
        <w:spacing w:after="0" w:line="253" w:lineRule="auto"/>
        <w:tabs>
          <w:tab w:leader="none" w:pos="931"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Subordinate</w:t>
      </w:r>
      <w:r>
        <w:rPr>
          <w:rFonts w:ascii="Arial" w:cs="Arial" w:eastAsia="Arial" w:hAnsi="Arial"/>
          <w:sz w:val="18"/>
          <w:szCs w:val="18"/>
          <w:color w:val="auto"/>
        </w:rPr>
        <w:t>. Tenant hereby agrees that Landlord shall have the right to enter into a lease for all or any portion of the ROFO</w:t>
      </w:r>
      <w:r>
        <w:rPr>
          <w:rFonts w:ascii="Arial" w:cs="Arial" w:eastAsia="Arial" w:hAnsi="Arial"/>
          <w:sz w:val="18"/>
          <w:szCs w:val="18"/>
          <w:b w:val="1"/>
          <w:bCs w:val="1"/>
          <w:color w:val="auto"/>
        </w:rPr>
        <w:t xml:space="preserve"> </w:t>
      </w:r>
      <w:r>
        <w:rPr>
          <w:rFonts w:ascii="Arial" w:cs="Arial" w:eastAsia="Arial" w:hAnsi="Arial"/>
          <w:sz w:val="18"/>
          <w:szCs w:val="18"/>
          <w:color w:val="auto"/>
        </w:rPr>
        <w:t>Space with KBI, including any of KBI’s affiliates or subsidiaries, without being obligated to deliver a ROFO Notice to Tenant or otherwise triggering Tenant’s Right of First Offer, even though KBI has no rights with respect ROFO Space as of the date of this Lease.</w:t>
      </w:r>
    </w:p>
    <w:p>
      <w:pPr>
        <w:spacing w:after="0" w:line="169" w:lineRule="exact"/>
        <w:rPr>
          <w:sz w:val="20"/>
          <w:szCs w:val="20"/>
          <w:color w:val="auto"/>
        </w:rPr>
      </w:pPr>
    </w:p>
    <w:p>
      <w:pPr>
        <w:ind w:left="900" w:hanging="892"/>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 and conditions:</w:t>
      </w:r>
    </w:p>
    <w:p>
      <w:pPr>
        <w:spacing w:after="0" w:line="212" w:lineRule="exact"/>
        <w:rPr>
          <w:sz w:val="20"/>
          <w:szCs w:val="20"/>
          <w:color w:val="auto"/>
        </w:rPr>
      </w:pPr>
    </w:p>
    <w:p>
      <w:pPr>
        <w:jc w:val="both"/>
        <w:ind w:firstLine="8"/>
        <w:spacing w:after="0" w:line="247" w:lineRule="auto"/>
        <w:tabs>
          <w:tab w:leader="none" w:pos="86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5</w:t>
      </w:r>
      <w:r>
        <w:rPr>
          <w:rFonts w:ascii="Arial" w:cs="Arial" w:eastAsia="Arial" w:hAnsi="Arial"/>
          <w:sz w:val="18"/>
          <w:szCs w:val="18"/>
          <w:b w:val="1"/>
          <w:bCs w:val="1"/>
          <w:color w:val="auto"/>
        </w:rPr>
        <w:t xml:space="preserve"> </w:t>
      </w:r>
      <w:r>
        <w:rPr>
          <w:rFonts w:ascii="Arial" w:cs="Arial" w:eastAsia="Arial" w:hAnsi="Arial"/>
          <w:sz w:val="18"/>
          <w:szCs w:val="18"/>
          <w:color w:val="auto"/>
        </w:rPr>
        <w:t>years each (each, an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Work Letter) by giving Landlord written notice of its election to exercise each Extension Right at least 12 months prior, and no earlier than 15 months prior, to the expiration of the Base Term of this Lease or the expiration of any prior Extension Term.</w:t>
      </w:r>
    </w:p>
    <w:p>
      <w:pPr>
        <w:spacing w:after="0" w:line="174"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18"/>
          <w:szCs w:val="18"/>
          <w:color w:val="auto"/>
        </w:rPr>
        <w:t xml:space="preserve">Upon the commencement of any Extension Term, Base Rent shall be payable at the Market Rate (as defined below). Base Rent shall thereafter be adjusted on each annual anniversary of the commencement of such Extension Term by the Rent Adjustment Percentage in accordance with the terms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above.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rate that comparable landlords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comparable buildings have accepted in current transactions from non-equity (i.e., not being offered equity in the buildings) and nonaffiliated</w:t>
      </w:r>
    </w:p>
    <w:p>
      <w:pPr>
        <w:spacing w:after="0" w:line="234" w:lineRule="auto"/>
        <w:rPr>
          <w:sz w:val="20"/>
          <w:szCs w:val="20"/>
          <w:color w:val="auto"/>
        </w:rPr>
      </w:pPr>
      <w:r>
        <w:rPr>
          <w:rFonts w:ascii="Arial" w:cs="Arial" w:eastAsia="Arial" w:hAnsi="Arial"/>
          <w:sz w:val="18"/>
          <w:szCs w:val="18"/>
          <w:color w:val="auto"/>
        </w:rPr>
        <w:t>tenants of similar financial strength for space of comparable size, quality (including all Tenant Improvements, Alterations and other</w:t>
      </w:r>
    </w:p>
    <w:p>
      <w:pPr>
        <w:spacing w:after="0" w:line="235" w:lineRule="auto"/>
        <w:rPr>
          <w:sz w:val="20"/>
          <w:szCs w:val="20"/>
          <w:color w:val="auto"/>
        </w:rPr>
      </w:pPr>
      <w:r>
        <w:rPr>
          <w:rFonts w:ascii="Arial" w:cs="Arial" w:eastAsia="Arial" w:hAnsi="Arial"/>
          <w:sz w:val="18"/>
          <w:szCs w:val="18"/>
          <w:color w:val="auto"/>
        </w:rPr>
        <w:t>improvements) and floor height in Class A laboratory/office buildings in the vicinity of the Project for a comparable term, with the</w:t>
      </w:r>
    </w:p>
    <w:p>
      <w:pPr>
        <w:spacing w:after="0" w:line="235" w:lineRule="auto"/>
        <w:rPr>
          <w:sz w:val="20"/>
          <w:szCs w:val="20"/>
          <w:color w:val="auto"/>
        </w:rPr>
      </w:pPr>
      <w:r>
        <w:rPr>
          <w:rFonts w:ascii="Arial" w:cs="Arial" w:eastAsia="Arial" w:hAnsi="Arial"/>
          <w:sz w:val="18"/>
          <w:szCs w:val="18"/>
          <w:color w:val="auto"/>
        </w:rPr>
        <w:t>determination of the Market Rate to take into account all relevant factors, including tenant inducements, views, parking costs, leasing</w:t>
      </w:r>
    </w:p>
    <w:p>
      <w:pPr>
        <w:spacing w:after="0" w:line="235" w:lineRule="auto"/>
        <w:tabs>
          <w:tab w:leader="none" w:pos="4140" w:val="left"/>
        </w:tabs>
        <w:rPr>
          <w:sz w:val="20"/>
          <w:szCs w:val="20"/>
          <w:color w:val="auto"/>
        </w:rPr>
      </w:pPr>
      <w:r>
        <w:rPr>
          <w:rFonts w:ascii="Arial" w:cs="Arial" w:eastAsia="Arial" w:hAnsi="Arial"/>
          <w:sz w:val="18"/>
          <w:szCs w:val="18"/>
          <w:color w:val="auto"/>
        </w:rPr>
        <w:t>commissions, allowances or concessions, if any.</w:t>
        <w:tab/>
        <w:t>Notwithstanding the foregoing, unless otherwise agreed to in writing by Landlord, the</w:t>
      </w:r>
    </w:p>
    <w:p>
      <w:pPr>
        <w:spacing w:after="0" w:line="235" w:lineRule="auto"/>
        <w:rPr>
          <w:sz w:val="20"/>
          <w:szCs w:val="20"/>
          <w:color w:val="auto"/>
        </w:rPr>
      </w:pPr>
      <w:r>
        <w:rPr>
          <w:rFonts w:ascii="Arial" w:cs="Arial" w:eastAsia="Arial" w:hAnsi="Arial"/>
          <w:sz w:val="18"/>
          <w:szCs w:val="18"/>
          <w:color w:val="auto"/>
        </w:rPr>
        <w:t>Market Rate shall in no event be less than the Base Rent payable as of the date immediately preceding the commencement of such</w:t>
      </w:r>
    </w:p>
    <w:p>
      <w:pPr>
        <w:spacing w:after="0" w:line="234" w:lineRule="auto"/>
        <w:rPr>
          <w:sz w:val="20"/>
          <w:szCs w:val="20"/>
          <w:color w:val="auto"/>
        </w:rPr>
      </w:pPr>
      <w:r>
        <w:rPr>
          <w:rFonts w:ascii="Arial" w:cs="Arial" w:eastAsia="Arial" w:hAnsi="Arial"/>
          <w:sz w:val="18"/>
          <w:szCs w:val="18"/>
          <w:color w:val="auto"/>
        </w:rPr>
        <w:t>Extension Term increased by the Rent Adjustment Percentage multiplied by such Base Rent. In addition, Landlord may impose a market 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parking rights provided hereunder.</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40(b)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40(a)</w:t>
      </w:r>
      <w:r>
        <w:rPr>
          <w:rFonts w:ascii="Arial" w:cs="Arial" w:eastAsia="Arial" w:hAnsi="Arial"/>
          <w:sz w:val="18"/>
          <w:szCs w:val="18"/>
          <w:color w:val="auto"/>
        </w:rPr>
        <w:t>, Tenant shall have no right thereafter to rescind or elect not to extend the term of this Lease for the Extension Term.</w:t>
      </w:r>
    </w:p>
    <w:p>
      <w:pPr>
        <w:spacing w:after="0" w:line="176" w:lineRule="exact"/>
        <w:rPr>
          <w:sz w:val="20"/>
          <w:szCs w:val="20"/>
          <w:color w:val="auto"/>
        </w:rPr>
      </w:pPr>
    </w:p>
    <w:p>
      <w:pPr>
        <w:ind w:left="880" w:hanging="872"/>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38" w:lineRule="auto"/>
        <w:tabs>
          <w:tab w:leader="none" w:pos="8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82" w:lineRule="exact"/>
        <w:rPr>
          <w:rFonts w:ascii="Arial" w:cs="Arial" w:eastAsia="Arial" w:hAnsi="Arial"/>
          <w:sz w:val="18"/>
          <w:szCs w:val="18"/>
          <w:color w:val="auto"/>
        </w:rPr>
      </w:pPr>
    </w:p>
    <w:p>
      <w:pPr>
        <w:jc w:val="both"/>
        <w:ind w:firstLine="8"/>
        <w:spacing w:after="0" w:line="239" w:lineRule="auto"/>
        <w:tabs>
          <w:tab w:leader="none" w:pos="8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83" w:lineRule="exact"/>
        <w:rPr>
          <w:rFonts w:ascii="Arial" w:cs="Arial" w:eastAsia="Arial" w:hAnsi="Arial"/>
          <w:sz w:val="18"/>
          <w:szCs w:val="18"/>
          <w:color w:val="auto"/>
        </w:rPr>
      </w:pPr>
    </w:p>
    <w:p>
      <w:pPr>
        <w:jc w:val="both"/>
        <w:ind w:firstLine="8"/>
        <w:spacing w:after="0" w:line="244" w:lineRule="auto"/>
        <w:tabs>
          <w:tab w:leader="none" w:pos="8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Houston metropolitan area, or (B) a licensed commercial real estate broker with not less than 15 years’ experience representing landlords and/or tenants in the leasing of high tech or life sciences space in the greater Houston metropolitan area, (ii) devoting substantially all of their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professional appraisal or brokerage work, as applicable, at the time of appointment and (iii) be in all respects impartial and disinterested.</w:t>
      </w:r>
    </w:p>
    <w:p>
      <w:pPr>
        <w:spacing w:after="0" w:line="194" w:lineRule="exact"/>
        <w:rPr>
          <w:sz w:val="20"/>
          <w:szCs w:val="20"/>
          <w:color w:val="auto"/>
        </w:rPr>
      </w:pPr>
    </w:p>
    <w:p>
      <w:pPr>
        <w:jc w:val="both"/>
        <w:ind w:firstLine="8"/>
        <w:spacing w:after="0" w:line="253" w:lineRule="auto"/>
        <w:tabs>
          <w:tab w:leader="none" w:pos="858"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Extension Rights are personal to Tenant and are not assignable without Landlord’s consent,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or withheld in Landlord’s sole discretion separate and apart from any consent by Landlord to an assignment of Tenant’s interest in this Lease, except that they may be assigned in connection with any Permitted Assignment of this Lease.</w:t>
      </w:r>
    </w:p>
    <w:p>
      <w:pPr>
        <w:spacing w:after="0" w:line="168" w:lineRule="exact"/>
        <w:rPr>
          <w:rFonts w:ascii="Arial" w:cs="Arial" w:eastAsia="Arial" w:hAnsi="Arial"/>
          <w:sz w:val="18"/>
          <w:szCs w:val="18"/>
          <w:color w:val="auto"/>
        </w:rPr>
      </w:pPr>
    </w:p>
    <w:p>
      <w:pPr>
        <w:ind w:firstLine="8"/>
        <w:spacing w:after="0" w:line="271" w:lineRule="auto"/>
        <w:tabs>
          <w:tab w:leader="none" w:pos="868"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Extension Rights shall, at Landlord’s option, not be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may not exercise any of the Extension Rights:</w:t>
      </w:r>
    </w:p>
    <w:p>
      <w:pPr>
        <w:spacing w:after="0" w:line="154" w:lineRule="exact"/>
        <w:rPr>
          <w:sz w:val="20"/>
          <w:szCs w:val="20"/>
          <w:color w:val="auto"/>
        </w:rPr>
      </w:pPr>
    </w:p>
    <w:p>
      <w:pPr>
        <w:ind w:left="820" w:hanging="812"/>
        <w:spacing w:after="0"/>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211" w:lineRule="exact"/>
        <w:rPr>
          <w:rFonts w:ascii="Arial" w:cs="Arial" w:eastAsia="Arial" w:hAnsi="Arial"/>
          <w:sz w:val="18"/>
          <w:szCs w:val="18"/>
          <w:color w:val="auto"/>
        </w:rPr>
      </w:pPr>
    </w:p>
    <w:p>
      <w:pPr>
        <w:ind w:firstLine="8"/>
        <w:spacing w:after="0" w:line="271" w:lineRule="auto"/>
        <w:tabs>
          <w:tab w:leader="none" w:pos="8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pacing w:after="0" w:line="154" w:lineRule="exact"/>
        <w:rPr>
          <w:sz w:val="20"/>
          <w:szCs w:val="20"/>
          <w:color w:val="auto"/>
        </w:rPr>
      </w:pPr>
    </w:p>
    <w:p>
      <w:pPr>
        <w:ind w:right="20" w:firstLine="8"/>
        <w:spacing w:after="0" w:line="271" w:lineRule="auto"/>
        <w:tabs>
          <w:tab w:leader="none" w:pos="868"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Extension Rights may be exercised shall not be extended or enlarged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Tenant’s inability to exercise the Extension Rights.</w:t>
      </w:r>
    </w:p>
    <w:p>
      <w:pPr>
        <w:spacing w:after="0" w:line="153" w:lineRule="exact"/>
        <w:rPr>
          <w:rFonts w:ascii="Arial" w:cs="Arial" w:eastAsia="Arial" w:hAnsi="Arial"/>
          <w:sz w:val="18"/>
          <w:szCs w:val="18"/>
          <w:color w:val="auto"/>
        </w:rPr>
      </w:pPr>
    </w:p>
    <w:p>
      <w:pPr>
        <w:jc w:val="both"/>
        <w:ind w:right="20" w:firstLine="8"/>
        <w:spacing w:after="0" w:line="247" w:lineRule="auto"/>
        <w:tabs>
          <w:tab w:leader="none" w:pos="818"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Rights shall, at Landlord’s option, terminate and be of no further force or effect even after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timely exercise of an 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pacing w:after="0" w:line="174" w:lineRule="exact"/>
        <w:rPr>
          <w:sz w:val="20"/>
          <w:szCs w:val="20"/>
          <w:color w:val="auto"/>
        </w:rPr>
      </w:pPr>
    </w:p>
    <w:p>
      <w:pPr>
        <w:ind w:left="900" w:hanging="892"/>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900" w:hanging="892"/>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firstLine="8"/>
        <w:spacing w:after="0" w:line="247" w:lineRule="auto"/>
        <w:tabs>
          <w:tab w:leader="none" w:pos="86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3" w:lineRule="exact"/>
        <w:rPr>
          <w:rFonts w:ascii="Arial" w:cs="Arial" w:eastAsia="Arial" w:hAnsi="Arial"/>
          <w:sz w:val="18"/>
          <w:szCs w:val="18"/>
          <w:color w:val="auto"/>
        </w:rPr>
      </w:pPr>
    </w:p>
    <w:p>
      <w:pPr>
        <w:ind w:firstLine="8"/>
        <w:spacing w:after="0" w:line="271" w:lineRule="auto"/>
        <w:tabs>
          <w:tab w:leader="none" w:pos="86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each shall be jointly and severally liable for the obligations of Tenant.</w:t>
      </w:r>
    </w:p>
    <w:p>
      <w:pPr>
        <w:spacing w:after="0" w:line="153" w:lineRule="exact"/>
        <w:rPr>
          <w:rFonts w:ascii="Arial" w:cs="Arial" w:eastAsia="Arial" w:hAnsi="Arial"/>
          <w:sz w:val="18"/>
          <w:szCs w:val="18"/>
          <w:color w:val="auto"/>
        </w:rPr>
      </w:pPr>
    </w:p>
    <w:p>
      <w:pPr>
        <w:jc w:val="both"/>
        <w:ind w:firstLine="8"/>
        <w:spacing w:after="0" w:line="239" w:lineRule="auto"/>
        <w:tabs>
          <w:tab w:leader="none" w:pos="85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Upon Landlord’s request, Tenant shall furnish Landlord with true and complete copies of (i) Tenant’s most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recent audited annual financial statements within 90 days of the end of each of Tenant’s fiscal years during the Term, (ii) Tenant’s most recent unaudited quarterly financial statements within 45 days of the end of each of Tenant’s first three fiscal quarters of each of Tenant’s fiscal years during the Term, and (iii) any other financial information or summaries that Tenant typically provides to its lenders. Landlord shall treat all information which Tenant provides to Landlord pursuant to this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as confidential information belonging to Tenant and it shall not be disclosed to any third parties other than Landlord’s auditors, attorneys, consultants, prospective lenders, affiliates, prospective purchasers and investors and other third parties as reasonably required in the ordinary course of Landlord’s operations (so long as such parties have agreed to maintain the confidentiality of such information). So long as Tenant is a “public company” and its financial information is publicly available, then the foregoing delivery requirements of this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shall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 xml:space="preserve">8800 Technology Forest/Nurix Therapeutics - Page </w:t>
      </w:r>
      <w:r>
        <w:rPr>
          <w:rFonts w:ascii="Arial" w:cs="Arial" w:eastAsia="Arial" w:hAnsi="Arial"/>
          <w:sz w:val="18"/>
          <w:szCs w:val="18"/>
          <w:color w:val="auto"/>
        </w:rPr>
        <w:t>34</w:t>
      </w:r>
    </w:p>
    <w:p>
      <w:pPr>
        <w:spacing w:after="0" w:line="13" w:lineRule="exact"/>
        <w:rPr>
          <w:sz w:val="20"/>
          <w:szCs w:val="20"/>
          <w:color w:val="auto"/>
        </w:rPr>
      </w:pPr>
    </w:p>
    <w:p>
      <w:pPr>
        <w:ind w:firstLine="8"/>
        <w:spacing w:after="0" w:line="250" w:lineRule="auto"/>
        <w:tabs>
          <w:tab w:leader="none" w:pos="86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record. Landlord may prepare and file, and upon request by Landlord Tenant will execute, a memorandum of lease.</w:t>
      </w:r>
    </w:p>
    <w:p>
      <w:pPr>
        <w:spacing w:after="0" w:line="171" w:lineRule="exact"/>
        <w:rPr>
          <w:rFonts w:ascii="Arial" w:cs="Arial" w:eastAsia="Arial" w:hAnsi="Arial"/>
          <w:sz w:val="18"/>
          <w:szCs w:val="18"/>
          <w:color w:val="auto"/>
        </w:rPr>
      </w:pPr>
    </w:p>
    <w:p>
      <w:pPr>
        <w:jc w:val="both"/>
        <w:ind w:firstLine="8"/>
        <w:spacing w:after="0" w:line="244" w:lineRule="auto"/>
        <w:tabs>
          <w:tab w:leader="none" w:pos="86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76" w:lineRule="exact"/>
        <w:rPr>
          <w:rFonts w:ascii="Arial" w:cs="Arial" w:eastAsia="Arial" w:hAnsi="Arial"/>
          <w:sz w:val="18"/>
          <w:szCs w:val="18"/>
          <w:color w:val="auto"/>
        </w:rPr>
      </w:pPr>
    </w:p>
    <w:p>
      <w:pPr>
        <w:jc w:val="both"/>
        <w:ind w:firstLine="8"/>
        <w:spacing w:after="0" w:line="253" w:lineRule="auto"/>
        <w:tabs>
          <w:tab w:leader="none" w:pos="81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option for the leasing of the Premises, nor confer any right or impose any obligations upon either party until execution of this Lease by both parties.</w:t>
      </w:r>
    </w:p>
    <w:p>
      <w:pPr>
        <w:spacing w:after="0" w:line="168" w:lineRule="exact"/>
        <w:rPr>
          <w:rFonts w:ascii="Arial" w:cs="Arial" w:eastAsia="Arial" w:hAnsi="Arial"/>
          <w:sz w:val="18"/>
          <w:szCs w:val="18"/>
          <w:color w:val="auto"/>
        </w:rPr>
      </w:pPr>
    </w:p>
    <w:p>
      <w:pPr>
        <w:jc w:val="both"/>
        <w:ind w:firstLine="8"/>
        <w:spacing w:after="0"/>
        <w:tabs>
          <w:tab w:leader="none" w:pos="86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 governing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4" w:lineRule="exact"/>
        <w:rPr>
          <w:rFonts w:ascii="Arial" w:cs="Arial" w:eastAsia="Arial" w:hAnsi="Arial"/>
          <w:sz w:val="18"/>
          <w:szCs w:val="18"/>
          <w:color w:val="auto"/>
        </w:rPr>
      </w:pPr>
    </w:p>
    <w:p>
      <w:pPr>
        <w:ind w:firstLine="8"/>
        <w:spacing w:after="0" w:line="271" w:lineRule="auto"/>
        <w:tabs>
          <w:tab w:leader="none" w:pos="86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are located, excluding any principles of conflicts of laws.</w:t>
      </w:r>
    </w:p>
    <w:p>
      <w:pPr>
        <w:spacing w:after="0" w:line="153" w:lineRule="exact"/>
        <w:rPr>
          <w:rFonts w:ascii="Arial" w:cs="Arial" w:eastAsia="Arial" w:hAnsi="Arial"/>
          <w:sz w:val="18"/>
          <w:szCs w:val="18"/>
          <w:color w:val="auto"/>
        </w:rPr>
      </w:pPr>
    </w:p>
    <w:p>
      <w:pPr>
        <w:ind w:left="820" w:hanging="812"/>
        <w:spacing w:after="0"/>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11" w:lineRule="exact"/>
        <w:rPr>
          <w:rFonts w:ascii="Arial" w:cs="Arial" w:eastAsia="Arial" w:hAnsi="Arial"/>
          <w:sz w:val="18"/>
          <w:szCs w:val="18"/>
          <w:color w:val="auto"/>
        </w:rPr>
      </w:pPr>
    </w:p>
    <w:p>
      <w:pPr>
        <w:jc w:val="both"/>
        <w:ind w:firstLine="8"/>
        <w:spacing w:after="0"/>
        <w:tabs>
          <w:tab w:leader="none" w:pos="80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4" w:lineRule="exact"/>
        <w:rPr>
          <w:rFonts w:ascii="Arial" w:cs="Arial" w:eastAsia="Arial" w:hAnsi="Arial"/>
          <w:sz w:val="18"/>
          <w:szCs w:val="18"/>
          <w:color w:val="auto"/>
        </w:rPr>
      </w:pPr>
    </w:p>
    <w:p>
      <w:pPr>
        <w:ind w:firstLine="8"/>
        <w:spacing w:after="0" w:line="271" w:lineRule="auto"/>
        <w:tabs>
          <w:tab w:leader="none" w:pos="85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If there is any conflict between such exhibits or addenda and the terms of this Lease, such exhibits or addenda shall control.</w:t>
      </w:r>
    </w:p>
    <w:p>
      <w:pPr>
        <w:spacing w:after="0" w:line="153" w:lineRule="exact"/>
        <w:rPr>
          <w:rFonts w:ascii="Arial" w:cs="Arial" w:eastAsia="Arial" w:hAnsi="Arial"/>
          <w:sz w:val="18"/>
          <w:szCs w:val="18"/>
          <w:color w:val="auto"/>
        </w:rPr>
      </w:pPr>
    </w:p>
    <w:p>
      <w:pPr>
        <w:jc w:val="both"/>
        <w:ind w:firstLine="8"/>
        <w:spacing w:after="0" w:line="247" w:lineRule="auto"/>
        <w:tabs>
          <w:tab w:leader="none" w:pos="80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 between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3" w:lineRule="exact"/>
        <w:rPr>
          <w:rFonts w:ascii="Arial" w:cs="Arial" w:eastAsia="Arial" w:hAnsi="Arial"/>
          <w:sz w:val="18"/>
          <w:szCs w:val="18"/>
          <w:color w:val="auto"/>
        </w:rPr>
      </w:pPr>
    </w:p>
    <w:p>
      <w:pPr>
        <w:ind w:firstLine="8"/>
        <w:spacing w:after="0" w:line="271" w:lineRule="auto"/>
        <w:tabs>
          <w:tab w:leader="none" w:pos="918"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 installment of</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or any Additional Rent will be other than on account of the earliest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stipulated Base Rent and Additional Rent, nor will any endorsement or statement on any check or letter accompanying a check for payment</w:t>
      </w:r>
    </w:p>
    <w:p>
      <w:pPr>
        <w:spacing w:after="0" w:line="234" w:lineRule="auto"/>
        <w:tabs>
          <w:tab w:leader="none" w:pos="5780" w:val="left"/>
        </w:tabs>
        <w:rPr>
          <w:sz w:val="20"/>
          <w:szCs w:val="20"/>
          <w:color w:val="auto"/>
        </w:rPr>
      </w:pPr>
      <w:r>
        <w:rPr>
          <w:rFonts w:ascii="Arial" w:cs="Arial" w:eastAsia="Arial" w:hAnsi="Arial"/>
          <w:sz w:val="18"/>
          <w:szCs w:val="18"/>
          <w:color w:val="auto"/>
        </w:rPr>
        <w:t>of any Base Rent or Additional Rent be an accord and satisfaction.</w:t>
        <w:tab/>
        <w:t>Landlord may accept such check or payment without prejudice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Landlord’s right to recover the balance of such Rent or to pursue any other remedy provided in this Lease.</w:t>
      </w:r>
    </w:p>
    <w:p>
      <w:pPr>
        <w:spacing w:after="0" w:line="194" w:lineRule="exact"/>
        <w:rPr>
          <w:sz w:val="20"/>
          <w:szCs w:val="20"/>
          <w:color w:val="auto"/>
        </w:rPr>
      </w:pPr>
    </w:p>
    <w:p>
      <w:pPr>
        <w:jc w:val="both"/>
        <w:ind w:firstLine="8"/>
        <w:spacing w:after="0" w:line="242" w:lineRule="auto"/>
        <w:tabs>
          <w:tab w:leader="none" w:pos="868"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78" w:lineRule="exact"/>
        <w:rPr>
          <w:rFonts w:ascii="Arial" w:cs="Arial" w:eastAsia="Arial" w:hAnsi="Arial"/>
          <w:sz w:val="18"/>
          <w:szCs w:val="18"/>
          <w:color w:val="auto"/>
        </w:rPr>
      </w:pPr>
    </w:p>
    <w:p>
      <w:pPr>
        <w:jc w:val="both"/>
        <w:ind w:firstLine="8"/>
        <w:spacing w:after="0" w:line="247" w:lineRule="auto"/>
        <w:tabs>
          <w:tab w:leader="none" w:pos="868"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Condition of Premises</w:t>
      </w:r>
      <w:r>
        <w:rPr>
          <w:rFonts w:ascii="Arial" w:cs="Arial" w:eastAsia="Arial" w:hAnsi="Arial"/>
          <w:sz w:val="18"/>
          <w:szCs w:val="18"/>
          <w:color w:val="auto"/>
        </w:rPr>
        <w:t>. EXCEPT AS OTHERWISE EXPRESSLY PROVIDED IN THIS LEASE, LANDLORD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DISCLAIMS ANY EXPRESS OR IMPLIED REPRESENTATION OR WARRANTY THAT THE PREMISES ARE SUITABLE FOR TENANT’S INTENDED PURPOSE OR USE, WHICH DISCLAIMER IS HEREBY ACKNOWLEDGED BY TENANT. THE TAKING OF POSSESSION BY TENANT SHALL BE CONCLUSIVE EVIDENCE THAT TENANT:</w:t>
      </w:r>
    </w:p>
    <w:p>
      <w:pPr>
        <w:spacing w:after="0" w:line="174" w:lineRule="exact"/>
        <w:rPr>
          <w:sz w:val="20"/>
          <w:szCs w:val="20"/>
          <w:color w:val="auto"/>
        </w:rPr>
      </w:pPr>
    </w:p>
    <w:p>
      <w:pPr>
        <w:ind w:right="20" w:firstLine="8"/>
        <w:spacing w:after="0" w:line="271" w:lineRule="auto"/>
        <w:tabs>
          <w:tab w:leader="none" w:pos="8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ACCEPTS THE PREMISES, THE BUILDING AND LEASEHOLD IMPROVEMENTS AS SUITABLE FOR THE PURPOSES FOR WHICH THE PREMISES WERE LEASED;</w:t>
      </w:r>
    </w:p>
    <w:p>
      <w:pPr>
        <w:spacing w:after="0" w:line="153" w:lineRule="exact"/>
        <w:rPr>
          <w:rFonts w:ascii="Arial" w:cs="Arial" w:eastAsia="Arial" w:hAnsi="Arial"/>
          <w:sz w:val="18"/>
          <w:szCs w:val="18"/>
          <w:color w:val="auto"/>
        </w:rPr>
      </w:pPr>
    </w:p>
    <w:p>
      <w:pPr>
        <w:ind w:left="860" w:hanging="852"/>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ACCEPTS THE PREMISES AND PROJECT AS BEING IN GOOD AND SATISFACTORY CONDITION;</w:t>
      </w:r>
    </w:p>
    <w:p>
      <w:pPr>
        <w:spacing w:after="0" w:line="211" w:lineRule="exact"/>
        <w:rPr>
          <w:rFonts w:ascii="Arial" w:cs="Arial" w:eastAsia="Arial" w:hAnsi="Arial"/>
          <w:sz w:val="18"/>
          <w:szCs w:val="18"/>
          <w:color w:val="auto"/>
        </w:rPr>
      </w:pPr>
    </w:p>
    <w:p>
      <w:pPr>
        <w:jc w:val="both"/>
        <w:ind w:right="20" w:firstLine="8"/>
        <w:spacing w:after="0" w:line="253" w:lineRule="auto"/>
        <w:tabs>
          <w:tab w:leader="none" w:pos="8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WAIVES ANY DEFECTS IN THE PREMISES AND ITS APPURTENANCES EXISTING NOW OR IN THE FUTURE, EXCEPT THAT TENANT’S TAKING OF POSSESSION SHALL NOT BE DEEMED TO WAIVE LANDLORD’S COMPLETION OF MINOR FINISH WORK ITEMS THAT DO NOT INTERFERE WITH TENANT’S OCCUPANCY OF THE PREMISES; AND</w:t>
      </w:r>
    </w:p>
    <w:p>
      <w:pPr>
        <w:spacing w:after="0" w:line="168" w:lineRule="exact"/>
        <w:rPr>
          <w:rFonts w:ascii="Arial" w:cs="Arial" w:eastAsia="Arial" w:hAnsi="Arial"/>
          <w:sz w:val="18"/>
          <w:szCs w:val="18"/>
          <w:color w:val="auto"/>
        </w:rPr>
      </w:pPr>
    </w:p>
    <w:p>
      <w:pPr>
        <w:ind w:left="900" w:hanging="892"/>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WAIVES ALL CLAIMS BASED ON ANY IMPLIED WARRANTY OF SUITABILITY OR HABITABILITY.</w:t>
      </w:r>
    </w:p>
    <w:p>
      <w:pPr>
        <w:spacing w:after="0" w:line="212" w:lineRule="exact"/>
        <w:rPr>
          <w:sz w:val="20"/>
          <w:szCs w:val="20"/>
          <w:color w:val="auto"/>
        </w:rPr>
      </w:pPr>
    </w:p>
    <w:p>
      <w:pPr>
        <w:jc w:val="both"/>
        <w:ind w:firstLine="8"/>
        <w:spacing w:after="0" w:line="247" w:lineRule="auto"/>
        <w:tabs>
          <w:tab w:leader="none" w:pos="86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DECEPTIVE TRADE PRACTICES</w:t>
      </w:r>
      <w:r>
        <w:rPr>
          <w:rFonts w:ascii="Arial" w:cs="Arial" w:eastAsia="Arial" w:hAnsi="Arial"/>
          <w:sz w:val="18"/>
          <w:szCs w:val="18"/>
          <w:color w:val="auto"/>
        </w:rPr>
        <w:t>. TENANT HEREBY WAIVES ALL ITS RIGHTS UNDER THE DECEPTIVE TRADE</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 CONSUMER PROTECTION ACT, SECTION 17.41 ET. SEQ. OF THE TEXAS BUSINESS AND COMMERCE CODE, A LAW THAT GIVES CONSUMERS SPECIAL RIGHTS AND PROTECTIONS. AFTER CONSULTATION WITH AN ATTORNEY OF TENANT’S OWN SELECTION, TENANT VOLUNTARILY CONSENTS TO THIS WAIVER.</w:t>
      </w:r>
    </w:p>
    <w:p>
      <w:pPr>
        <w:spacing w:after="0" w:line="173" w:lineRule="exact"/>
        <w:rPr>
          <w:rFonts w:ascii="Arial" w:cs="Arial" w:eastAsia="Arial" w:hAnsi="Arial"/>
          <w:sz w:val="18"/>
          <w:szCs w:val="18"/>
          <w:color w:val="auto"/>
        </w:rPr>
      </w:pPr>
    </w:p>
    <w:p>
      <w:pPr>
        <w:jc w:val="both"/>
        <w:ind w:firstLine="8"/>
        <w:spacing w:after="0" w:line="242" w:lineRule="auto"/>
        <w:tabs>
          <w:tab w:leader="none" w:pos="86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2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6680"/>
        <w:spacing w:after="0"/>
        <w:rPr>
          <w:sz w:val="20"/>
          <w:szCs w:val="20"/>
          <w:color w:val="auto"/>
        </w:rPr>
      </w:pPr>
      <w:r>
        <w:rPr>
          <w:rFonts w:ascii="Arial" w:cs="Arial" w:eastAsia="Arial" w:hAnsi="Arial"/>
          <w:sz w:val="17"/>
          <w:szCs w:val="17"/>
          <w:b w:val="1"/>
          <w:bCs w:val="1"/>
          <w:color w:val="auto"/>
        </w:rPr>
        <w:t xml:space="preserve">8800 Technology Forest/Nurix Therapeutics - Page </w:t>
      </w:r>
      <w:r>
        <w:rPr>
          <w:rFonts w:ascii="Arial" w:cs="Arial" w:eastAsia="Arial" w:hAnsi="Arial"/>
          <w:sz w:val="17"/>
          <w:szCs w:val="17"/>
          <w:color w:val="auto"/>
        </w:rPr>
        <w:t>36</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NURIX THERAPEUTICS, INC.</w:t>
      </w:r>
      <w:r>
        <w:rPr>
          <w:rFonts w:ascii="Arial" w:cs="Arial" w:eastAsia="Arial" w:hAnsi="Arial"/>
          <w:sz w:val="18"/>
          <w:szCs w:val="18"/>
          <w:color w:val="auto"/>
        </w:rPr>
        <w: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-7620</wp:posOffset>
            </wp:positionV>
            <wp:extent cx="1028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ind w:left="5200"/>
        <w:spacing w:after="0"/>
        <w:tabs>
          <w:tab w:leader="none" w:pos="5660" w:val="left"/>
        </w:tabs>
        <w:rPr>
          <w:sz w:val="20"/>
          <w:szCs w:val="20"/>
          <w:color w:val="auto"/>
        </w:rPr>
      </w:pPr>
      <w:r>
        <w:rPr>
          <w:rFonts w:ascii="Arial" w:cs="Arial" w:eastAsia="Arial" w:hAnsi="Arial"/>
          <w:sz w:val="18"/>
          <w:szCs w:val="18"/>
          <w:color w:val="auto"/>
        </w:rPr>
        <w:t>Its:</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-19050</wp:posOffset>
            </wp:positionV>
            <wp:extent cx="10160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174" w:lineRule="exact"/>
        <w:rPr>
          <w:sz w:val="20"/>
          <w:szCs w:val="20"/>
          <w:color w:val="auto"/>
        </w:rPr>
      </w:pPr>
    </w:p>
    <w:p>
      <w:pPr>
        <w:ind w:left="5200" w:right="800" w:hanging="9"/>
        <w:spacing w:after="0" w:line="287" w:lineRule="auto"/>
        <w:tabs>
          <w:tab w:leader="none" w:pos="5412" w:val="left"/>
        </w:tabs>
        <w:numPr>
          <w:ilvl w:val="0"/>
          <w:numId w:val="117"/>
        </w:numPr>
        <w:rPr>
          <w:rFonts w:ascii="MS PGothic" w:cs="MS PGothic" w:eastAsia="MS PGothic" w:hAnsi="MS PGothic"/>
          <w:sz w:val="18"/>
          <w:szCs w:val="18"/>
          <w:color w:val="auto"/>
        </w:rPr>
      </w:pPr>
      <w:r>
        <w:rPr>
          <w:rFonts w:ascii="Arial" w:cs="Arial" w:eastAsia="Arial" w:hAnsi="Arial"/>
          <w:sz w:val="18"/>
          <w:szCs w:val="18"/>
          <w:color w:val="auto"/>
        </w:rPr>
        <w:t>I hereby certify that the signature, name, and title above are my signature, name and title.</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8800 Technology Forest Pl, LLC,</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Mark Hikin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-7620</wp:posOffset>
            </wp:positionV>
            <wp:extent cx="8502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ind w:left="5200"/>
        <w:spacing w:after="0"/>
        <w:tabs>
          <w:tab w:leader="none" w:pos="566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-19050</wp:posOffset>
            </wp:positionV>
            <wp:extent cx="1219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1"/>
          <w:szCs w:val="11"/>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1"/>
          <w:szCs w:val="11"/>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2022</w:t>
      </w:r>
    </w:p>
    <w:p>
      <w:pPr>
        <w:sectPr>
          <w:pgSz w:w="11900" w:h="16838" w:orient="portrait"/>
          <w:cols w:equalWidth="0" w:num="1">
            <w:col w:w="11240"/>
          </w:cols>
          <w:pgMar w:left="320" w:top="10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2022</w:t>
      </w:r>
    </w:p>
    <w:p>
      <w:pPr>
        <w:sectPr>
          <w:pgSz w:w="11900" w:h="16838" w:orient="portrait"/>
          <w:cols w:equalWidth="0" w:num="1">
            <w:col w:w="11240"/>
          </w:cols>
          <w:pgMar w:left="320" w:top="1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07" w:lineRule="exact"/>
        <w:rPr>
          <w:sz w:val="20"/>
          <w:szCs w:val="20"/>
          <w:color w:val="auto"/>
        </w:rPr>
      </w:pPr>
    </w:p>
    <w:p>
      <w:pPr>
        <w:ind w:left="440" w:hanging="432"/>
        <w:spacing w:after="0" w:line="282" w:lineRule="auto"/>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28, 2022 (the Quarterly Report), as filed with the Securities and Exchange Commission,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w:t>
      </w:r>
    </w:p>
    <w:p>
      <w:pPr>
        <w:spacing w:after="0" w:line="18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1."/>
      <w:numFmt w:val="decimal"/>
      <w:start w:val="2"/>
    </w:lvl>
  </w:abstractNum>
  <w:abstractNum w:abstractNumId="4">
    <w:nsid w:val="7E0C57B1"/>
    <w:multiLevelType w:val="hybridMultilevel"/>
    <w:lvl w:ilvl="0">
      <w:lvlJc w:val="left"/>
      <w:lvlText w:val="(%1)"/>
      <w:numFmt w:val="lowerRoman"/>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start w:val="104"/>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1."/>
      <w:numFmt w:val="decimal"/>
      <w:start w:val="3"/>
    </w:lvl>
  </w:abstractNum>
  <w:abstractNum w:abstractNumId="50">
    <w:nsid w:val="6F6DD9AC"/>
    <w:multiLevelType w:val="hybridMultilevel"/>
    <w:lvl w:ilvl="0">
      <w:lvlJc w:val="left"/>
      <w:lvlText w:val="(%1)"/>
      <w:numFmt w:val="lowerLetter"/>
      <w:start w:val="1"/>
    </w:lvl>
  </w:abstractNum>
  <w:abstractNum w:abstractNumId="51">
    <w:nsid w:val="94211F2"/>
    <w:multiLevelType w:val="hybridMultilevel"/>
    <w:lvl w:ilvl="0">
      <w:lvlJc w:val="left"/>
      <w:lvlText w:val="(%1)"/>
      <w:numFmt w:val="lowerLetter"/>
      <w:start w:val="2"/>
    </w:lvl>
  </w:abstractNum>
  <w:abstractNum w:abstractNumId="52">
    <w:nsid w:val="885E1B"/>
    <w:multiLevelType w:val="hybridMultilevel"/>
    <w:lvl w:ilvl="0">
      <w:lvlJc w:val="left"/>
      <w:lvlText w:val="%1."/>
      <w:numFmt w:val="decimal"/>
      <w:start w:val="4"/>
    </w:lvl>
    <w:lvl w:ilvl="1">
      <w:lvlJc w:val="left"/>
      <w:lvlText w:val="(%2)"/>
      <w:numFmt w:val="lowerLetter"/>
      <w:start w:val="2"/>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4"/>
    </w:lvl>
  </w:abstractNum>
  <w:abstractNum w:abstractNumId="55">
    <w:nsid w:val="1716703B"/>
    <w:multiLevelType w:val="hybridMultilevel"/>
    <w:lvl w:ilvl="0">
      <w:lvlJc w:val="left"/>
      <w:lvlText w:val="(%1)"/>
      <w:numFmt w:val="lowerLetter"/>
      <w:start w:val="18"/>
    </w:lvl>
  </w:abstractNum>
  <w:abstractNum w:abstractNumId="56">
    <w:nsid w:val="14E17E33"/>
    <w:multiLevelType w:val="hybridMultilevel"/>
    <w:lvl w:ilvl="0">
      <w:lvlJc w:val="left"/>
      <w:lvlText w:val="%1."/>
      <w:numFmt w:val="decimal"/>
      <w:start w:val="6"/>
    </w:lvl>
  </w:abstractNum>
  <w:abstractNum w:abstractNumId="57">
    <w:nsid w:val="3222E7CD"/>
    <w:multiLevelType w:val="hybridMultilevel"/>
    <w:lvl w:ilvl="0">
      <w:lvlJc w:val="left"/>
      <w:lvlText w:val="%1."/>
      <w:numFmt w:val="decimal"/>
      <w:start w:val="7"/>
    </w:lvl>
  </w:abstractNum>
  <w:abstractNum w:abstractNumId="58">
    <w:nsid w:val="74DE0EE3"/>
    <w:multiLevelType w:val="hybridMultilevel"/>
    <w:lvl w:ilvl="0">
      <w:lvlJc w:val="left"/>
      <w:lvlText w:val="%1."/>
      <w:numFmt w:val="decimal"/>
      <w:start w:val="8"/>
    </w:lvl>
  </w:abstractNum>
  <w:abstractNum w:abstractNumId="59">
    <w:nsid w:val="68EBC550"/>
    <w:multiLevelType w:val="hybridMultilevel"/>
    <w:lvl w:ilvl="0">
      <w:lvlJc w:val="left"/>
      <w:lvlText w:val="%1."/>
      <w:numFmt w:val="decimal"/>
      <w:start w:val="10"/>
    </w:lvl>
  </w:abstractNum>
  <w:abstractNum w:abstractNumId="60">
    <w:nsid w:val="2DF6D648"/>
    <w:multiLevelType w:val="hybridMultilevel"/>
    <w:lvl w:ilvl="0">
      <w:lvlJc w:val="left"/>
      <w:lvlText w:val="%1."/>
      <w:numFmt w:val="decimal"/>
      <w:start w:val="12"/>
    </w:lvl>
  </w:abstractNum>
  <w:abstractNum w:abstractNumId="61">
    <w:nsid w:val="46B7D447"/>
    <w:multiLevelType w:val="hybridMultilevel"/>
    <w:lvl w:ilvl="0">
      <w:lvlJc w:val="left"/>
      <w:lvlText w:val="(%1)"/>
      <w:numFmt w:val="lowerLetter"/>
      <w:start w:val="26"/>
    </w:lvl>
  </w:abstractNum>
  <w:abstractNum w:abstractNumId="62">
    <w:nsid w:val="4A2AC315"/>
    <w:multiLevelType w:val="hybridMultilevel"/>
    <w:lvl w:ilvl="0">
      <w:lvlJc w:val="left"/>
      <w:lvlText w:val="%1."/>
      <w:numFmt w:val="decimal"/>
      <w:start w:val="13"/>
    </w:lvl>
  </w:abstractNum>
  <w:abstractNum w:abstractNumId="63">
    <w:nsid w:val="39EE015C"/>
    <w:multiLevelType w:val="hybridMultilevel"/>
    <w:lvl w:ilvl="0">
      <w:lvlJc w:val="left"/>
      <w:lvlText w:val="%1."/>
      <w:numFmt w:val="decimal"/>
      <w:start w:val="15"/>
    </w:lvl>
  </w:abstractNum>
  <w:abstractNum w:abstractNumId="64">
    <w:nsid w:val="57FC4FBB"/>
    <w:multiLevelType w:val="hybridMultilevel"/>
    <w:lvl w:ilvl="0">
      <w:lvlJc w:val="left"/>
      <w:lvlText w:val="%1."/>
      <w:numFmt w:val="decimal"/>
      <w:start w:val="18"/>
    </w:lvl>
  </w:abstractNum>
  <w:abstractNum w:abstractNumId="65">
    <w:nsid w:val="CC1016F"/>
    <w:multiLevelType w:val="hybridMultilevel"/>
    <w:lvl w:ilvl="0">
      <w:lvlJc w:val="left"/>
      <w:lvlText w:val="%1."/>
      <w:numFmt w:val="decimal"/>
      <w:start w:val="19"/>
    </w:lvl>
  </w:abstractNum>
  <w:abstractNum w:abstractNumId="66">
    <w:nsid w:val="43F18422"/>
    <w:multiLevelType w:val="hybridMultilevel"/>
    <w:lvl w:ilvl="0">
      <w:lvlJc w:val="left"/>
      <w:lvlText w:val="%1."/>
      <w:numFmt w:val="decimal"/>
      <w:start w:val="20"/>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8"/>
    </w:lvl>
  </w:abstractNum>
  <w:abstractNum w:abstractNumId="69">
    <w:nsid w:val="7F01579B"/>
    <w:multiLevelType w:val="hybridMultilevel"/>
    <w:lvl w:ilvl="0">
      <w:lvlJc w:val="left"/>
      <w:lvlText w:val="(%1)"/>
      <w:numFmt w:val="lowerRoman"/>
      <w:start w:val="3"/>
    </w:lvl>
  </w:abstractNum>
  <w:abstractNum w:abstractNumId="70">
    <w:nsid w:val="49DA307D"/>
    <w:multiLevelType w:val="hybridMultilevel"/>
    <w:lvl w:ilvl="0">
      <w:lvlJc w:val="left"/>
      <w:lvlText w:val="%1."/>
      <w:numFmt w:val="decimal"/>
      <w:start w:val="2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Roman"/>
      <w:start w:val="1"/>
    </w:lvl>
  </w:abstractNum>
  <w:abstractNum w:abstractNumId="73">
    <w:nsid w:val="50801EE1"/>
    <w:multiLevelType w:val="hybridMultilevel"/>
    <w:lvl w:ilvl="0">
      <w:lvlJc w:val="left"/>
      <w:lvlText w:val="(%1)"/>
      <w:numFmt w:val="lowerRoman"/>
      <w:start w:val="3"/>
    </w:lvl>
  </w:abstractNum>
  <w:abstractNum w:abstractNumId="74">
    <w:nsid w:val="488AC1A"/>
    <w:multiLevelType w:val="hybridMultilevel"/>
    <w:lvl w:ilvl="0">
      <w:lvlJc w:val="left"/>
      <w:lvlText w:val="(%1)"/>
      <w:numFmt w:val="lowerRoman"/>
      <w:start w:val="6"/>
    </w:lvl>
  </w:abstractNum>
  <w:abstractNum w:abstractNumId="75">
    <w:nsid w:val="5FB8011C"/>
    <w:multiLevelType w:val="hybridMultilevel"/>
    <w:lvl w:ilvl="0">
      <w:lvlJc w:val="left"/>
      <w:lvlText w:val="(%1)"/>
      <w:numFmt w:val="lowerLetter"/>
      <w:start w:val="4"/>
    </w:lvl>
  </w:abstractNum>
  <w:abstractNum w:abstractNumId="76">
    <w:nsid w:val="6AA78F7F"/>
    <w:multiLevelType w:val="hybridMultilevel"/>
    <w:lvl w:ilvl="0">
      <w:lvlJc w:val="left"/>
      <w:lvlText w:val="(%1)"/>
      <w:numFmt w:val="lowerRoman"/>
      <w:start w:val="1"/>
    </w:lvl>
  </w:abstractNum>
  <w:abstractNum w:abstractNumId="77">
    <w:nsid w:val="7672BD23"/>
    <w:multiLevelType w:val="hybridMultilevel"/>
    <w:lvl w:ilvl="0">
      <w:lvlJc w:val="left"/>
      <w:lvlText w:val="(%1)"/>
      <w:numFmt w:val="upperLetter"/>
      <w:start w:val="1"/>
    </w:lvl>
  </w:abstractNum>
  <w:abstractNum w:abstractNumId="78">
    <w:nsid w:val="6FC75AF8"/>
    <w:multiLevelType w:val="hybridMultilevel"/>
    <w:lvl w:ilvl="0">
      <w:lvlJc w:val="left"/>
      <w:lvlText w:val="(%1)"/>
      <w:numFmt w:val="lowerLetter"/>
      <w:start w:val="1"/>
    </w:lvl>
  </w:abstractNum>
  <w:abstractNum w:abstractNumId="79">
    <w:nsid w:val="6A5F7029"/>
    <w:multiLevelType w:val="hybridMultilevel"/>
    <w:lvl w:ilvl="0">
      <w:lvlJc w:val="left"/>
      <w:lvlText w:val="(%1)"/>
      <w:numFmt w:val="upperLetter"/>
      <w:start w:val="5"/>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Roman"/>
      <w:start w:val="3"/>
    </w:lvl>
  </w:abstractNum>
  <w:abstractNum w:abstractNumId="82">
    <w:nsid w:val="73A1821B"/>
    <w:multiLevelType w:val="hybridMultilevel"/>
    <w:lvl w:ilvl="0">
      <w:lvlJc w:val="left"/>
      <w:lvlText w:val="(%1)"/>
      <w:numFmt w:val="lowerLetter"/>
      <w:start w:val="5"/>
    </w:lvl>
  </w:abstractNum>
  <w:abstractNum w:abstractNumId="83">
    <w:nsid w:val="7DE67713"/>
    <w:multiLevelType w:val="hybridMultilevel"/>
    <w:lvl w:ilvl="0">
      <w:lvlJc w:val="left"/>
      <w:lvlText w:val="(%1)"/>
      <w:numFmt w:val="lowerLetter"/>
      <w:start w:val="6"/>
    </w:lvl>
  </w:abstractNum>
  <w:abstractNum w:abstractNumId="84">
    <w:nsid w:val="555C55B5"/>
    <w:multiLevelType w:val="hybridMultilevel"/>
    <w:lvl w:ilvl="0">
      <w:lvlJc w:val="left"/>
      <w:lvlText w:val="%1."/>
      <w:numFmt w:val="decimal"/>
      <w:start w:val="22"/>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decimal"/>
      <w:start w:val="10"/>
    </w:lvl>
  </w:abstractNum>
  <w:abstractNum w:abstractNumId="87">
    <w:nsid w:val="6A3DD3E8"/>
    <w:multiLevelType w:val="hybridMultilevel"/>
    <w:lvl w:ilvl="0">
      <w:lvlJc w:val="left"/>
      <w:lvlText w:val="(%1)"/>
      <w:numFmt w:val="lowerLetter"/>
      <w:start w:val="3"/>
    </w:lvl>
  </w:abstractNum>
  <w:abstractNum w:abstractNumId="88">
    <w:nsid w:val="71C91298"/>
    <w:multiLevelType w:val="hybridMultilevel"/>
    <w:lvl w:ilvl="0">
      <w:lvlJc w:val="left"/>
      <w:lvlText w:val="(%1)"/>
      <w:numFmt w:val="lowerRoman"/>
      <w:start w:val="1"/>
    </w:lvl>
  </w:abstractNum>
  <w:abstractNum w:abstractNumId="89">
    <w:nsid w:val="9DAF632"/>
    <w:multiLevelType w:val="hybridMultilevel"/>
    <w:lvl w:ilvl="0">
      <w:lvlJc w:val="left"/>
      <w:lvlText w:val="(%1)"/>
      <w:numFmt w:val="lowerRoman"/>
      <w:start w:val="2"/>
    </w:lvl>
  </w:abstractNum>
  <w:abstractNum w:abstractNumId="90">
    <w:nsid w:val="53299938"/>
    <w:multiLevelType w:val="hybridMultilevel"/>
    <w:lvl w:ilvl="0">
      <w:lvlJc w:val="left"/>
      <w:lvlText w:val="(%1)"/>
      <w:numFmt w:val="lowerLetter"/>
      <w:start w:val="4"/>
    </w:lvl>
  </w:abstractNum>
  <w:abstractNum w:abstractNumId="91">
    <w:nsid w:val="1FBFE8E0"/>
    <w:multiLevelType w:val="hybridMultilevel"/>
    <w:lvl w:ilvl="0">
      <w:lvlJc w:val="left"/>
      <w:lvlText w:val="(%1)"/>
      <w:numFmt w:val="lowerLetter"/>
      <w:start w:val="35"/>
    </w:lvl>
  </w:abstractNum>
  <w:abstractNum w:abstractNumId="92">
    <w:nsid w:val="5092CA79"/>
    <w:multiLevelType w:val="hybridMultilevel"/>
    <w:lvl w:ilvl="0">
      <w:lvlJc w:val="left"/>
      <w:lvlText w:val="%1."/>
      <w:numFmt w:val="decimal"/>
      <w:start w:val="23"/>
    </w:lvl>
  </w:abstractNum>
  <w:abstractNum w:abstractNumId="93">
    <w:nsid w:val="1D545C4D"/>
    <w:multiLevelType w:val="hybridMultilevel"/>
    <w:lvl w:ilvl="0">
      <w:lvlJc w:val="left"/>
      <w:lvlText w:val="%1."/>
      <w:numFmt w:val="decimal"/>
      <w:start w:val="28"/>
    </w:lvl>
  </w:abstractNum>
  <w:abstractNum w:abstractNumId="94">
    <w:nsid w:val="59ADEA3D"/>
    <w:multiLevelType w:val="hybridMultilevel"/>
    <w:lvl w:ilvl="0">
      <w:lvlJc w:val="left"/>
      <w:lvlText w:val="%1."/>
      <w:numFmt w:val="decimal"/>
      <w:start w:val="29"/>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3"/>
    </w:lvl>
  </w:abstractNum>
  <w:abstractNum w:abstractNumId="97">
    <w:nsid w:val="1D9F6E5F"/>
    <w:multiLevelType w:val="hybridMultilevel"/>
    <w:lvl w:ilvl="0">
      <w:lvlJc w:val="left"/>
      <w:lvlText w:val="(%1)"/>
      <w:numFmt w:val="lowerLetter"/>
      <w:start w:val="6"/>
    </w:lvl>
  </w:abstractNum>
  <w:abstractNum w:abstractNumId="98">
    <w:nsid w:val="97E1B4E"/>
    <w:multiLevelType w:val="hybridMultilevel"/>
    <w:lvl w:ilvl="0">
      <w:lvlJc w:val="left"/>
      <w:lvlText w:val="%1."/>
      <w:numFmt w:val="decimal"/>
      <w:start w:val="31"/>
    </w:lvl>
  </w:abstractNum>
  <w:abstractNum w:abstractNumId="99">
    <w:nsid w:val="51088277"/>
    <w:multiLevelType w:val="hybridMultilevel"/>
    <w:lvl w:ilvl="0">
      <w:lvlJc w:val="left"/>
      <w:lvlText w:val="%1."/>
      <w:numFmt w:val="decimal"/>
      <w:start w:val="32"/>
    </w:lvl>
  </w:abstractNum>
  <w:abstractNum w:abstractNumId="100">
    <w:nsid w:val="1CA0C5FA"/>
    <w:multiLevelType w:val="hybridMultilevel"/>
    <w:lvl w:ilvl="0">
      <w:lvlJc w:val="left"/>
      <w:lvlText w:val="%1."/>
      <w:numFmt w:val="decimal"/>
      <w:start w:val="37"/>
    </w:lvl>
  </w:abstractNum>
  <w:abstractNum w:abstractNumId="101">
    <w:nsid w:val="53584BCB"/>
    <w:multiLevelType w:val="hybridMultilevel"/>
    <w:lvl w:ilvl="0">
      <w:lvlJc w:val="left"/>
      <w:lvlText w:val="%1."/>
      <w:numFmt w:val="decimal"/>
      <w:start w:val="39"/>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decimal"/>
      <w:start w:val="40"/>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2"/>
    </w:lvl>
  </w:abstractNum>
  <w:abstractNum w:abstractNumId="106">
    <w:nsid w:val="5C10FE21"/>
    <w:multiLevelType w:val="hybridMultilevel"/>
    <w:lvl w:ilvl="0">
      <w:lvlJc w:val="left"/>
      <w:lvlText w:val="(%1)"/>
      <w:numFmt w:val="lowerRoman"/>
      <w:start w:val="1"/>
    </w:lvl>
  </w:abstractNum>
  <w:abstractNum w:abstractNumId="107">
    <w:nsid w:val="E7FFA2B"/>
    <w:multiLevelType w:val="hybridMultilevel"/>
    <w:lvl w:ilvl="0">
      <w:lvlJc w:val="left"/>
      <w:lvlText w:val="(%1)"/>
      <w:numFmt w:val="lowerLetter"/>
      <w:start w:val="3"/>
    </w:lvl>
  </w:abstractNum>
  <w:abstractNum w:abstractNumId="108">
    <w:nsid w:val="3C5991AA"/>
    <w:multiLevelType w:val="hybridMultilevel"/>
    <w:lvl w:ilvl="0">
      <w:lvlJc w:val="left"/>
      <w:lvlText w:val="(%1)"/>
      <w:numFmt w:val="lowerRoman"/>
      <w:start w:val="1"/>
    </w:lvl>
  </w:abstractNum>
  <w:abstractNum w:abstractNumId="109">
    <w:nsid w:val="4BD8591A"/>
    <w:multiLevelType w:val="hybridMultilevel"/>
    <w:lvl w:ilvl="0">
      <w:lvlJc w:val="left"/>
      <w:lvlText w:val="(%1)"/>
      <w:numFmt w:val="lowerLetter"/>
      <w:start w:val="5"/>
    </w:lvl>
  </w:abstractNum>
  <w:abstractNum w:abstractNumId="110">
    <w:nsid w:val="78DF6A55"/>
    <w:multiLevelType w:val="hybridMultilevel"/>
    <w:lvl w:ilvl="0">
      <w:lvlJc w:val="left"/>
      <w:lvlText w:val="%1."/>
      <w:numFmt w:val="decimal"/>
      <w:start w:val="41"/>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4"/>
    </w:lvl>
  </w:abstractNum>
  <w:abstractNum w:abstractNumId="113">
    <w:nsid w:val="6C80EC70"/>
    <w:multiLevelType w:val="hybridMultilevel"/>
    <w:lvl w:ilvl="0">
      <w:lvlJc w:val="left"/>
      <w:lvlText w:val="(%1)"/>
      <w:numFmt w:val="lowerLetter"/>
      <w:start w:val="14"/>
    </w:lvl>
  </w:abstractNum>
  <w:abstractNum w:abstractNumId="114">
    <w:nsid w:val="379E21B5"/>
    <w:multiLevelType w:val="hybridMultilevel"/>
    <w:lvl w:ilvl="0">
      <w:lvlJc w:val="left"/>
      <w:lvlText w:val="(%1)"/>
      <w:numFmt w:val="lowerRoman"/>
      <w:start w:val="1"/>
    </w:lvl>
  </w:abstractNum>
  <w:abstractNum w:abstractNumId="115">
    <w:nsid w:val="69E373"/>
    <w:multiLevelType w:val="hybridMultilevel"/>
    <w:lvl w:ilvl="0">
      <w:lvlJc w:val="left"/>
      <w:lvlText w:val="(%1)"/>
      <w:numFmt w:val="lowerLetter"/>
      <w:start w:val="16"/>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2022-04-08T15:12:19Z</dcterms:created>
  <dcterms:modified xsi:type="dcterms:W3CDTF">2022-04-08T15:12:19Z</dcterms:modified>
</cp:coreProperties>
</file>