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793916.xml.htm"/>
      <w:bookmarkStart w:id="1" w:name="kswkform4_178579391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Ring Christine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NURIX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1600 SIERRA POINT PKWY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BRISBANE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Nurix Therapeutics, Inc.</w:t>
              </w:r>
            </w:hyperlink>
            <w:r>
              <w:rPr/>
              <w:t xml:space="preserve"> [ </w:t>
            </w:r>
            <w:r>
              <w:rPr>
                <w:rFonts w:ascii="Times;serif" w:hAnsi="Times;serif"/>
                <w:color w:val="0000FF"/>
                <w:sz w:val="24"/>
                <w:shd w:fill="FFFFFF" w:val="clear"/>
              </w:rPr>
              <w:t>NRIX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5,787</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8.72</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25,699</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16,589</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23.0489</w:t>
            </w:r>
            <w:r>
              <w:rPr>
                <w:rFonts w:ascii="Times;serif" w:hAnsi="Times;serif"/>
                <w:color w:val="008000"/>
                <w:position w:val="7"/>
                <w:sz w:val="16"/>
                <w:sz w:val="20"/>
                <w:shd w:fill="FFFFFF" w:val="clear"/>
              </w:rPr>
              <w:t>(2)</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9,110</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8.72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5,787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02/12/2034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5,787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122,824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Rule 10b5-1 trading plan previously adopted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weighted average sale price. The lowest price at which shares were sold was $22.67 and the highest price at which shares were sold was $23.30. The Reporting Person undertakes to provide upon request to the staff of the Securities and Exchange Commission, the Issuer or its stockholders, full information regarding the total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stock option vests as to 1/36 of the total shares monthly beginning March 13, 2024, until the option is fully vested on February 13, 2027, subject to the Reporting Person's provision of service to the Issuer on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Burbach, as Attorney-in-Fact for Christine Ring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17199" TargetMode="External"/><Relationship Id="rId5" Type="http://schemas.openxmlformats.org/officeDocument/2006/relationships/hyperlink" Target="http://www.sec.gov/cgi-bin/browse-edgar?action=getcompany&amp;CIK=00015495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727</Words>
  <Characters>3913</Characters>
  <CharactersWithSpaces>4549</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