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00" w:right="1620" w:hanging="3692"/>
        <w:spacing w:after="0" w:line="391"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February 28, 2021</w:t>
      </w:r>
    </w:p>
    <w:p>
      <w:pPr>
        <w:spacing w:after="0" w:line="2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40"/>
        <w:spacing w:after="0"/>
        <w:tabs>
          <w:tab w:leader="none" w:pos="6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NURIX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jc w:val="center"/>
              <w:ind w:left="1602"/>
              <w:spacing w:after="0"/>
              <w:rPr>
                <w:sz w:val="20"/>
                <w:szCs w:val="20"/>
                <w:color w:val="auto"/>
              </w:rPr>
            </w:pPr>
            <w:r>
              <w:rPr>
                <w:rFonts w:ascii="Arial" w:cs="Arial" w:eastAsia="Arial" w:hAnsi="Arial"/>
                <w:sz w:val="15"/>
                <w:szCs w:val="15"/>
                <w:b w:val="1"/>
                <w:bCs w:val="1"/>
                <w:color w:val="auto"/>
                <w:w w:val="94"/>
              </w:rPr>
              <w:t>Delaware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right"/>
              <w:ind w:right="2324"/>
              <w:spacing w:after="0"/>
              <w:rPr>
                <w:sz w:val="20"/>
                <w:szCs w:val="20"/>
                <w:color w:val="auto"/>
              </w:rPr>
            </w:pPr>
            <w:r>
              <w:rPr>
                <w:rFonts w:ascii="Arial" w:cs="Arial" w:eastAsia="Arial" w:hAnsi="Arial"/>
                <w:sz w:val="15"/>
                <w:szCs w:val="15"/>
                <w:b w:val="1"/>
                <w:bCs w:val="1"/>
                <w:color w:val="auto"/>
              </w:rPr>
              <w:t>27-0838048</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2"/>
              </w:rPr>
              <w:t>(State or other jurisdiction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64"/>
              <w:spacing w:after="0" w:line="162" w:lineRule="exact"/>
              <w:rPr>
                <w:sz w:val="20"/>
                <w:szCs w:val="20"/>
                <w:color w:val="auto"/>
              </w:rPr>
            </w:pPr>
            <w:r>
              <w:rPr>
                <w:rFonts w:ascii="Arial" w:cs="Arial" w:eastAsia="Arial" w:hAnsi="Arial"/>
                <w:sz w:val="15"/>
                <w:szCs w:val="15"/>
                <w:b w:val="1"/>
                <w:bCs w:val="1"/>
                <w:color w:val="auto"/>
                <w:w w:val="95"/>
              </w:rPr>
              <w:t>(I.R.S. Employer</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2"/>
              </w:rPr>
              <w:t>incorporation or organization)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84"/>
              <w:spacing w:after="0" w:line="162" w:lineRule="exact"/>
              <w:rPr>
                <w:sz w:val="20"/>
                <w:szCs w:val="20"/>
                <w:color w:val="auto"/>
              </w:rPr>
            </w:pPr>
            <w:r>
              <w:rPr>
                <w:rFonts w:ascii="Arial" w:cs="Arial" w:eastAsia="Arial" w:hAnsi="Arial"/>
                <w:sz w:val="15"/>
                <w:szCs w:val="15"/>
                <w:b w:val="1"/>
                <w:bCs w:val="1"/>
                <w:color w:val="auto"/>
                <w:w w:val="94"/>
              </w:rPr>
              <w:t>Identification No.)</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1"/>
              </w:rPr>
              <w:t>1700 Owens Street, Suite 205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Arial" w:cs="Arial" w:eastAsia="Arial" w:hAnsi="Arial"/>
                <w:sz w:val="15"/>
                <w:szCs w:val="15"/>
                <w:b w:val="1"/>
                <w:bCs w:val="1"/>
                <w:color w:val="auto"/>
                <w:w w:val="92"/>
              </w:rPr>
              <w:t>San Francisco, CA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right"/>
              <w:ind w:right="2504"/>
              <w:spacing w:after="0" w:line="162" w:lineRule="exact"/>
              <w:rPr>
                <w:sz w:val="20"/>
                <w:szCs w:val="20"/>
                <w:color w:val="auto"/>
              </w:rPr>
            </w:pPr>
            <w:r>
              <w:rPr>
                <w:rFonts w:ascii="Arial" w:cs="Arial" w:eastAsia="Arial" w:hAnsi="Arial"/>
                <w:sz w:val="15"/>
                <w:szCs w:val="15"/>
                <w:b w:val="1"/>
                <w:bCs w:val="1"/>
                <w:color w:val="auto"/>
              </w:rPr>
              <w:t>94158</w:t>
            </w:r>
          </w:p>
        </w:tc>
        <w:tc>
          <w:tcPr>
            <w:tcW w:w="0" w:type="dxa"/>
            <w:vAlign w:val="bottom"/>
          </w:tcPr>
          <w:p>
            <w:pPr>
              <w:spacing w:after="0"/>
              <w:rPr>
                <w:sz w:val="1"/>
                <w:szCs w:val="1"/>
                <w:color w:val="auto"/>
              </w:rPr>
            </w:pPr>
          </w:p>
        </w:tc>
      </w:tr>
      <w:tr>
        <w:trPr>
          <w:trHeight w:val="198"/>
        </w:trPr>
        <w:tc>
          <w:tcPr>
            <w:tcW w:w="6740" w:type="dxa"/>
            <w:vAlign w:val="bottom"/>
            <w:gridSpan w:val="7"/>
          </w:tcPr>
          <w:p>
            <w:pPr>
              <w:jc w:val="center"/>
              <w:ind w:right="1160"/>
              <w:spacing w:after="0"/>
              <w:rPr>
                <w:sz w:val="20"/>
                <w:szCs w:val="20"/>
                <w:color w:val="auto"/>
              </w:rPr>
            </w:pPr>
            <w:r>
              <w:rPr>
                <w:rFonts w:ascii="Arial" w:cs="Arial" w:eastAsia="Arial" w:hAnsi="Arial"/>
                <w:sz w:val="15"/>
                <w:szCs w:val="15"/>
                <w:b w:val="1"/>
                <w:bCs w:val="1"/>
                <w:color w:val="auto"/>
                <w:w w:val="90"/>
              </w:rPr>
              <w:t>(Address of principal executive offices)</w:t>
            </w:r>
          </w:p>
        </w:tc>
        <w:tc>
          <w:tcPr>
            <w:tcW w:w="4500" w:type="dxa"/>
            <w:vAlign w:val="bottom"/>
          </w:tcPr>
          <w:p>
            <w:pPr>
              <w:jc w:val="center"/>
              <w:ind w:right="964"/>
              <w:spacing w:after="0"/>
              <w:rPr>
                <w:sz w:val="20"/>
                <w:szCs w:val="20"/>
                <w:color w:val="auto"/>
              </w:rPr>
            </w:pPr>
            <w:r>
              <w:rPr>
                <w:rFonts w:ascii="Arial" w:cs="Arial" w:eastAsia="Arial" w:hAnsi="Arial"/>
                <w:sz w:val="15"/>
                <w:szCs w:val="15"/>
                <w:b w:val="1"/>
                <w:bCs w:val="1"/>
                <w:color w:val="auto"/>
                <w:w w:val="94"/>
              </w:rPr>
              <w:t>(Zip Code)</w:t>
            </w:r>
          </w:p>
        </w:tc>
        <w:tc>
          <w:tcPr>
            <w:tcW w:w="0" w:type="dxa"/>
            <w:vAlign w:val="bottom"/>
          </w:tcPr>
          <w:p>
            <w:pPr>
              <w:spacing w:after="0"/>
              <w:rPr>
                <w:sz w:val="1"/>
                <w:szCs w:val="1"/>
                <w:color w:val="auto"/>
              </w:rPr>
            </w:pPr>
          </w:p>
        </w:tc>
      </w:tr>
      <w:tr>
        <w:trPr>
          <w:trHeight w:val="305"/>
        </w:trPr>
        <w:tc>
          <w:tcPr>
            <w:tcW w:w="11240" w:type="dxa"/>
            <w:vAlign w:val="bottom"/>
            <w:gridSpan w:val="8"/>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(415) 660-5320</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7340" w:type="dxa"/>
            <w:vAlign w:val="bottom"/>
            <w:gridSpan w:val="7"/>
          </w:tcPr>
          <w:p>
            <w:pPr>
              <w:ind w:left="120"/>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13"/>
        </w:trPr>
        <w:tc>
          <w:tcPr>
            <w:tcW w:w="3900" w:type="dxa"/>
            <w:vAlign w:val="bottom"/>
            <w:vMerge w:val="restart"/>
          </w:tcPr>
          <w:p>
            <w:pPr>
              <w:jc w:val="center"/>
              <w:ind w:left="302"/>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7"/>
              </w:rPr>
              <w:t>Trading</w:t>
            </w:r>
          </w:p>
        </w:tc>
        <w:tc>
          <w:tcPr>
            <w:tcW w:w="4500" w:type="dxa"/>
            <w:vAlign w:val="bottom"/>
            <w:vMerge w:val="restart"/>
          </w:tcPr>
          <w:p>
            <w:pPr>
              <w:jc w:val="center"/>
              <w:ind w:right="46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00" w:type="dxa"/>
            <w:vAlign w:val="bottom"/>
            <w:tcBorders>
              <w:top w:val="single" w:sz="8" w:color="auto"/>
            </w:tcBorders>
          </w:tcPr>
          <w:p>
            <w:pPr>
              <w:jc w:val="center"/>
              <w:ind w:left="322"/>
              <w:spacing w:after="0"/>
              <w:rPr>
                <w:sz w:val="20"/>
                <w:szCs w:val="20"/>
                <w:color w:val="auto"/>
              </w:rPr>
            </w:pPr>
            <w:r>
              <w:rPr>
                <w:rFonts w:ascii="Arial" w:cs="Arial" w:eastAsia="Arial" w:hAnsi="Arial"/>
                <w:sz w:val="16"/>
                <w:szCs w:val="16"/>
                <w:color w:val="auto"/>
                <w:w w:val="91"/>
              </w:rPr>
              <w:t>Common Stock, par value $0.001 per share</w:t>
            </w: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5"/>
              <w:spacing w:after="0"/>
              <w:rPr>
                <w:sz w:val="20"/>
                <w:szCs w:val="20"/>
                <w:color w:val="auto"/>
              </w:rPr>
            </w:pPr>
            <w:r>
              <w:rPr>
                <w:rFonts w:ascii="Arial" w:cs="Arial" w:eastAsia="Arial" w:hAnsi="Arial"/>
                <w:sz w:val="16"/>
                <w:szCs w:val="16"/>
                <w:color w:val="auto"/>
              </w:rPr>
              <w:t>NRIX</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464"/>
              <w:spacing w:after="0"/>
              <w:rPr>
                <w:sz w:val="20"/>
                <w:szCs w:val="20"/>
                <w:color w:val="auto"/>
              </w:rPr>
            </w:pPr>
            <w:r>
              <w:rPr>
                <w:rFonts w:ascii="Arial" w:cs="Arial" w:eastAsia="Arial" w:hAnsi="Arial"/>
                <w:sz w:val="16"/>
                <w:szCs w:val="16"/>
                <w:color w:val="auto"/>
                <w:w w:val="92"/>
              </w:rPr>
              <w:t>Nasdaq Global Market</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120"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2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9, 2021, the Registrant had 44,347,441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7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57"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our planned investigational new drug application (IND) submissions for our lead drug candidates and other drug candidates;</w:t>
      </w:r>
    </w:p>
    <w:p>
      <w:pPr>
        <w:spacing w:after="0" w:line="128" w:lineRule="exact"/>
        <w:rPr>
          <w:rFonts w:ascii="Arial" w:cs="Arial" w:eastAsia="Arial" w:hAnsi="Arial"/>
          <w:sz w:val="17"/>
          <w:szCs w:val="17"/>
          <w:color w:val="auto"/>
        </w:rPr>
      </w:pPr>
    </w:p>
    <w:p>
      <w:pPr>
        <w:ind w:left="740" w:right="3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conduct of our clinical trial programs for our lead drug candidates NX-2127, NX-1607, NX-5948, DeTIL-0255 and other drug candidates, including statements regarding the timing of initiation of the clinical trials;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marketing approvals for our lead drug candidates NX-2127 and NX-1607 and other drug candidates;</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DELigase platform and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our scientific approach and DELigase platform may potentially address a broad range of diseases;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arrangements with Sanofi S.A. and Gilead Sciences, Inc.;</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 from future sales of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drug candidates;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manufacturing of our drug candidates;</w:t>
      </w:r>
    </w:p>
    <w:p>
      <w:pPr>
        <w:spacing w:after="0" w:line="117" w:lineRule="exact"/>
        <w:rPr>
          <w:rFonts w:ascii="Arial" w:cs="Arial" w:eastAsia="Arial" w:hAnsi="Arial"/>
          <w:sz w:val="18"/>
          <w:szCs w:val="18"/>
          <w:color w:val="auto"/>
        </w:rPr>
      </w:pPr>
    </w:p>
    <w:p>
      <w:pPr>
        <w:ind w:left="740" w:right="7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coronavirus (COVID-19) pandemic on our business, clinical trials, financial condition, liquidity and results of operations;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achievement of milestones and receipt of royalty payments under our collaborations;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9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(unaudited)</w:t>
              </w:r>
            </w:hyperlink>
          </w:p>
        </w:tc>
        <w:tc>
          <w:tcPr>
            <w:tcW w:w="50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9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redeemable convertible preferred stock and stockholders’ equity (deficit) (unaudited)</w:t>
              </w:r>
            </w:hyperlink>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w:t>
              </w:r>
            </w:hyperlink>
          </w:p>
        </w:tc>
        <w:tc>
          <w:tcPr>
            <w:tcW w:w="502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86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80" w:type="dxa"/>
            <w:vAlign w:val="bottom"/>
            <w:tcBorders>
              <w:top w:val="single" w:sz="8" w:color="0000EE"/>
            </w:tcBorders>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32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2380" w:type="dxa"/>
            <w:vAlign w:val="bottom"/>
            <w:tcBorders>
              <w:top w:val="single" w:sz="8" w:color="0000EE"/>
            </w:tcBorders>
            <w:gridSpan w:val="5"/>
          </w:tcPr>
          <w:p>
            <w:pPr>
              <w:spacing w:after="0"/>
              <w:rPr>
                <w:sz w:val="18"/>
                <w:szCs w:val="18"/>
                <w:color w:val="auto"/>
              </w:rPr>
            </w:pPr>
          </w:p>
        </w:tc>
        <w:tc>
          <w:tcPr>
            <w:tcW w:w="532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OTHER INFORMATION</w:t>
              </w:r>
            </w:hyperlink>
          </w:p>
        </w:tc>
        <w:tc>
          <w:tcPr>
            <w:tcW w:w="75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317"/>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814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8600" w:type="dxa"/>
            <w:vAlign w:val="bottom"/>
            <w:gridSpan w:val="1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Defaults upon senior securities</w:t>
              </w:r>
            </w:hyperlink>
          </w:p>
        </w:tc>
        <w:tc>
          <w:tcPr>
            <w:tcW w:w="1960" w:type="dxa"/>
            <w:vAlign w:val="bottom"/>
            <w:tcBorders>
              <w:top w:val="single" w:sz="8" w:color="0000EE"/>
            </w:tcBorders>
            <w:gridSpan w:val="4"/>
          </w:tcPr>
          <w:p>
            <w:pPr>
              <w:spacing w:after="0"/>
              <w:rPr>
                <w:sz w:val="18"/>
                <w:szCs w:val="18"/>
                <w:color w:val="auto"/>
              </w:rPr>
            </w:pPr>
          </w:p>
        </w:tc>
        <w:tc>
          <w:tcPr>
            <w:tcW w:w="52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Mine safety disclosures</w:t>
              </w:r>
            </w:hyperlink>
          </w:p>
        </w:tc>
        <w:tc>
          <w:tcPr>
            <w:tcW w:w="776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Other information</w:t>
              </w:r>
            </w:hyperlink>
          </w:p>
        </w:tc>
        <w:tc>
          <w:tcPr>
            <w:tcW w:w="816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318"/>
        </w:trPr>
        <w:tc>
          <w:tcPr>
            <w:tcW w:w="1160" w:type="dxa"/>
            <w:vAlign w:val="bottom"/>
            <w:gridSpan w:val="2"/>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r>
      <w:tr>
        <w:trPr>
          <w:trHeight w:val="1000"/>
        </w:trPr>
        <w:tc>
          <w:tcPr>
            <w:tcW w:w="110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February 28,</w:t>
            </w:r>
          </w:p>
        </w:tc>
        <w:tc>
          <w:tcPr>
            <w:tcW w:w="2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176,692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Contract assets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Income tax receivable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310,768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investments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77,191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396,660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4,388</w:t>
            </w:r>
          </w:p>
        </w:tc>
        <w:tc>
          <w:tcPr>
            <w:tcW w:w="2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and other current liabilities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 current</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47,972</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Deferred revenue, net of current portion</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77,723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126,527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and contingencies (Note 6)</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Stockholders’ equity (deficit):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$0.001 par value— 10,000,000 shares</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as of February 28, 2021 and</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November 30, 2020; 0 shares issued and outstanding</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February 28, 2021 and November 30, 2020</w:t>
            </w: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380" w:type="dxa"/>
            <w:vAlign w:val="bottom"/>
          </w:tcPr>
          <w:p>
            <w:pPr>
              <w:ind w:left="240"/>
              <w:spacing w:after="0"/>
              <w:rPr>
                <w:sz w:val="20"/>
                <w:szCs w:val="20"/>
                <w:color w:val="auto"/>
              </w:rPr>
            </w:pPr>
            <w:r>
              <w:rPr>
                <w:rFonts w:ascii="Arial" w:cs="Arial" w:eastAsia="Arial" w:hAnsi="Arial"/>
                <w:sz w:val="18"/>
                <w:szCs w:val="18"/>
                <w:color w:val="auto"/>
              </w:rPr>
              <w:t>Common stock, $0.001 par value— 500,000,000 shares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80"/>
              <w:spacing w:after="0"/>
              <w:rPr>
                <w:sz w:val="20"/>
                <w:szCs w:val="20"/>
                <w:color w:val="auto"/>
              </w:rPr>
            </w:pPr>
            <w:r>
              <w:rPr>
                <w:rFonts w:ascii="Arial" w:cs="Arial" w:eastAsia="Arial" w:hAnsi="Arial"/>
                <w:sz w:val="18"/>
                <w:szCs w:val="18"/>
                <w:color w:val="auto"/>
              </w:rPr>
              <w:t>authorized as of February 28, 2021 and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80"/>
              <w:spacing w:after="0"/>
              <w:rPr>
                <w:sz w:val="20"/>
                <w:szCs w:val="20"/>
                <w:color w:val="auto"/>
              </w:rPr>
            </w:pPr>
            <w:r>
              <w:rPr>
                <w:rFonts w:ascii="Arial" w:cs="Arial" w:eastAsia="Arial" w:hAnsi="Arial"/>
                <w:sz w:val="18"/>
                <w:szCs w:val="18"/>
                <w:color w:val="auto"/>
              </w:rPr>
              <w:t>November 30, 2020; 39,119,315 and 38,864,872 shares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80"/>
              <w:spacing w:after="0"/>
              <w:rPr>
                <w:sz w:val="20"/>
                <w:szCs w:val="20"/>
                <w:color w:val="auto"/>
              </w:rPr>
            </w:pPr>
            <w:r>
              <w:rPr>
                <w:rFonts w:ascii="Arial" w:cs="Arial" w:eastAsia="Arial" w:hAnsi="Arial"/>
                <w:sz w:val="18"/>
                <w:szCs w:val="18"/>
                <w:color w:val="auto"/>
              </w:rPr>
              <w:t>issued and outstanding as of February 28, 2021 and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November 30, 2020, respectively</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Additional paid-in-capital</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(127,973)</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(103,698)</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270,133</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396,660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553"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 28,</w:t>
            </w:r>
          </w:p>
        </w:tc>
        <w:tc>
          <w:tcPr>
            <w:tcW w:w="2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29,</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(24,275)</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38,777,258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February 28,</w:t>
            </w:r>
          </w:p>
        </w:tc>
        <w:tc>
          <w:tcPr>
            <w:tcW w:w="5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February 29,</w:t>
            </w:r>
          </w:p>
        </w:tc>
      </w:tr>
      <w:tr>
        <w:trPr>
          <w:trHeight w:val="223"/>
        </w:trPr>
        <w:tc>
          <w:tcPr>
            <w:tcW w:w="60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available-for-sale investments</w:t>
            </w:r>
          </w:p>
        </w:tc>
        <w:tc>
          <w:tcPr>
            <w:tcW w:w="3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(24,313)</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320" w:type="dxa"/>
        <w:tblCellMar>
          <w:top w:w="0" w:type="dxa"/>
          <w:left w:w="0" w:type="dxa"/>
          <w:bottom w:w="0" w:type="dxa"/>
          <w:right w:w="0" w:type="dxa"/>
        </w:tblCellMar>
      </w:tblPr>
      <w:tr>
        <w:trPr>
          <w:trHeight w:val="148"/>
        </w:trPr>
        <w:tc>
          <w:tcPr>
            <w:tcW w:w="1980" w:type="dxa"/>
            <w:vAlign w:val="bottom"/>
          </w:tcPr>
          <w:p>
            <w:pPr>
              <w:spacing w:after="0"/>
              <w:rPr>
                <w:sz w:val="12"/>
                <w:szCs w:val="12"/>
                <w:color w:val="auto"/>
              </w:rPr>
            </w:pPr>
          </w:p>
        </w:tc>
        <w:tc>
          <w:tcPr>
            <w:tcW w:w="2040" w:type="dxa"/>
            <w:vAlign w:val="bottom"/>
            <w:tcBorders>
              <w:right w:val="single" w:sz="8" w:color="auto"/>
            </w:tcBorders>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0"/>
              </w:rPr>
              <w:t>Redeemable convertible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040" w:type="dxa"/>
            <w:vAlign w:val="bottom"/>
            <w:tcBorders>
              <w:right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vMerge w:val="restart"/>
          </w:tcPr>
          <w:p>
            <w:pPr>
              <w:jc w:val="right"/>
              <w:ind w:right="37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204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1980" w:type="dxa"/>
            <w:vAlign w:val="bottom"/>
          </w:tcPr>
          <w:p>
            <w:pPr>
              <w:spacing w:after="0"/>
              <w:rPr>
                <w:sz w:val="13"/>
                <w:szCs w:val="13"/>
                <w:color w:val="auto"/>
              </w:rPr>
            </w:pPr>
          </w:p>
        </w:tc>
        <w:tc>
          <w:tcPr>
            <w:tcW w:w="92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112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09"/>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Balance as of November</w:t>
            </w: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30, 2019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12,813,887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48,195</w:t>
            </w:r>
          </w:p>
        </w:tc>
        <w:tc>
          <w:tcPr>
            <w:tcW w:w="2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3,595,334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(60,456)</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(57,714)</w:t>
            </w:r>
          </w:p>
        </w:tc>
        <w:tc>
          <w:tcPr>
            <w:tcW w:w="0" w:type="dxa"/>
            <w:vAlign w:val="bottom"/>
          </w:tcPr>
          <w:p>
            <w:pPr>
              <w:spacing w:after="0"/>
              <w:rPr>
                <w:sz w:val="1"/>
                <w:szCs w:val="1"/>
                <w:color w:val="auto"/>
              </w:rPr>
            </w:pPr>
          </w:p>
        </w:tc>
      </w:tr>
      <w:tr>
        <w:trPr>
          <w:trHeight w:val="215"/>
        </w:trPr>
        <w:tc>
          <w:tcPr>
            <w:tcW w:w="1980" w:type="dxa"/>
            <w:vAlign w:val="bottom"/>
          </w:tcPr>
          <w:p>
            <w:pPr>
              <w:ind w:left="240"/>
              <w:spacing w:after="0"/>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unvested early</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exercised stock</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980" w:type="dxa"/>
            <w:vAlign w:val="bottom"/>
          </w:tcPr>
          <w:p>
            <w:pPr>
              <w:ind w:left="240"/>
              <w:spacing w:after="0"/>
              <w:rPr>
                <w:sz w:val="20"/>
                <w:szCs w:val="20"/>
                <w:color w:val="auto"/>
              </w:rPr>
            </w:pPr>
            <w:r>
              <w:rPr>
                <w:rFonts w:ascii="Arial" w:cs="Arial" w:eastAsia="Arial" w:hAnsi="Arial"/>
                <w:sz w:val="18"/>
                <w:szCs w:val="18"/>
                <w:color w:val="auto"/>
              </w:rPr>
              <w:t>Vesting of early-</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240"/>
              <w:spacing w:after="0"/>
              <w:rPr>
                <w:sz w:val="20"/>
                <w:szCs w:val="20"/>
                <w:color w:val="auto"/>
              </w:rPr>
            </w:pPr>
            <w:r>
              <w:rPr>
                <w:rFonts w:ascii="Arial" w:cs="Arial" w:eastAsia="Arial" w:hAnsi="Arial"/>
                <w:sz w:val="18"/>
                <w:szCs w:val="18"/>
                <w:color w:val="auto"/>
                <w:w w:val="98"/>
              </w:rPr>
              <w:t>Unrealized gain (loss)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40"/>
              <w:spacing w:after="0"/>
              <w:rPr>
                <w:sz w:val="20"/>
                <w:szCs w:val="20"/>
                <w:color w:val="auto"/>
              </w:rPr>
            </w:pPr>
            <w:r>
              <w:rPr>
                <w:rFonts w:ascii="Arial" w:cs="Arial" w:eastAsia="Arial" w:hAnsi="Arial"/>
                <w:sz w:val="18"/>
                <w:szCs w:val="18"/>
                <w:color w:val="auto"/>
              </w:rPr>
              <w:t>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380"/>
              <w:spacing w:after="0"/>
              <w:rPr>
                <w:sz w:val="20"/>
                <w:szCs w:val="20"/>
                <w:color w:val="auto"/>
              </w:rPr>
            </w:pPr>
            <w:r>
              <w:rPr>
                <w:rFonts w:ascii="Arial" w:cs="Arial" w:eastAsia="Arial" w:hAnsi="Arial"/>
                <w:sz w:val="18"/>
                <w:szCs w:val="18"/>
                <w:color w:val="auto"/>
              </w:rPr>
              <w:t>available-for-sale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(12,391)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8"/>
                <w:szCs w:val="18"/>
                <w:color w:val="auto"/>
              </w:rPr>
              <w:t>Balance as of February</w:t>
            </w: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0"/>
                <w:szCs w:val="20"/>
                <w:color w:val="auto"/>
              </w:rPr>
            </w:pPr>
            <w:r>
              <w:rPr>
                <w:rFonts w:ascii="Arial" w:cs="Arial" w:eastAsia="Arial" w:hAnsi="Arial"/>
                <w:sz w:val="18"/>
                <w:szCs w:val="18"/>
                <w:color w:val="auto"/>
              </w:rPr>
              <w:t>29, 2020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12,813,887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48,195</w:t>
            </w:r>
          </w:p>
        </w:tc>
        <w:tc>
          <w:tcPr>
            <w:tcW w:w="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3,667,037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(72,847)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(69,802)</w:t>
            </w:r>
          </w:p>
        </w:tc>
        <w:tc>
          <w:tcPr>
            <w:tcW w:w="0" w:type="dxa"/>
            <w:vAlign w:val="bottom"/>
          </w:tcPr>
          <w:p>
            <w:pPr>
              <w:spacing w:after="0"/>
              <w:rPr>
                <w:sz w:val="1"/>
                <w:szCs w:val="1"/>
                <w:color w:val="auto"/>
              </w:rPr>
            </w:pPr>
          </w:p>
        </w:tc>
      </w:tr>
      <w:tr>
        <w:trPr>
          <w:trHeight w:val="196"/>
        </w:trPr>
        <w:tc>
          <w:tcPr>
            <w:tcW w:w="19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9"/>
              </w:rPr>
              <w:t>Balance as of November</w:t>
            </w: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30, 2020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38,864,872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393,841</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(103,698)</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290,269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240"/>
              <w:spacing w:after="0"/>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190,825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unvested early</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exercised stock</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980" w:type="dxa"/>
            <w:vAlign w:val="bottom"/>
          </w:tcPr>
          <w:p>
            <w:pPr>
              <w:ind w:left="240"/>
              <w:spacing w:after="0"/>
              <w:rPr>
                <w:sz w:val="20"/>
                <w:szCs w:val="20"/>
                <w:color w:val="auto"/>
              </w:rPr>
            </w:pPr>
            <w:r>
              <w:rPr>
                <w:rFonts w:ascii="Arial" w:cs="Arial" w:eastAsia="Arial" w:hAnsi="Arial"/>
                <w:sz w:val="18"/>
                <w:szCs w:val="18"/>
                <w:color w:val="auto"/>
              </w:rPr>
              <w:t>Vesting of early-</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under</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Employee Stock</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64,589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240"/>
              <w:spacing w:after="0"/>
              <w:rPr>
                <w:sz w:val="20"/>
                <w:szCs w:val="20"/>
                <w:color w:val="auto"/>
              </w:rPr>
            </w:pPr>
            <w:r>
              <w:rPr>
                <w:rFonts w:ascii="Arial" w:cs="Arial" w:eastAsia="Arial" w:hAnsi="Arial"/>
                <w:sz w:val="18"/>
                <w:szCs w:val="18"/>
                <w:color w:val="auto"/>
              </w:rPr>
              <w:t>Stock-based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Unrealized gain (loss)</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available-for-sale</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investments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19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(24,275)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(24,275)</w:t>
            </w:r>
          </w:p>
        </w:tc>
        <w:tc>
          <w:tcPr>
            <w:tcW w:w="0" w:type="dxa"/>
            <w:vAlign w:val="bottom"/>
          </w:tcPr>
          <w:p>
            <w:pPr>
              <w:spacing w:after="0"/>
              <w:rPr>
                <w:sz w:val="1"/>
                <w:szCs w:val="1"/>
                <w:color w:val="auto"/>
              </w:rPr>
            </w:pPr>
          </w:p>
        </w:tc>
      </w:tr>
      <w:tr>
        <w:trPr>
          <w:trHeight w:val="209"/>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February</w:t>
            </w: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28, 2021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39,119,315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398,018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(127,973)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270,133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580" w:top="553" w:right="5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February 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February 29,</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(24,275)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Net amortization (accretion) of premium (discount) on investments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color w:val="auto"/>
              </w:rPr>
              <w:t>Contract assets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receivable</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16,990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(47,742)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(19,060)</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Maturities of investments</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Repurchase of unvested early exercised stock options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under Employee Stock Purchase Plan</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126,551</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Supplemental disclosures of non-cash investing and financing activities:</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Additions to property and equipment included in accounts payable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40"/>
              <w:spacing w:after="0"/>
              <w:rPr>
                <w:sz w:val="20"/>
                <w:szCs w:val="20"/>
                <w:color w:val="auto"/>
              </w:rPr>
            </w:pPr>
            <w:r>
              <w:rPr>
                <w:rFonts w:ascii="Arial" w:cs="Arial" w:eastAsia="Arial" w:hAnsi="Arial"/>
                <w:sz w:val="18"/>
                <w:szCs w:val="18"/>
                <w:color w:val="auto"/>
              </w:rPr>
              <w:t>and accrued liabilities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Vesting of early exercised stock options</w:t>
            </w:r>
          </w:p>
        </w:tc>
        <w:tc>
          <w:tcPr>
            <w:tcW w:w="7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Redeemable convertible preferred stock issuance costs included in</w:t>
            </w: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offering costs included in accounts payable and accrued liabilities</w:t>
            </w:r>
          </w:p>
        </w:tc>
        <w:tc>
          <w:tcPr>
            <w:tcW w:w="7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As of February 28,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of February 29,</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1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Reconciliation of cash, cash equivalents, and restricted cash as shown</w:t>
            </w: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the statements of cash flows:</w:t>
            </w: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126,381</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Nurix Therapeutics, Inc. (the Company) previously known as Nurix, Inc., was incorporated in the state of Delaware on August 27, 2009 and is headquartered in San Francisco, California. The Company is a biopharmaceutical company focused on the discovery, development and commercialization of small molecule therapies designed to modulate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6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wholly owns a subsidiary, DeCART Therapeutics Inc. (DeCART), which was incorporated in the state of Delaware on June 22, 2020 and holds a license to three of the Company’s compounds, including NX-0255, for drug-enhanced isolation of T cells nonexclusively with respect to one chimeric antigen receptor T cell (CAR-T) therapy target and exclusively with respect to three novel CAR-T therapy targets.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Immediately prior to the closing of the IPO, all outstanding shares of the Company’s redeemable convertible preferred stock automatically converted into 22,245,251 shares of common stock. Net proceeds from the IPO, including the exercise of the underwriters’ option to purchase additional shares, were $218.1 million, after deducting underwriting discounts and commissions of $16.7 million and expenses of $3.6 million.</w:t>
      </w:r>
    </w:p>
    <w:p>
      <w:pPr>
        <w:spacing w:after="0" w:line="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Subsequent to the closing of the IPO, there were no shares of preferred stock outstanding. In connection with the closing of the IPO, the Company restated its Restated Certificate of Incorporation to change the authorized capital stock to 500,000,000 shares designated as common stock, and 10,000,000 shares designated as preferred stock, all with a par value of $0.001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360" w:firstLine="510"/>
        <w:spacing w:after="0" w:line="286" w:lineRule="auto"/>
        <w:rPr>
          <w:sz w:val="20"/>
          <w:szCs w:val="20"/>
          <w:color w:val="auto"/>
        </w:rPr>
      </w:pPr>
      <w:r>
        <w:rPr>
          <w:rFonts w:ascii="Arial" w:cs="Arial" w:eastAsia="Arial" w:hAnsi="Arial"/>
          <w:sz w:val="17"/>
          <w:szCs w:val="17"/>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approximately $150.1 million, after deducting underwriting discounts and commissions of $9.6 million and expenses of $0.7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three months ended February 28, 2021, the Company incurred a net loss of $24.3 million and had positive net cash flows from operating activities of $8.1 million. The Company had an accumulated deficit of $128.0 million as of February 28, 2021 and will require substantial additional capital for research and development activities. The Company anticipates incurring additional losses until such time, if ever, that it can generate significant sales of its drug candidates currently in development. As of February 28, 2021, the Company had cash, cash equivalents and investments of $380.3 million.</w:t>
      </w:r>
    </w:p>
    <w:p>
      <w:pPr>
        <w:spacing w:after="0" w:line="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Management believes that its cash, cash equivalents and investments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Company’s condensed consolidated financial statements have been prepared in accordance with U.S. generally accepted accounting principles (U.S. GAAP) and applicable rules and regulations of the Securities and Exchange Commission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months ended February 28, 2021. The condensed consolidated balance sheet as of November 30, 2020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2020, as filed with the SEC. These interim results are not necessarily indicative of results to be expected for the full fiscal year or any future interim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Nurix Therapeutics, Inc. and its wholly owned subsidiary, DeCART.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On July 17, 2020, the Company filed an amendment to the Company’s amended and restated certificate of incorporation to effect a reverse split of shares of the Company’s common stock and redeemable convertible preferred stock, each on a 1-for-3 basis (reverse stock split). The par value and authorized shares of the common stock and redeemable convertible preferred stock were not adjusted as a result of the reverse stock split. All issued and outstanding common stock, options to purchase common stock and per share amounts contained in the condensed consolidated financial statements have been retroactively adjusted to give effect to the reverse stock split for all periods presented.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but minimal credit risk exists. The Company invests its cash equivalents in highly rated money market funds. The Company has not experienced any credit losses on its deposits of cash and cash equivalents.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6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right="340"/>
        <w:spacing w:after="0" w:line="277" w:lineRule="auto"/>
        <w:rPr>
          <w:sz w:val="20"/>
          <w:szCs w:val="20"/>
          <w:color w:val="auto"/>
        </w:rPr>
      </w:pPr>
      <w:r>
        <w:rPr>
          <w:rFonts w:ascii="Arial" w:cs="Arial" w:eastAsia="Arial" w:hAnsi="Arial"/>
          <w:sz w:val="18"/>
          <w:szCs w:val="18"/>
          <w:color w:val="auto"/>
        </w:rPr>
        <w:t>COVID-19 pandemic will impact the Company’s business will depend on future developments that are highly uncertain and cannot be predicted at this time.</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months ended February 28, 2021; however, actual results could differ from those estimates and there may be changes to management’s estimates in future periods.</w:t>
      </w:r>
    </w:p>
    <w:p>
      <w:pPr>
        <w:spacing w:after="0" w:line="84"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76"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7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80"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i w:val="1"/>
          <w:iCs w:val="1"/>
          <w:color w:val="auto"/>
        </w:rPr>
        <w:t>Research and collaboration licenses</w:t>
      </w:r>
      <w:r>
        <w:rPr>
          <w:rFonts w:ascii="Arial" w:cs="Arial" w:eastAsia="Arial" w:hAnsi="Arial"/>
          <w:sz w:val="18"/>
          <w:szCs w:val="18"/>
          <w:color w:val="auto"/>
        </w:rPr>
        <w:t>: If a license is determined to be distinct from the other promises identified in the arrangement,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At the inception of each arrangement that includes research, development, or regulatory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0"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i w:val="1"/>
          <w:iCs w:val="1"/>
          <w:color w:val="auto"/>
        </w:rPr>
        <w:t>Sales-based milestones and royalties</w:t>
      </w:r>
      <w:r>
        <w:rPr>
          <w:rFonts w:ascii="Arial" w:cs="Arial" w:eastAsia="Arial" w:hAnsi="Arial"/>
          <w:sz w:val="17"/>
          <w:szCs w:val="17"/>
          <w:color w:val="auto"/>
        </w:rPr>
        <w:t>: 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6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Customer options</w:t>
      </w:r>
      <w:r>
        <w:rPr>
          <w:rFonts w:ascii="Arial" w:cs="Arial" w:eastAsia="Arial" w:hAnsi="Arial"/>
          <w:sz w:val="18"/>
          <w:szCs w:val="18"/>
          <w:color w:val="auto"/>
        </w:rPr>
        <w:t>: Customer options, such as options granted to allow a licensee to extend a license or research term, to select additional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80"/>
        <w:spacing w:after="0" w:line="301" w:lineRule="auto"/>
        <w:rPr>
          <w:sz w:val="20"/>
          <w:szCs w:val="20"/>
          <w:color w:val="auto"/>
        </w:rPr>
      </w:pPr>
      <w:r>
        <w:rPr>
          <w:rFonts w:ascii="Arial" w:cs="Arial" w:eastAsia="Arial" w:hAnsi="Arial"/>
          <w:sz w:val="16"/>
          <w:szCs w:val="16"/>
          <w:color w:val="auto"/>
        </w:rPr>
        <w:t>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4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8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Contracts may be amended to account for changes in contract specifications and requirements. Contract modifications exist when the amendment either creates new, or changes existing, enforceable rights and obligations. When contract modifications create new performance obligations and the increase in consideration approximates the standalone selling price for goods and services related to such new performance obligations as adjusted for specific facts and circumstances of the contract, the modification is considered to be a separate contract and revenue is recognized prospectively. If a contract modification is not accounted for as a separate contract, the Company accounts for the promised goods or services not yet transferred at the date of the contract modification (the remaining promised goods or services) prospectively, as if it were a termination of the existing contract and the creation of a new contract, if the remaining goods or services are distinct from the goods or services transferred on or before the date of the contract modification. The Company accounts for a contract modification as if it were a part of the existing contract if the remaining goods or services are not distinct and, therefore, form part of a single performance obligation that is partially satisfied at the date of the contract modification. In such case the effect that the contract modification has on the transaction price, and on the entity’s measure of progress toward complete satisfaction of the performance obligation, is recognized as an adjustment to revenue (either as an increase in or a reduction of revenue) at the date of the contract modification (the adjustment to revenue is made on a cumulative catch-up basis).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510"/>
        <w:spacing w:after="0" w:line="286"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of 2012, as amended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w:t>
      </w:r>
    </w:p>
    <w:p>
      <w:pPr>
        <w:spacing w:after="0" w:line="1" w:lineRule="exact"/>
        <w:rPr>
          <w:sz w:val="20"/>
          <w:szCs w:val="20"/>
          <w:color w:val="auto"/>
        </w:rPr>
      </w:pPr>
    </w:p>
    <w:p>
      <w:pPr>
        <w:ind w:right="40" w:firstLine="8"/>
        <w:spacing w:after="0" w:line="323"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affirmatively and irrevocably opts out of the extended transition period provided in the JOBS Act. As a result, these condensed consolidated financial statements may not be comparable to companies that comply with the new or revised accounting pronouncements as of the public company effective dates.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Measurements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on fair value measurements by removing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to disclose amounts of and reasons for transfers between Level 1 and Level 2 of the fair value hierarchy, the policy for timing of transfers between levels, and the valuation process for Level 3 fair value measurements, among other modifications to fair value measurement disclosure requirements. The Company adopted ASU 2018-13 as of December 1, 2020. The adoption did not have a material impact on the Company’s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which for operating leases requires the lessee to recognize a right-of-use asset and a lease liability, initially measured at the present value of lease payments, in its balance sheet. A modified retrospective transition approach is required for leases existing at, or entered into after, the beginning of the earliest comparative period presented in the financial statements, including a number of optional practical expedients that entities may elect to apply. ASU 2016-02 is effective for annual periods beginning after December 15, 2021 and interim periods within annual periods beginning after December 15, 2022. Early adoption is permitted. The Company is in the process of evaluating the impact of this new guidance on its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80" w:firstLine="51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which requires that financial assets measured at amortized cost be 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investments and instead focuses on determining whether any impairment is a result of a credit loss or other factors. An entity will recognize an allowance for credit losses on available-for-sale debt investments rather than an other-than-temporary impairment that reduces the cost basis of the investment. ASU 2016-13 is effective for annual periods beginning after December 15, 2022, including interim periods within those annual periods. Early adoption is permitted. The Company is in the process of evaluating the impact of this new guidance on its financial statements.</w:t>
      </w:r>
    </w:p>
    <w:p>
      <w:pPr>
        <w:spacing w:after="0" w:line="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 Clarifying the Interaction between Topic 808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w:t>
      </w:r>
      <w:r>
        <w:rPr>
          <w:rFonts w:ascii="Arial" w:cs="Arial" w:eastAsia="Arial" w:hAnsi="Arial"/>
          <w:sz w:val="17"/>
          <w:szCs w:val="17"/>
          <w:color w:val="auto"/>
        </w:rPr>
        <w:t>(ASU 2018-18). ASU 2018-18 clarifies that certain transactions between collaborative arrangement participants should be accounted for as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periods beginning after December 15, 2020, and interim periods within annual periods beginning after December 15, 2021. ASU 2018-18 requires retrospective adoption to the date the Company adopted Topic 606 by recognizing a cumulative-effect adjustment to the opening balance of retained earnings of the earliest annual period presented. Early adoption is permitted, but no earlier than an entity’s adoption date of Topic 606. The Company does not expect the adoption to have a material impact on its financial statements.</w:t>
      </w:r>
    </w:p>
    <w:p>
      <w:pPr>
        <w:spacing w:after="0" w:line="70"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740)—Simplifying the Accounting for Income Taxes</w:t>
      </w:r>
      <w:r>
        <w:rPr>
          <w:rFonts w:ascii="Arial" w:cs="Arial" w:eastAsia="Arial" w:hAnsi="Arial"/>
          <w:sz w:val="18"/>
          <w:szCs w:val="18"/>
          <w:color w:val="auto"/>
        </w:rPr>
        <w:t xml:space="preserve"> (ASU 2019-12), which is intended to simplify accounting for income taxes. It removes certain exceptions to the general principles in Topic 740 and amends existing guidance to improve consistent application. ASU 2019-12 is effective for annual periods beginning after December 15, 2021, and interim periods within annual periods beginning after December 15, 2022. Early adoption is permitted. The Company is in the process of evaluating the impact of this new guidance on its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w:t>
      </w:r>
    </w:p>
    <w:p>
      <w:pPr>
        <w:spacing w:after="0" w:line="117"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4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56"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7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Upon signing the Gilead Agreement, Gilead paid the Company an upfront payment of $45.0 million plus $3.0 million in additional fees. Subsequently, the Company received payments of $11.0 million for research milestones and additional payments. As of February 28, 2021, the Company is eligible to receive up to approximately $2.3 billion in total additional payments, including up to $690.0 million upon the achievement of specified development milestones, up to $1.5 billion upon the achievement of specified sales milestones, subject to reduction for any product for which the Company exercises its option to co-develop and co-promote, and up to $139.8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share profits and losses evenly.</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58"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6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February 28, 2021.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Subsequently, upon the achievement of research milestones and target reservations, $11.0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contract term.</w:t>
      </w:r>
    </w:p>
    <w:p>
      <w:pPr>
        <w:spacing w:after="0" w:line="7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The cumulative effect of revisions to estimated costs to complete the Company’s performance obligation will be recorded in the period in which changes are identified and amounts can be reasonably estimated. These actual costs consist primarily of internal FTE efforts and third party contract costs related to the Gilead Agreement.</w:t>
      </w:r>
    </w:p>
    <w:p>
      <w:pPr>
        <w:spacing w:after="0" w:line="8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For the three months ended February 28, 2021, the Company recognized collaboration revenue related to the Gilead Agreement of $2.7 million, all of which was included in deferred revenue as of November 30, 2020, and $0.5 million was related to performance obligation satisfied in previous periods. For the three months ended February 29, 2020, the Company recognized revenue related to the Gilead Agreement of $2.4 million. As of February 28, 2021, $41.4 million was recorded as deferred revenue, of which $14.4 million was current, on the condensed consolidated balance sheet related to the Gilead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17" w:lineRule="exact"/>
        <w:rPr>
          <w:sz w:val="20"/>
          <w:szCs w:val="20"/>
          <w:color w:val="auto"/>
        </w:rPr>
      </w:pPr>
    </w:p>
    <w:p>
      <w:pPr>
        <w:ind w:right="100" w:firstLine="514"/>
        <w:spacing w:after="0" w:line="291" w:lineRule="auto"/>
        <w:rPr>
          <w:sz w:val="20"/>
          <w:szCs w:val="20"/>
          <w:color w:val="auto"/>
        </w:rPr>
      </w:pPr>
      <w:r>
        <w:rPr>
          <w:rFonts w:ascii="Arial" w:cs="Arial" w:eastAsia="Arial" w:hAnsi="Arial"/>
          <w:sz w:val="16"/>
          <w:szCs w:val="16"/>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 million to exercise its option to expand the number of targets in the collaboration agreement from three to a total of five targets. The Company and Sanofi also entered into a first amendment to the collaboration agreement in January 2021 to modify the research term on all targets (the First Sanofi Amendment). Over time and subject to certain limitations, Sanofi may elect to replace the drug targets with other reserved targets.</w:t>
      </w:r>
    </w:p>
    <w:p>
      <w:pPr>
        <w:spacing w:after="0" w:line="58" w:lineRule="exact"/>
        <w:rPr>
          <w:sz w:val="20"/>
          <w:szCs w:val="20"/>
          <w:color w:val="auto"/>
        </w:rPr>
      </w:pPr>
    </w:p>
    <w:p>
      <w:pPr>
        <w:ind w:right="120" w:firstLine="514"/>
        <w:spacing w:after="0" w:line="259" w:lineRule="auto"/>
        <w:rPr>
          <w:sz w:val="20"/>
          <w:szCs w:val="20"/>
          <w:color w:val="auto"/>
        </w:rPr>
      </w:pPr>
      <w:r>
        <w:rPr>
          <w:rFonts w:ascii="Arial" w:cs="Arial" w:eastAsia="Arial" w:hAnsi="Arial"/>
          <w:sz w:val="18"/>
          <w:szCs w:val="18"/>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as part of their recent expansion. The Company’s right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ind w:right="160"/>
        <w:spacing w:after="0" w:line="259" w:lineRule="auto"/>
        <w:rPr>
          <w:sz w:val="20"/>
          <w:szCs w:val="20"/>
          <w:color w:val="auto"/>
        </w:rPr>
      </w:pPr>
      <w:r>
        <w:rPr>
          <w:rFonts w:ascii="Arial" w:cs="Arial" w:eastAsia="Arial" w:hAnsi="Arial"/>
          <w:sz w:val="18"/>
          <w:szCs w:val="18"/>
          <w:color w:val="auto"/>
        </w:rPr>
        <w:t>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79" w:lineRule="exact"/>
        <w:rPr>
          <w:sz w:val="20"/>
          <w:szCs w:val="20"/>
          <w:color w:val="auto"/>
        </w:rPr>
      </w:pPr>
    </w:p>
    <w:p>
      <w:pPr>
        <w:ind w:right="80" w:firstLine="514"/>
        <w:spacing w:after="0" w:line="271" w:lineRule="auto"/>
        <w:rPr>
          <w:sz w:val="20"/>
          <w:szCs w:val="20"/>
          <w:color w:val="auto"/>
        </w:rPr>
      </w:pPr>
      <w:r>
        <w:rPr>
          <w:rFonts w:ascii="Arial" w:cs="Arial" w:eastAsia="Arial" w:hAnsi="Arial"/>
          <w:sz w:val="17"/>
          <w:szCs w:val="17"/>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70" w:lineRule="exact"/>
        <w:rPr>
          <w:sz w:val="20"/>
          <w:szCs w:val="20"/>
          <w:color w:val="auto"/>
        </w:rPr>
      </w:pPr>
    </w:p>
    <w:p>
      <w:pPr>
        <w:ind w:right="80" w:firstLine="514"/>
        <w:spacing w:after="0" w:line="289" w:lineRule="auto"/>
        <w:rPr>
          <w:sz w:val="20"/>
          <w:szCs w:val="20"/>
          <w:color w:val="auto"/>
        </w:rPr>
      </w:pPr>
      <w:r>
        <w:rPr>
          <w:rFonts w:ascii="Arial" w:cs="Arial" w:eastAsia="Arial" w:hAnsi="Arial"/>
          <w:sz w:val="16"/>
          <w:szCs w:val="16"/>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The Company is eligible to receive additional payments if Sanofi exercises an option to extend the license term with respect to a particular target. As of February 28, 2021, the Company is eligible to receive up to approximately $2.5 billion in total payments, including payments of up to $500.0 million upon the achievement of specified development milestones, up to $625.0 million upon the achievement of specified regulatory milestones and up to $1.3 billion upon the achievement of certain sales milestones, as well as up to $163.1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5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8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order to determine the transaction price, the Company evaluated all the payments to be received during the duration of the contract. Milestone and additional fees were considered variable consideration, which were not included in the transaction price based on the most likely amount method as of February 28, 2021. The Company will re-evaluate the transaction price in each reporting period and as uncertain events are resolved or other changes in circumstances occur. At the inception of the Sanofi Agreement, the Company determined that the transaction price consists of the upfront payment of $55.0 million.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which was included as part of applying the practical alternative, which was subsequently exercised by Sanofi. Revenue is recognized over the research term of 4.25 years, the revised research period which was agreed to in January 2021, using the cost-based input method, which the Company determined most faithfully depicts the transfer of its performance obligations to Sanofi,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 These actual costs consist primarily of internal FTE efforts and third party contract costs related to the Sanofi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160" w:firstLine="510"/>
        <w:spacing w:after="0" w:line="275" w:lineRule="auto"/>
        <w:rPr>
          <w:sz w:val="20"/>
          <w:szCs w:val="20"/>
          <w:color w:val="auto"/>
        </w:rPr>
      </w:pPr>
      <w:r>
        <w:rPr>
          <w:rFonts w:ascii="Arial" w:cs="Arial" w:eastAsia="Arial" w:hAnsi="Arial"/>
          <w:sz w:val="17"/>
          <w:szCs w:val="17"/>
          <w:color w:val="auto"/>
        </w:rPr>
        <w:t>The Company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the Company’s measure of progress toward complete satisfaction of the performance obligation was recognized as an adjustment to revenue at the date of the contract modification on a cumulative catch-up basis.</w:t>
      </w:r>
    </w:p>
    <w:p>
      <w:pPr>
        <w:spacing w:after="0" w:line="68"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For the three months ended February 28, 2021, the Company recognized collaboration revenue related to the Sanofi Agreement of $2.3 million, all of which was included in deferred revenue as of November 30, 2020. For the three months ended February 29, 2020, the Company recognized revenue related to the Sanofi Agreement of $0.4 million. As of February 28, 2021, $69.0 million was recorded as deferred revenue, of which $18.4 million was current, on the condensed consolidated balance sheet related to the Sanofi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Condensed Consolidated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28,</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4"/>
                <w:szCs w:val="14"/>
                <w:color w:val="auto"/>
              </w:rPr>
            </w:pPr>
          </w:p>
        </w:tc>
      </w:tr>
      <w:tr>
        <w:trPr>
          <w:trHeight w:val="223"/>
        </w:trPr>
        <w:tc>
          <w:tcPr>
            <w:tcW w:w="4580" w:type="dxa"/>
            <w:vAlign w:val="bottom"/>
          </w:tcPr>
          <w:p>
            <w:pPr>
              <w:spacing w:after="0"/>
              <w:rPr>
                <w:sz w:val="19"/>
                <w:szCs w:val="19"/>
                <w:color w:val="auto"/>
              </w:rPr>
            </w:pPr>
          </w:p>
        </w:tc>
        <w:tc>
          <w:tcPr>
            <w:tcW w:w="2460" w:type="dxa"/>
            <w:vAlign w:val="bottom"/>
            <w:gridSpan w:val="2"/>
          </w:tcPr>
          <w:p>
            <w:pPr>
              <w:jc w:val="right"/>
              <w:ind w:right="207"/>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7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12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14,743</w:t>
            </w:r>
          </w:p>
        </w:tc>
        <w:tc>
          <w:tcPr>
            <w:tcW w:w="3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Software in progress</w:t>
            </w:r>
          </w:p>
        </w:tc>
        <w:tc>
          <w:tcPr>
            <w:tcW w:w="102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 gross</w:t>
            </w:r>
          </w:p>
        </w:tc>
        <w:tc>
          <w:tcPr>
            <w:tcW w:w="10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20,786</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19,855</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(13,826)</w:t>
            </w:r>
          </w:p>
        </w:tc>
        <w:tc>
          <w:tcPr>
            <w:tcW w:w="3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(13,183)</w:t>
            </w: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Depreciation and amortization expense was $0.6 million and $0.5 million for the three months ended February 28, 2021 and February 29, 2020, respectively. All long-lived assets are maintained in the United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28,</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November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04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7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5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13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7,266</w:t>
            </w:r>
          </w:p>
        </w:tc>
        <w:tc>
          <w:tcPr>
            <w:tcW w:w="3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Accrued contract research and lab supplies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5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Accrued taxes</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1460" w:type="dxa"/>
            <w:vAlign w:val="bottom"/>
            <w:tcBorders>
              <w:bottom w:val="single" w:sz="8" w:color="auto"/>
            </w:tcBorders>
          </w:tcPr>
          <w:p>
            <w:pPr>
              <w:jc w:val="right"/>
              <w:ind w:right="13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10,833</w:t>
            </w:r>
          </w:p>
        </w:tc>
        <w:tc>
          <w:tcPr>
            <w:tcW w:w="3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8"/>
                <w:szCs w:val="18"/>
                <w:color w:val="auto"/>
              </w:rPr>
              <w:t>13</w:t>
            </w: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0"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Level 1—Inputs that reflect unadjusted quoted prices in active markets for identical assets or liabilities that the Company has the ability to access at the measurement date;</w:t>
      </w:r>
    </w:p>
    <w:p>
      <w:pPr>
        <w:spacing w:after="0" w:line="62"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3—Inputs that are unobservable.</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76" w:lineRule="exact"/>
        <w:rPr>
          <w:sz w:val="20"/>
          <w:szCs w:val="20"/>
          <w:color w:val="auto"/>
        </w:rPr>
      </w:pPr>
    </w:p>
    <w:p>
      <w:pPr>
        <w:ind w:right="420" w:firstLine="510"/>
        <w:spacing w:after="0" w:line="308" w:lineRule="auto"/>
        <w:rPr>
          <w:sz w:val="20"/>
          <w:szCs w:val="20"/>
          <w:color w:val="auto"/>
        </w:rPr>
      </w:pPr>
      <w:r>
        <w:rPr>
          <w:rFonts w:ascii="Arial" w:cs="Arial" w:eastAsia="Arial" w:hAnsi="Arial"/>
          <w:sz w:val="17"/>
          <w:szCs w:val="17"/>
          <w:color w:val="auto"/>
        </w:rPr>
        <w:t>The following tables presents the Company’s financial assets, which consist of cash equivalents and investments classified as available-for-sale investments, that are measured at fair value on a recurring basis as of February 28, 2021 and November 30, 2020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February 28, 2021</w:t>
            </w:r>
          </w:p>
        </w:tc>
        <w:tc>
          <w:tcPr>
            <w:tcW w:w="11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gain</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126,381</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39,904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commercial paper</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gridSpan w:val="2"/>
            <w:vMerge w:val="restart"/>
          </w:tcPr>
          <w:p>
            <w:pPr>
              <w:ind w:left="240"/>
              <w:spacing w:after="0"/>
              <w:rPr>
                <w:sz w:val="20"/>
                <w:szCs w:val="20"/>
                <w:color w:val="auto"/>
              </w:rPr>
            </w:pPr>
            <w:r>
              <w:rPr>
                <w:rFonts w:ascii="Arial" w:cs="Arial" w:eastAsia="Arial" w:hAnsi="Arial"/>
                <w:sz w:val="18"/>
                <w:szCs w:val="18"/>
                <w:color w:val="auto"/>
              </w:rPr>
              <w:t>Included in Cash and cash equivalents</w:t>
            </w: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126,381</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126,381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Included in Short-term investments</w:t>
            </w:r>
          </w:p>
        </w:tc>
        <w:tc>
          <w:tcPr>
            <w:tcW w:w="1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176,692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Included in Long-term investments</w:t>
            </w:r>
          </w:p>
        </w:tc>
        <w:tc>
          <w:tcPr>
            <w:tcW w:w="118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77,159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77,191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580" w:type="dxa"/>
            <w:vAlign w:val="bottom"/>
          </w:tcPr>
          <w:p>
            <w:pPr>
              <w:spacing w:after="0"/>
              <w:rPr>
                <w:sz w:val="24"/>
                <w:szCs w:val="24"/>
                <w:color w:val="auto"/>
              </w:rPr>
            </w:pPr>
          </w:p>
        </w:tc>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November 30, 2020</w:t>
            </w:r>
          </w:p>
        </w:tc>
        <w:tc>
          <w:tcPr>
            <w:tcW w:w="11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gain</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treasury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commercial paper</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government agency securities</w:t>
            </w:r>
          </w:p>
        </w:tc>
        <w:tc>
          <w:tcPr>
            <w:tcW w:w="118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ind w:left="62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gridSpan w:val="2"/>
            <w:vMerge w:val="restart"/>
          </w:tcPr>
          <w:p>
            <w:pPr>
              <w:ind w:left="240"/>
              <w:spacing w:after="0"/>
              <w:rPr>
                <w:sz w:val="20"/>
                <w:szCs w:val="20"/>
                <w:color w:val="auto"/>
              </w:rPr>
            </w:pPr>
            <w:r>
              <w:rPr>
                <w:rFonts w:ascii="Arial" w:cs="Arial" w:eastAsia="Arial" w:hAnsi="Arial"/>
                <w:sz w:val="18"/>
                <w:szCs w:val="18"/>
                <w:color w:val="auto"/>
              </w:rPr>
              <w:t>Included in Cash and cash equivalents</w:t>
            </w:r>
          </w:p>
        </w:tc>
        <w:tc>
          <w:tcPr>
            <w:tcW w:w="1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119,356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Included in Short-term investments</w:t>
            </w:r>
          </w:p>
        </w:tc>
        <w:tc>
          <w:tcPr>
            <w:tcW w:w="1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161,744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161,792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Included in Long-term investments</w:t>
            </w:r>
          </w:p>
        </w:tc>
        <w:tc>
          <w:tcPr>
            <w:tcW w:w="118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90,849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90,890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69" w:right="319" w:bottom="1440" w:gutter="0" w:footer="0" w:header="0"/>
        </w:sectPr>
      </w:pPr>
    </w:p>
    <w:bookmarkStart w:id="17" w:name="page18"/>
    <w:bookmarkEnd w:id="17"/>
    <w:p>
      <w:pPr>
        <w:ind w:firstLine="510"/>
        <w:spacing w:after="0" w:line="277" w:lineRule="auto"/>
        <w:rPr>
          <w:sz w:val="20"/>
          <w:szCs w:val="20"/>
          <w:color w:val="auto"/>
        </w:rPr>
      </w:pPr>
      <w:r>
        <w:rPr>
          <w:rFonts w:ascii="Arial" w:cs="Arial" w:eastAsia="Arial" w:hAnsi="Arial"/>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February 28, 2021 and November 30, 2020, none of the Company’s available-for-sale investments that were in an unrealized loss position had been in an unrealized loss position for more than 12 months. During the three months ended February 28, 2021 and February 29, 2020, the Company did not recognize any other-than-temporary impairment losses.</w:t>
      </w:r>
    </w:p>
    <w:p>
      <w:pPr>
        <w:spacing w:after="0" w:line="76"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Company’s short-term investments have maturities of less than one year from the respective condensed consolidated balance sheet dates. The Company’s long-term investments have maturities of between one and two years from the respective condensed consolidated balance sheet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February 28, 2021, the Company had no outstanding, pending or threatened litigation.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5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an amendment to its original lease agreement that combined the Company’s two leases into a single lease agreement and extended the term of the lease agreement through April 30, 2025. The Company is required to pay base rent plus the tenant’s proportionate share of operating expenses as defined in the lease agreement. Under the terms of the lease agreement, the Company paid the landlord security deposits totaling $91,000 and issued a letter of credit to the landlord in the amount of $70,000, which is collateralized by a restricted deposit of $70,000. In June 2020, the Company entered into a new lease agreement for additional space in the same building as the Company’s existing office for a 14-month term ending on July 31, 2021. Rent expense was $0.8 million and $0.7 million for the three months ended February 28, 2021 and February 29, 2020, respectively.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Future minimum lease payments under the Company’s lease agreement as of February 28, 2021 were as follows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Year ending November 30,</w:t>
            </w:r>
          </w:p>
        </w:tc>
        <w:tc>
          <w:tcPr>
            <w:tcW w:w="4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7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(remaining 9 months)</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FF0FC"/>
          </w:tcPr>
          <w:p>
            <w:pPr>
              <w:spacing w:after="0"/>
              <w:rPr>
                <w:sz w:val="19"/>
                <w:szCs w:val="19"/>
                <w:color w:val="auto"/>
              </w:rPr>
            </w:pPr>
          </w:p>
        </w:tc>
      </w:tr>
      <w:tr>
        <w:trPr>
          <w:trHeight w:val="223"/>
        </w:trPr>
        <w:tc>
          <w:tcPr>
            <w:tcW w:w="7340" w:type="dxa"/>
            <w:vAlign w:val="bottom"/>
            <w:gridSpan w:val="2"/>
          </w:tcPr>
          <w:p>
            <w:pPr>
              <w:ind w:left="240"/>
              <w:spacing w:after="0"/>
              <w:rPr>
                <w:sz w:val="20"/>
                <w:szCs w:val="20"/>
                <w:color w:val="auto"/>
              </w:rPr>
            </w:pPr>
            <w:r>
              <w:rPr>
                <w:rFonts w:ascii="Arial" w:cs="Arial" w:eastAsia="Arial" w:hAnsi="Arial"/>
                <w:sz w:val="18"/>
                <w:szCs w:val="18"/>
                <w:color w:val="auto"/>
              </w:rPr>
              <w:t>Total minimum lease payments</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14,179</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Company’s Certificate of Incorporation, as amended, authorizes the Company to issue up to 500,000,000 shares of $0.001 par value common stock. Common stockholders are entitled to dividends when and if declared by the Company’s board of directors, subject to the prior rights of the preferred stockholders. The holder of each share of common stock is entitled to one vote. The common stockholders voting as a class are entitled to elect one member to the Company’s board of directors. As of February 28, 2021, no dividends have been declared.</w:t>
      </w:r>
    </w:p>
    <w:p>
      <w:pPr>
        <w:spacing w:after="0" w:line="63"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Common stock reserved for future issuance, on an as-if converted basis, as of February 28, 2021 and November 30, 2020, consists of the following and has been adjusted for the 1-for-3 reverse stock split:</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February 28,</w:t>
            </w: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November 30,</w:t>
            </w:r>
          </w:p>
        </w:tc>
      </w:tr>
      <w:tr>
        <w:trPr>
          <w:trHeight w:val="223"/>
        </w:trPr>
        <w:tc>
          <w:tcPr>
            <w:tcW w:w="6500" w:type="dxa"/>
            <w:vAlign w:val="bottom"/>
            <w:tcBorders>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Issuance of options under stock option plan</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5,095,996</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4,387,862</w:t>
            </w:r>
          </w:p>
        </w:tc>
        <w:tc>
          <w:tcPr>
            <w:tcW w:w="120" w:type="dxa"/>
            <w:vAlign w:val="bottom"/>
            <w:shd w:val="clear" w:color="auto" w:fill="CFF0FC"/>
          </w:tcPr>
          <w:p>
            <w:pPr>
              <w:spacing w:after="0"/>
              <w:rPr>
                <w:sz w:val="19"/>
                <w:szCs w:val="19"/>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Shares available for future stock option grants</w:t>
            </w:r>
          </w:p>
        </w:tc>
        <w:tc>
          <w:tcPr>
            <w:tcW w:w="1600" w:type="dxa"/>
            <w:vAlign w:val="bottom"/>
          </w:tcPr>
          <w:p>
            <w:pPr>
              <w:jc w:val="right"/>
              <w:spacing w:after="0"/>
              <w:rPr>
                <w:sz w:val="20"/>
                <w:szCs w:val="20"/>
                <w:color w:val="auto"/>
              </w:rPr>
            </w:pPr>
            <w:r>
              <w:rPr>
                <w:rFonts w:ascii="Arial" w:cs="Arial" w:eastAsia="Arial" w:hAnsi="Arial"/>
                <w:sz w:val="18"/>
                <w:szCs w:val="18"/>
                <w:color w:val="auto"/>
              </w:rPr>
              <w:t>3,696,307</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3,035,684</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employee stock purchase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1,054,059</w:t>
            </w:r>
          </w:p>
        </w:tc>
        <w:tc>
          <w:tcPr>
            <w:tcW w:w="28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730,000</w:t>
            </w:r>
          </w:p>
        </w:tc>
        <w:tc>
          <w:tcPr>
            <w:tcW w:w="120" w:type="dxa"/>
            <w:vAlign w:val="bottom"/>
            <w:shd w:val="clear" w:color="auto" w:fill="CFF0FC"/>
          </w:tcPr>
          <w:p>
            <w:pPr>
              <w:spacing w:after="0"/>
              <w:rPr>
                <w:sz w:val="19"/>
                <w:szCs w:val="19"/>
                <w:color w:val="auto"/>
              </w:rPr>
            </w:pPr>
          </w:p>
        </w:tc>
      </w:tr>
      <w:tr>
        <w:trPr>
          <w:trHeight w:val="223"/>
        </w:trPr>
        <w:tc>
          <w:tcPr>
            <w:tcW w:w="6500" w:type="dxa"/>
            <w:vAlign w:val="bottom"/>
          </w:tcPr>
          <w:p>
            <w:pPr>
              <w:ind w:left="240"/>
              <w:spacing w:after="0"/>
              <w:rPr>
                <w:sz w:val="20"/>
                <w:szCs w:val="20"/>
                <w:color w:val="auto"/>
              </w:rPr>
            </w:pPr>
            <w:r>
              <w:rPr>
                <w:rFonts w:ascii="Arial" w:cs="Arial" w:eastAsia="Arial" w:hAnsi="Arial"/>
                <w:sz w:val="18"/>
                <w:szCs w:val="18"/>
                <w:color w:val="auto"/>
              </w:rPr>
              <w:t>Total common stock reserved for future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9,846,362</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8,153,546</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July 2020, the Company’s board of directors approved, and the Company adopted the 2020 Equity Incentive Plan (the 2020 Plan). The 2020 Plan became effective on July 22, 2020. The 2020 Plan provides for the granting of stock options, stock appreciation rights (SARs), restricted stock awards (RSAs), restricted stock units (RSUs), performance awards and stock bonus awards to employees, directors, consultants, independent contractors and advisors of the Company. Under the 2020 Plan, the Company generally grants stock-based awards with service-based vesting conditions only. Options granted typically vest over a four-year period but may be granted with different vesting terms.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w:t>
      </w:r>
    </w:p>
    <w:p>
      <w:pPr>
        <w:spacing w:after="0" w:line="57"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Following the effectiveness of the 2020 Plan, the Company ceased making grants under the 2012 Equity Incentive Plan (the 2012 Plan). However, the 2012 Plan continues to govern the terms and conditions of the outstanding awards granted under it. Shares of common stock subject to awards granted under the 2012 Plan that cease to be subject to such awards by forfeiture or otherwise after the termination of the 2012 Plan will be available for issuance under the 2020 Plan.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February 28, 2021, there were 3,696,307 shares of common stock reserved for future issuance pursuant to the 2020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April 2012, the Company’s board of directors approved, and the Company adopted the 2012 Plan. The 2012 Plan provides for the granting of stock options, SARs, RSAs, and RSUs to employees, directors, consultants and advisors of the Company. Options granted under the 2012 Plan generally vest over four years. Options granted under the 2012 Plan may, but need not, be exercisable immediately, with any shares issued on exercise being subject to the Company’s right of repurchase.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February 28, 2021, there were no shares of common stock reserved for issuance pursuant to the 2012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9" w:name="page20"/>
    <w:bookmarkEnd w:id="19"/>
    <w:p>
      <w:pPr>
        <w:ind w:right="400" w:firstLine="510"/>
        <w:spacing w:after="0" w:line="277" w:lineRule="auto"/>
        <w:rPr>
          <w:sz w:val="20"/>
          <w:szCs w:val="20"/>
          <w:color w:val="auto"/>
        </w:rPr>
      </w:pPr>
      <w:r>
        <w:rPr>
          <w:rFonts w:ascii="Arial" w:cs="Arial" w:eastAsia="Arial" w:hAnsi="Arial"/>
          <w:sz w:val="18"/>
          <w:szCs w:val="18"/>
          <w:color w:val="auto"/>
        </w:rPr>
        <w:t>Activity under the 2020 Plan and 2012 Plan is set forth below and has been adjusted for the 1-for-3 reverse stock split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exercise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life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price</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Balances as of November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4,387,862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Options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950,732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(190,825)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Options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Balances as of February 28,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5,095,996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98"/>
              </w:rPr>
              <w:t>Options vested and expected to vest as of February 28,</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36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r>
              <w:rPr>
                <w:rFonts w:ascii="Arial" w:cs="Arial" w:eastAsia="Arial" w:hAnsi="Arial"/>
                <w:sz w:val="15"/>
                <w:szCs w:val="15"/>
                <w:color w:val="auto"/>
              </w:rPr>
              <w:t>(2)</w:t>
            </w:r>
          </w:p>
        </w:tc>
        <w:tc>
          <w:tcPr>
            <w:tcW w:w="1940" w:type="dxa"/>
            <w:vAlign w:val="bottom"/>
            <w:tcBorders>
              <w:bottom w:val="single" w:sz="8" w:color="CFF0FC"/>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5,197,130</w:t>
            </w:r>
          </w:p>
        </w:tc>
        <w:tc>
          <w:tcPr>
            <w:tcW w:w="14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Borders>
              <w:bottom w:val="single" w:sz="8" w:color="CFF0FC"/>
            </w:tcBorders>
          </w:tcPr>
          <w:p>
            <w:pPr>
              <w:spacing w:after="0"/>
              <w:rPr>
                <w:sz w:val="23"/>
                <w:szCs w:val="23"/>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Options exercisable as of February 28, 2021</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2,852,713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220" w:hanging="492"/>
        <w:spacing w:after="0" w:line="198" w:lineRule="auto"/>
        <w:tabs>
          <w:tab w:leader="none" w:pos="50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The aggregate intrinsic values were calculated as the pre-tax difference between the exercise price of stock options and the quoted market price of the Company’s common stock on February 28, 2021 for all in-the-money stock options.</w:t>
      </w:r>
    </w:p>
    <w:p>
      <w:pPr>
        <w:spacing w:after="0" w:line="94" w:lineRule="exact"/>
        <w:rPr>
          <w:rFonts w:ascii="Arial" w:cs="Arial" w:eastAsia="Arial" w:hAnsi="Arial"/>
          <w:sz w:val="29"/>
          <w:szCs w:val="29"/>
          <w:color w:val="auto"/>
          <w:vertAlign w:val="superscript"/>
        </w:rPr>
      </w:pPr>
    </w:p>
    <w:p>
      <w:pPr>
        <w:ind w:left="500" w:hanging="492"/>
        <w:spacing w:after="0" w:line="229" w:lineRule="auto"/>
        <w:tabs>
          <w:tab w:leader="none" w:pos="50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Certain stock options granted by the Company prior to the date of IPO are exercisable at the date of grant, with unvested shares subject to repurchase by the Company in the event of voluntary or involuntary termination of employment of the stockholder. Such exercises are recorded as a liability in the condensed consolidated balance sheets and reclassified into equity as the options vest. As of February 28, 2021, a total of 121,134 share of common stock were subject to repurchase by the Company at the lower of (i) the fair market value of such shares on the date of repurchase, or (ii) the original exercise price of such shares. The corresponding exercise value of $0.5 million as of February 28, 2021 is recorded in share-based compensation liability.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July 2020, the Company’s board of directors adopted the 2020 Employee Stock Purchase Plan (the 2020 ESPP) that became effective upon the date of the IPO in order to enable eligible employees to purchase shares of common stock with accumulated payroll deductions. The 2020 ESPP is intended to qualify under Section 423 of the Internal Revenue Code, as amended. Under the 2020 ESPP, eligible employees are offered the option to purchase shares of common stock at a discount over a series of offering periods. Each offering period may consist of one or more purchase periods. The purchase price for shares of common stock purchased under the 2020 ESPP will be 85% of the lesser of the fair market value of the Company’s common stock on (i) the first trading day of the applicable offering period or (ii) the last trading day of each purchase period in the applicable offering period.</w:t>
      </w:r>
    </w:p>
    <w:p>
      <w:pPr>
        <w:spacing w:after="0" w:line="5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February 28, 2021, there were 1,054,059 shares of common stock reserved for issuance pursuant to the 2020 ESPP. The first offering period commenced as of July 23, 2020, the date on which the Company’s registration statement on Form S-1 relating to its IPO of common stock became effective and ended on February 15, 2021. The first purchase period was the same as the first offering period and the first purchase date was the last trading day of the purchase period, which was February 12,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following table sets forth stock-based compensation expense related to stock options and ESPP that is included in the Company’s condensed consolidated statements of operations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3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28,</w:t>
            </w: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February 29,</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1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FF0FC"/>
          </w:tcPr>
          <w:p>
            <w:pPr>
              <w:jc w:val="right"/>
              <w:ind w:right="114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1,223</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r>
      <w:tr>
        <w:trPr>
          <w:trHeight w:val="230"/>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1,477</w:t>
            </w:r>
          </w:p>
        </w:tc>
        <w:tc>
          <w:tcPr>
            <w:tcW w:w="3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FF0FC"/>
            </w:tcBorders>
          </w:tcPr>
          <w:p>
            <w:pPr>
              <w:spacing w:after="0"/>
              <w:rPr>
                <w:sz w:val="19"/>
                <w:szCs w:val="19"/>
                <w:color w:val="auto"/>
              </w:rPr>
            </w:pPr>
          </w:p>
        </w:tc>
      </w:tr>
      <w:tr>
        <w:trPr>
          <w:trHeight w:val="223"/>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320" w:type="dxa"/>
            <w:vAlign w:val="bottom"/>
            <w:tcBorders>
              <w:bottom w:val="single" w:sz="8" w:color="auto"/>
            </w:tcBorders>
            <w:shd w:val="clear" w:color="auto" w:fill="CFF0FC"/>
          </w:tcPr>
          <w:p>
            <w:pPr>
              <w:jc w:val="right"/>
              <w:ind w:right="114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2,700</w:t>
            </w:r>
          </w:p>
        </w:tc>
        <w:tc>
          <w:tcPr>
            <w:tcW w:w="3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As of February 28, 2021, the total compensation cost related to stock-based awards not yet recognized was $49.7 million, which is expected to be amortized on a straight-line basis over the weighted-average remaining vesting period of approximately 3.5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9. Defined Contribution Plan</w:t>
      </w:r>
    </w:p>
    <w:p>
      <w:pPr>
        <w:spacing w:after="0" w:line="121"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The Company sponsors a defined-contribution savings plan under Section 401(k) of the Internal Revenue Code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During the three months ended February 28, 2021 and February 29, 2020, the Company made contributions to the 401(k) Plan during and recorded contribution expense of $0.2 million and $0.1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For the three months ended February 28, 2021 and February 29, 2020, the Company recorded a current income tax expense of $71,000 and $11,000,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February 28, 2021 and November 30, 2020 due to the uncertainty of realizing future tax benefits from its NOL carryforwards and other deferred tax assets.</w:t>
      </w:r>
    </w:p>
    <w:p>
      <w:pPr>
        <w:spacing w:after="0" w:line="70"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On March 27, 2020, the Coronavirus Aid, Relief, and Economic Security Act (the CARES Act) was enacted in response to the COVID-19 pandemic. The CARES Act, among other things, permits net operating loss (NOL) carryovers and carrybacks to offset 100% of taxable income for taxable years beginning before 2021. In addition, the CARES Act allows NOLs incurred in taxable years 2018, 2019, and 2020 to be carried back to each of the five preceding taxable years to generate a refund of previously paid income taxes. Any tax benefit as a result of the CARES Act is primarily due to the carryback of NOLs to prior taxable years and increased interest expense deductions. In fiscal 2020, the Company filed refund claims of $19.6 million to carryback its NOLs generated in the fiscal years ended November 30, 2018 and 2019. In fiscal 2020, the Company received cash of $16.3 million including interest income of $567,000. As of February 28, 2021, the Company has an income tax receivable of $4.0 million on the condensed consolidated balance sheet for the remaining tax refund claims, which includes interest accrued of $0.1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121" w:lineRule="exact"/>
        <w:rPr>
          <w:sz w:val="20"/>
          <w:szCs w:val="20"/>
          <w:color w:val="auto"/>
        </w:rPr>
      </w:pPr>
    </w:p>
    <w:p>
      <w:pPr>
        <w:ind w:right="320" w:firstLine="510"/>
        <w:spacing w:after="0" w:line="341" w:lineRule="auto"/>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jc w:val="right"/>
              <w:ind w:right="95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r>
      <w:tr>
        <w:trPr>
          <w:trHeight w:val="223"/>
        </w:trPr>
        <w:tc>
          <w:tcPr>
            <w:tcW w:w="6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February 29,</w:t>
            </w:r>
          </w:p>
        </w:tc>
      </w:tr>
      <w:tr>
        <w:trPr>
          <w:trHeight w:val="223"/>
        </w:trPr>
        <w:tc>
          <w:tcPr>
            <w:tcW w:w="6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(24,275)</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(12,391)</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Weighted-average number of shares outstanding, basic and diluted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38,777,258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3,539,390</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36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820" w:type="dxa"/>
            <w:vAlign w:val="bottom"/>
            <w:gridSpan w:val="2"/>
          </w:tcPr>
          <w:p>
            <w:pPr>
              <w:ind w:left="360"/>
              <w:spacing w:after="0"/>
              <w:rPr>
                <w:sz w:val="20"/>
                <w:szCs w:val="20"/>
                <w:color w:val="auto"/>
              </w:rPr>
            </w:pPr>
            <w:r>
              <w:rPr>
                <w:rFonts w:ascii="Arial" w:cs="Arial" w:eastAsia="Arial" w:hAnsi="Arial"/>
                <w:sz w:val="14"/>
                <w:szCs w:val="14"/>
                <w:b w:val="1"/>
                <w:bCs w:val="1"/>
                <w:color w:val="auto"/>
              </w:rPr>
              <w:t>February 28,</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February 29,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620" w:type="dxa"/>
            <w:vAlign w:val="bottom"/>
            <w:tcBorders>
              <w:bottom w:val="single" w:sz="8" w:color="CFF0FC"/>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on an as-converted basis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12,813,889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5,095,996</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2,631,474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Options early exercised subject to vesting</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121,134</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115,215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Shares expected to be purchased under employee stock purchase plan</w:t>
            </w:r>
          </w:p>
        </w:tc>
        <w:tc>
          <w:tcPr>
            <w:tcW w:w="1540" w:type="dxa"/>
            <w:vAlign w:val="bottom"/>
          </w:tcPr>
          <w:p>
            <w:pPr>
              <w:jc w:val="right"/>
              <w:spacing w:after="0"/>
              <w:rPr>
                <w:sz w:val="20"/>
                <w:szCs w:val="20"/>
                <w:color w:val="auto"/>
              </w:rPr>
            </w:pPr>
            <w:r>
              <w:rPr>
                <w:rFonts w:ascii="Arial" w:cs="Arial" w:eastAsia="Arial" w:hAnsi="Arial"/>
                <w:sz w:val="18"/>
                <w:szCs w:val="18"/>
                <w:color w:val="auto"/>
              </w:rPr>
              <w:t>34,606</w:t>
            </w:r>
          </w:p>
        </w:tc>
        <w:tc>
          <w:tcPr>
            <w:tcW w:w="2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5,251,736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15,560,578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20" w:type="dxa"/>
            <w:vAlign w:val="bottom"/>
            <w:vMerge w:val="restart"/>
          </w:tcPr>
          <w:p>
            <w:pPr>
              <w:ind w:left="4960"/>
              <w:spacing w:after="0"/>
              <w:rPr>
                <w:sz w:val="20"/>
                <w:szCs w:val="20"/>
                <w:color w:val="auto"/>
              </w:rPr>
            </w:pPr>
            <w:r>
              <w:rPr>
                <w:rFonts w:ascii="Arial" w:cs="Arial" w:eastAsia="Arial" w:hAnsi="Arial"/>
                <w:sz w:val="18"/>
                <w:szCs w:val="18"/>
                <w:color w:val="auto"/>
              </w:rPr>
              <w:t>18</w:t>
            </w: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6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approximately $150.1 million, after deducting underwriting discounts and commissions of $9.6 million and expenses of $0.7 million.</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320" w:top="661" w:right="7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10-Q and (2) the audited consolidated financial statements and related notes and management’s discussion and analysis of financial condition and results of operations for the fiscal year ended November 30, 2020 included in our Annual Report on Form 10-K filed on February 16, 2021 (2020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We are a biopharmaceutical company focused on the discovery, development and commercialization of small molecule therapies designed to modulate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pipeline comprises targeted protein degraders of Bruton’s tyrosine kinase (BTK), a B-cell signaling protein, and inhibitors of Casitas B-lineage lymphoma proto-oncogene B (CBL-B), an E3 ligase that regulates T cell activation. Our lead drug candidate from our protein degradation portfolio, NX-2127, is an orally available BTK degrader for the treatment of relapsed or refractory B-cell malignancies. We filed an investigational new drug application (IND) for NX-2127 in December 2020 and received clearance by the U.S. Food and Drug Administration (FDA) to initiate human clinical trials. Clinical sites are actively recruiting patients for our Phase 1 clinical trial of NX-2127. Our second drug candidate from our protein degradation portfolio, NX-5948, is also an orally bioavailable BTK degrader for the treatment of relapsed or refractory B-cell malignancies and potentially autoimmune diseases. We anticipate commencing a Phase 1 trial for NX-5948 in the second half of 2021. Our lead drug candidate from our E3 ligase inhibitor portfolio, NX-1607, is an orally available CBL-B inhibitor for immuno-oncology indications. We expect to commence a Phase 1 clinical trial in the second half of 2021. We are also advancing the development of a CBL-B inhibitor, NX-0255, for ex vivo use to enhance adoptive T-cell therapy. We anticipate commencing a Phase 1 clinical trial for our first cell therapy candidate, DeTIL-0255, in the second half of 2021. Beyond these portfolios, we are advancing additional wholly owned, preclinical programs that may expand our therapeutic areas beyond oncology to autoimmune disease and viral diseases, including COVID-19. Our therapeutic areas may be further expanded through our established strategic collaborations with Sanofi S.A. (Sanofi), and Gilead Sciences, Inc. (Gilead). All expected Phase 1 clinical trial commencements are based on calendar years. Beyond these preclinical programs, we are advancing additional drug discovery programs, either independently or through our established strategic collaborations with Sanofi and Gilead.</w:t>
      </w:r>
    </w:p>
    <w:p>
      <w:pPr>
        <w:spacing w:after="0" w:line="6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(Celgene) and the issuance and sale of common and redeemable convertible preferred stock. We do not expect to generate product revenue unless and until we successfully develop and obtain approval for the commercialization of a drug candidate, and we cannot assure you that we will ever generate significant revenue or profits.</w:t>
      </w:r>
    </w:p>
    <w:p>
      <w:pPr>
        <w:spacing w:after="0" w:line="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Since inception, we have generally incurred significant losses and negative cash flows from operations. During the three months ended February 28, 2021 and February 29, 2020, we incurred net losses of $24.3 million and $12.4 million, respectively. As of February 28, 2021, we had an accumulated deficit of $128.0 million. These losses have resulted primarily from costs incurred in connection with research and development activities and general and administrative costs associated with our operations.</w:t>
      </w:r>
    </w:p>
    <w:p>
      <w:pPr>
        <w:spacing w:after="0" w:line="7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We expect our expenses will increase substantially as we advance our drug candidates through preclinical and into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3" w:name="page24"/>
    <w:bookmarkEnd w:id="23"/>
    <w:p>
      <w:pPr>
        <w:ind w:right="20" w:firstLine="510"/>
        <w:spacing w:after="0" w:line="259" w:lineRule="auto"/>
        <w:rPr>
          <w:sz w:val="20"/>
          <w:szCs w:val="20"/>
          <w:color w:val="auto"/>
        </w:rPr>
      </w:pPr>
      <w:r>
        <w:rPr>
          <w:rFonts w:ascii="Arial" w:cs="Arial" w:eastAsia="Arial" w:hAnsi="Arial"/>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As of February 28, 2021, we had $380.3 million in cash, cash equivalents and investments. In July 2020, we closed our initial public offering and issued 12,550,000 shares of our common stock (including the exercise by the underwriters of their option to purchase an additional 1,550,000 shares of common stock in August 2020) at a price to the public of $19.00 per share for net proceeds of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$150.1 million, after deducting underwriting discounts and commissions of $9.6 million and expenses of $0.7 million. We expect that our existing cash, cash equivalents and investments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6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subject to risks and uncertainties as a result of the current coronavirus (COVID-19) pandemic. The COVID-19 pandemic, which is impacting worldwide economic activity,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as we have not yet commenced clinical trials, the extent to which the COVID-19 pandemic will impact our business, financial condition, liquidity and results of operations in the future will depend on future developments that are highly uncertain and cannot be predicted at this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17" w:lineRule="exact"/>
        <w:rPr>
          <w:sz w:val="20"/>
          <w:szCs w:val="20"/>
          <w:color w:val="auto"/>
        </w:rPr>
      </w:pPr>
    </w:p>
    <w:p>
      <w:pPr>
        <w:ind w:right="120" w:firstLine="514"/>
        <w:spacing w:after="0" w:line="272" w:lineRule="auto"/>
        <w:rPr>
          <w:sz w:val="20"/>
          <w:szCs w:val="20"/>
          <w:color w:val="auto"/>
        </w:rPr>
      </w:pPr>
      <w:r>
        <w:rPr>
          <w:rFonts w:ascii="Arial" w:cs="Arial" w:eastAsia="Arial" w:hAnsi="Arial"/>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$22 million to exercise its option to expand the number of targets in the collaboration agreement from three to a total of five targets. We also entered into the First Sanofi Amendment to the collaboration agreement with Sanofi in January 2021 to modify the research term on all targets. Over time and subject to certain limitations, Sanofi may elect to replace the drug targets with other reserved targets.</w:t>
      </w:r>
    </w:p>
    <w:p>
      <w:pPr>
        <w:spacing w:after="0" w:line="69" w:lineRule="exact"/>
        <w:rPr>
          <w:sz w:val="20"/>
          <w:szCs w:val="20"/>
          <w:color w:val="auto"/>
        </w:rPr>
      </w:pPr>
    </w:p>
    <w:p>
      <w:pPr>
        <w:ind w:right="40" w:firstLine="514"/>
        <w:spacing w:after="0" w:line="257" w:lineRule="auto"/>
        <w:rPr>
          <w:sz w:val="20"/>
          <w:szCs w:val="20"/>
          <w:color w:val="auto"/>
        </w:rPr>
      </w:pPr>
      <w:r>
        <w:rPr>
          <w:rFonts w:ascii="Arial" w:cs="Arial" w:eastAsia="Arial" w:hAnsi="Arial"/>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160" w:firstLine="514"/>
        <w:spacing w:after="0" w:line="254" w:lineRule="auto"/>
        <w:rPr>
          <w:sz w:val="20"/>
          <w:szCs w:val="20"/>
          <w:color w:val="auto"/>
        </w:rPr>
      </w:pPr>
      <w:r>
        <w:rPr>
          <w:rFonts w:ascii="Arial" w:cs="Arial" w:eastAsia="Arial" w:hAnsi="Arial"/>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chimeric targeting molecules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84" w:lineRule="exact"/>
        <w:rPr>
          <w:sz w:val="20"/>
          <w:szCs w:val="20"/>
          <w:color w:val="auto"/>
        </w:rPr>
      </w:pPr>
    </w:p>
    <w:p>
      <w:pPr>
        <w:ind w:right="140" w:firstLine="514"/>
        <w:spacing w:after="0" w:line="257" w:lineRule="auto"/>
        <w:rPr>
          <w:sz w:val="20"/>
          <w:szCs w:val="20"/>
          <w:color w:val="auto"/>
        </w:rPr>
      </w:pPr>
      <w:r>
        <w:rPr>
          <w:rFonts w:ascii="Arial" w:cs="Arial" w:eastAsia="Arial" w:hAnsi="Arial"/>
          <w:sz w:val="18"/>
          <w:szCs w:val="18"/>
          <w:color w:val="auto"/>
        </w:rPr>
        <w:t>Upon signing the Sanofi Agreement, Sanofi paid us an upfront payment of $55.0 million in January 2020. Subsequently in January 2021, Sanofi paid us an additional $22.0 million to exercise its option to expand the number of targets beyond the initial targets included in the collaboration. We are eligible to receive additional payments if Sanofi exercises an option to extend the license term with respect to a particular target. As of February 28, 2021, we are eligible to receive up to approximately $2.5 billion in total payments based on certain additional fees, payments and the successful completion of certain research development, regulatory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ind w:right="100"/>
        <w:spacing w:after="0" w:line="263" w:lineRule="auto"/>
        <w:rPr>
          <w:sz w:val="20"/>
          <w:szCs w:val="20"/>
          <w:color w:val="auto"/>
        </w:rPr>
      </w:pPr>
      <w:r>
        <w:rPr>
          <w:rFonts w:ascii="Arial" w:cs="Arial" w:eastAsia="Arial" w:hAnsi="Arial"/>
          <w:sz w:val="18"/>
          <w:szCs w:val="18"/>
          <w:color w:val="auto"/>
        </w:rPr>
        <w:t>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7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our measure of progress toward complete satisfaction of the performance obligation was recognized as an adjustment to revenue at the date of the contract modification on a cumulative catch-up basis.</w:t>
      </w:r>
    </w:p>
    <w:p>
      <w:pPr>
        <w:spacing w:after="0" w:line="6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recognized collaboration revenue from the Sanofi Agreement of $2.3 million and $0.4 million during the three months ended February 28, 2021 and February 29, 2020, respectively. As of February 28, 2021, there was $69.0 million of deferred revenue related to payments received by us under the Sanofi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17"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5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Upon signing the Gilead Agreement, Gilead paid us an upfront payment of $45.0 million plus $3.0 million in additional fees. Subsequently, we have received payments of $11.0 million for research milestones and additional payments. As of February 28, 2021,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5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recognized collaboration revenue from the Gilead Agreement of $2.7 million and $2.4 million during the three months ended February 28, 2021 and February 29, 2020, respectively. As of February 28, 2021, there was $41.4 million of deferred revenue related to payments received by us under the Gilead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DeCART Therapeutics Inc.</w:t>
      </w:r>
    </w:p>
    <w:p>
      <w:pPr>
        <w:spacing w:after="0" w:line="22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June 2020, we established DeCART Therapeutics Inc. (DeCART), a wholly owned subsidiary, with an investment of $3.0 million and granted DeCART a license to three of our compounds, including NX-0255, for drug-enhanced isolation of T cells nonexclusively with respect to one chimeric antigen receptor T cell (CAR-T) therapy target and exclusively with respect to three novel CAR-T therapy targets. DeCART expects to combine our protein modulation technologies with novel CAR-T therapies to address current immunotherapy limitations and improve outcomes for patients with cancer, and subsequently seek equity financing from third parties and become an independent operating entity. DeCART granted to its external founders stock options to purchase shares of DeCART’s common stock equal to 14% of the fully diluted capitalization of DeCART. Following either the third-party funding or the exercise of the stock option grants, DeCART will no longer be a wholly owned subsidiary.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have no products approved for commercial sale and to date have not generated any revenue and do not expect to generate any revenue from the sale of products in the near future.</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76"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Internal research and development costs include:</w:t>
      </w:r>
    </w:p>
    <w:p>
      <w:pPr>
        <w:spacing w:after="0" w:line="117" w:lineRule="exact"/>
        <w:rPr>
          <w:sz w:val="20"/>
          <w:szCs w:val="20"/>
          <w:color w:val="auto"/>
        </w:rPr>
      </w:pPr>
    </w:p>
    <w:p>
      <w:pPr>
        <w:ind w:left="1000" w:right="6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payroll and personnel expenses, including benefits, stock-based compensation and travel expenses, for our research and development functions;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of research and development equipment, allocated overhead and facilities-related expenses.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External research and development expenses consist primarily of costs incurred for the development of our drug candidates and may include:</w:t>
      </w:r>
    </w:p>
    <w:p>
      <w:pPr>
        <w:spacing w:after="0" w:line="129" w:lineRule="exact"/>
        <w:rPr>
          <w:sz w:val="20"/>
          <w:szCs w:val="20"/>
          <w:color w:val="auto"/>
        </w:rPr>
      </w:pPr>
    </w:p>
    <w:p>
      <w:pPr>
        <w:ind w:left="1000" w:right="1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third parties such as consultants, contractors and contract research organizations to conduct our discovery programs, preclinical studies and clinical trials;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to acquire, develop and manufacture supplies for preclinical studies and clinical trials, including fees paid to third parties such as contract manufacturing organizations;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44"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to advance our drug candidates into and through our preclinical studies and clinical trials, pursue regulatory approval of our drug candidates and expand our drug candidate pipeline. The process of conducting the necessary preclinical and clinical research to obtain regulatory approval is costly and time-consuming. To the extent that our drug candidates advance and continue to advance into clinical trials, our expenses will increase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substantially for the foreseeable future as we continue to build our infrastructure, increase our headcount and operate as a public company. This may include expenses related to compliance with the rules and regulations of the SEC and listing standards applicable to companies listed on a national securities exchange, additional insurance, investor relations activities and other administrative and professional services. We also expect our intellectual property expenses to increase as we</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expand our intellectual property portfolio.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provision for income taxes primarily consists of reserves for unrecognized tax benefits and minimum state taxes. The benefit for income taxes consists of a discrete tax benefit from an adjustment to the net operating loss (NOL) deferred tax asset and valuation allowance. We have generated NOLs since inception and have established a full valuation allowance against our deferred tax assets due to the uncertainty surrounding the realization of such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February 28, 2021 and February 29,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70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vMerge w:val="restart"/>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February 28,</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February 28,</w:t>
            </w:r>
          </w:p>
        </w:tc>
        <w:tc>
          <w:tcPr>
            <w:tcW w:w="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613"/>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vMerge w:val="continue"/>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15,417</w:t>
            </w:r>
          </w:p>
        </w:tc>
        <w:tc>
          <w:tcPr>
            <w:tcW w:w="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(12,553)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(11,969)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and other income</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collaboration revenue for the three months ended February 28, 2021 and February 29, 2020 is summarized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70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vMerge w:val="restart"/>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February 28,</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February 28,</w:t>
            </w:r>
          </w:p>
        </w:tc>
        <w:tc>
          <w:tcPr>
            <w:tcW w:w="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vMerge w:val="restart"/>
          </w:tcPr>
          <w:p>
            <w:pPr>
              <w:jc w:val="right"/>
              <w:ind w:right="617"/>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vMerge w:val="restart"/>
          </w:tcPr>
          <w:p>
            <w:pPr>
              <w:jc w:val="right"/>
              <w:ind w:right="57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Gilead</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Sanofi</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collaboration revenue increased by $2.1 million for the three months ended February 28, 2021 compared with the three months ended February 29, 2020. The increase was primarily due to our collaboration with Sanofi, which continued to scale up resources as compared to the prior period, resulting in a higher percentage of completion in the current period.</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for the three months ended February 28, 2021 and February 29, 2020 are summarized as follows: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56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vMerge w:val="restart"/>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February 28,</w:t>
            </w: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February 29,</w:t>
            </w: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555"/>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personnel costs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Supplies and contract research</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Preclinical activities and contract manufacturing</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Facility and other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12,967</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10,036</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research and development expenses increased by $10.0 million, or 77.4%, for the three months ended February 28, 2021, compared with the three months ended February 29, 2020. The increase was primarily related to an increase of $4.6 million in compensation and related personnel costs attributable to an increase in headcount and higher non-cash stock-based compensation expense due to additional stock awards granted since February 29, 2020. There was also an increase of $3.5 million in supplies and contract research attributable to increases in our preclinical development activities and drug discovery research and an increase of $1.1 million in preclinical activities and contract manufacturing costs primarily due to preparation for upcoming clinical programs for our lead drug candidates.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Our general and administrative expenses increased by $4.1 million, or 166.5%, for the three months ended February 28, 2021, compared with the three months ended February 29, 2020. The increase was primarily related to an increase of $2.4 million in compensation related expenses attributable to a higher headcount and includes $1.4 million of higher non-cash stock-based compensation expense due to additional stock awards granted since February 29, 2020. There was also an increase of $1.0 million in consultant and other professional service expenses primarily related to becoming a public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Interest and other income, net was insignificant for each of the three months ended February 28, 2021 and February 29, 2020 and is related to interest earned on our deposits, money market funds and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Provision for income taxes was insignificant for each of the three months ended February 28, 2021 and February 29,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initial public offering closed on July 28, 2020 at which time we issued 11,000,000 shares of our common stock at a price to the public of $19.00 per share. In addition, the underwriters exercised their option to purchase an additional 1,550,000 shares of our common stock on July 31, 2020, and this transaction closed on August 4, 2020. Net proceeds from our initial public offering were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$150.1 million, after deducting underwriting discounts and commissions of $9.6 million and expenses of $0.7 million.</w:t>
      </w:r>
    </w:p>
    <w:p>
      <w:pPr>
        <w:spacing w:after="0" w:line="8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To date, our operations have been funded through the issuance of common and redeemable convertible preferred stock and proceeds from collaboration agreements. We do not have any products approved for sale, and we have not generated any revenue from product sales. As of February 28, 2021, we had $380.3 million in cash, cash equivalents and investments.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expect that our existing cash, cash equivalents and investments are sufficient to continue operating activities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1000" w:right="5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costs and results of our planned Phase 1 clinical trials for our lead drug candidates NX-2127 and NX-1607 and other drug candidates, and any future clinical development of such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that we pursue;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4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during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February 28,</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February 29,</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20" w:type="dxa"/>
            <w:vAlign w:val="bottom"/>
            <w:tcBorders>
              <w:bottom w:val="single" w:sz="8" w:color="auto"/>
            </w:tcBorders>
            <w:vMerge w:val="continue"/>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2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(19,424)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Net increase in cash, cash equivalents and restricted cash</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40" w:type="dxa"/>
            <w:vAlign w:val="bottom"/>
            <w:vMerge w:val="restart"/>
          </w:tcPr>
          <w:p>
            <w:pPr>
              <w:jc w:val="right"/>
              <w:ind w:right="153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Net cash provided by operating activities was $8.1 million for the three months ended February 28, 2021 and consisted of a decrease in net assets of $28.8 million and non-cash adjustments of $3.6 million, offset by our net loss of $24.3 million. The decrease in net assets consisted primarily of an increase in deferred revenue of $17.0 million and a decrease in contract assets of $7.5 million. Non-cash adjustments primarily consisted of stock-based compensation expenses of $2.7 million and depreciation and amortization expenses of $0.6 million.</w:t>
      </w:r>
    </w:p>
    <w:p>
      <w:pPr>
        <w:spacing w:after="0" w:line="63"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Net cash provided by operating activities was $41.0 million for the three months ended February 29, 2020 and consisted of a decrease in net assets of $52.7 million and non-cash adjustments of $0.7 million, offset by our net loss of $12.4 million. The decrease in net assets consisted primarily of an increase in deferred revenue of $54.6 million from the payment received under the Sanofi Agreement, offset by the recognition of revenue related to the Gilead Agreement and Sanofi Agreement. Non-cash adjustments primarily consisted of depreciation and amortization expenses of $0.5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Net cash used in investing activities was $2.4 million for the three months ended February 28, 2021 and consisted primarily of the purchase of investments of $47.7 million, offset by the maturity of investments of $46.2 million.</w:t>
      </w:r>
    </w:p>
    <w:p>
      <w:pPr>
        <w:spacing w:after="0" w:line="62"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Net cash used in investing activities was $19.4 million for the three months ended February 29, 2020 and consisted primarily of the purchase of investments of $19.1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provided by financing activities was $1.4 million for the three months ended February 28, 2021 and consisted primarily of proceeds from issuances under the 2020 ESPP.</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financing activities was insignificant for the three months ended February 29,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February 28, 2021:</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9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 to 3 years</w:t>
            </w:r>
          </w:p>
        </w:tc>
        <w:tc>
          <w:tcPr>
            <w:tcW w:w="8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1"/>
                <w:szCs w:val="11"/>
                <w:color w:val="auto"/>
              </w:rPr>
            </w:pPr>
          </w:p>
        </w:tc>
        <w:tc>
          <w:tcPr>
            <w:tcW w:w="10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More than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5 years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Status</w:t>
      </w:r>
    </w:p>
    <w:p>
      <w:pPr>
        <w:spacing w:after="0" w:line="121"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We are an “emerging growth company” (EGC), as defined in the Jumpstart Our Business Startups Act of 2012, as amended (the JOBS Act). We will remain an EGC until the earliest of: (i) the last day of the fiscal year in which we have total annual gross revenues of $1.07 billion or more; (ii) the last day of the fiscal year following the fifth anniversary of the completion of our initial public offering; (iii) the date on which we have issued more than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$1.0 billion in nonconvertible debt during the previous three years; or (iv) the date on which we are deemed to be a large accelerated filer under the rules of the SEC, which generally is when a company has more than $700.0 million in market value of its stock held by non-affiliates as of the prior May 31, has been a public company for at least 12 months and has filed one annual report on Form 10-K.</w:t>
      </w:r>
    </w:p>
    <w:p>
      <w:pPr>
        <w:spacing w:after="0" w:line="82"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Under the JOBS Act, EGCs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w:t>
      </w:r>
    </w:p>
    <w:p>
      <w:pPr>
        <w:spacing w:after="0" w:line="2" w:lineRule="exact"/>
        <w:rPr>
          <w:sz w:val="20"/>
          <w:szCs w:val="20"/>
          <w:color w:val="auto"/>
        </w:rPr>
      </w:pPr>
    </w:p>
    <w:p>
      <w:pPr>
        <w:ind w:right="240" w:firstLine="8"/>
        <w:spacing w:after="0" w:line="290"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0" w:name="page31"/>
    <w:bookmarkEnd w:id="30"/>
    <w:p>
      <w:pPr>
        <w:ind w:firstLine="510"/>
        <w:spacing w:after="0" w:line="271" w:lineRule="auto"/>
        <w:rPr>
          <w:sz w:val="20"/>
          <w:szCs w:val="20"/>
          <w:color w:val="auto"/>
        </w:rPr>
      </w:pPr>
      <w:r>
        <w:rPr>
          <w:rFonts w:ascii="Arial" w:cs="Arial" w:eastAsia="Arial" w:hAnsi="Arial"/>
          <w:sz w:val="17"/>
          <w:szCs w:val="17"/>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as of the prior May 31 and our annual revenue is less than $100.0 million during the most recently completed fiscal year. We may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2020 Form 10-K. Other than the updated policy on revenue recognition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condensed consolidated financial statements included elsewhere in this Quarterly Report on Form 10-Q, there have been no significant changes to these policies for the three months ended February 28,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See Note 2, “Summary of significant accounting policies—Recent accounting pronouncements” to our condensed consolidated financial statements included elsewhere in this Quarterly Report on Form 10-Q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(the Exchange Act), we are not required to provide this information.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February 28, 2021.</w:t>
      </w:r>
    </w:p>
    <w:p>
      <w:pPr>
        <w:spacing w:after="0" w:line="76"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 evaluation of our disclosure controls and procedures, our President and Chief Executive Officer and our Chief Financial Officer concluded that our disclosure controls and procedures were not effective as of February 28, 2021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 in Internal Control over Financial Reporting</w:t>
      </w:r>
    </w:p>
    <w:p>
      <w:pPr>
        <w:spacing w:after="0" w:line="11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As disclosed in the section titled “Risk Factors” in Part II, Item 1A of this Quarterly Report on Form 10-Q, we previously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This material weakness could result in a misstatement of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resulted in the revision to the basic and diluted weighted-average number of shares outstanding and basic and diluted net loss per share calculations for the three- and nine-month periods ended August 31, 2020. Additionally, this material weakness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17" w:lineRule="exact"/>
        <w:rPr>
          <w:sz w:val="20"/>
          <w:szCs w:val="20"/>
          <w:color w:val="auto"/>
        </w:rPr>
      </w:pPr>
    </w:p>
    <w:p>
      <w:pPr>
        <w:ind w:right="40" w:firstLine="584"/>
        <w:spacing w:after="0" w:line="342" w:lineRule="auto"/>
        <w:rPr>
          <w:sz w:val="20"/>
          <w:szCs w:val="20"/>
          <w:color w:val="auto"/>
        </w:rPr>
      </w:pPr>
      <w:r>
        <w:rPr>
          <w:rFonts w:ascii="Arial" w:cs="Arial" w:eastAsia="Arial" w:hAnsi="Arial"/>
          <w:sz w:val="16"/>
          <w:szCs w:val="16"/>
          <w:color w:val="auto"/>
        </w:rPr>
        <w:t>To address our material weakness, we are in the process of implementing new financial systems and controls. We intend to continue to take steps to remediate the material weakness through formalizing documentation of policies and procedures and further evolving our accounting processes.</w:t>
      </w:r>
    </w:p>
    <w:p>
      <w:pPr>
        <w:spacing w:after="0" w:line="16" w:lineRule="exact"/>
        <w:rPr>
          <w:sz w:val="20"/>
          <w:szCs w:val="20"/>
          <w:color w:val="auto"/>
        </w:rPr>
      </w:pPr>
    </w:p>
    <w:p>
      <w:pPr>
        <w:ind w:right="20" w:firstLine="584"/>
        <w:spacing w:after="0" w:line="257" w:lineRule="auto"/>
        <w:rPr>
          <w:sz w:val="20"/>
          <w:szCs w:val="20"/>
          <w:color w:val="auto"/>
        </w:rPr>
      </w:pPr>
      <w:r>
        <w:rPr>
          <w:rFonts w:ascii="Arial" w:cs="Arial" w:eastAsia="Arial" w:hAnsi="Arial"/>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 efforts and subsequent evaluation of their effectiveness.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As part of our remediation plan discussed above, we continued formalizing documentation of policies and procedures and evaluating the implementation of new and existing controls during the quarter ended February 28, 2021. Such remediation actions were changes in our internal control over financial reporting identified in connection with the evaluation required by Rule 13a-15(d) and 15d-15(d) of the Exchange Act that occurred during the three months ended February 28, 2021 that have materially affected, or are reasonably likely to materially affect, our internal control over financial reporting.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discussed below will not occur. If any of these events occur, our business, financial condition, operating results, and future prospects could be materially and adversely affected. If that were to happen, the trading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risks discussed at-length below. These risks include, among others, the following:</w:t>
      </w:r>
    </w:p>
    <w:p>
      <w:pPr>
        <w:spacing w:after="0" w:line="62" w:lineRule="exact"/>
        <w:rPr>
          <w:sz w:val="20"/>
          <w:szCs w:val="20"/>
          <w:color w:val="auto"/>
        </w:rPr>
      </w:pPr>
    </w:p>
    <w:p>
      <w:pPr>
        <w:ind w:left="1000" w:right="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at least the next several years and may never achieve or maintain profitability.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rFonts w:ascii="Arial" w:cs="Arial" w:eastAsia="Arial" w:hAnsi="Arial"/>
          <w:sz w:val="18"/>
          <w:szCs w:val="18"/>
          <w:color w:val="auto"/>
        </w:rPr>
      </w:pPr>
    </w:p>
    <w:p>
      <w:pPr>
        <w:jc w:val="both"/>
        <w:ind w:left="1000" w:right="100" w:hanging="493"/>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very early in our development efforts. We only recently initiated clinical development of our first drug candidate and all of our other drug candidates are in preclinical development. If we are unable to advance to clinical development, develop, obtain regulatory approval for and commercialize our drug candidates or experience significant delays in doing so, our business may be materially harmed.</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to evaluate the success of our business to date and to assess our future viability.</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62" w:lineRule="exact"/>
        <w:rPr>
          <w:rFonts w:ascii="Arial" w:cs="Arial" w:eastAsia="Arial" w:hAnsi="Arial"/>
          <w:sz w:val="18"/>
          <w:szCs w:val="18"/>
          <w:color w:val="auto"/>
        </w:rPr>
      </w:pPr>
    </w:p>
    <w:p>
      <w:pPr>
        <w:ind w:left="1000" w:right="40" w:hanging="493"/>
        <w:spacing w:after="0" w:line="28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only recently initiated testing of our lead drug candidate in clinical trials, and we have not tested any of our other drug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57"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75" w:lineRule="exact"/>
        <w:rPr>
          <w:rFonts w:ascii="Arial" w:cs="Arial" w:eastAsia="Arial" w:hAnsi="Arial"/>
          <w:sz w:val="18"/>
          <w:szCs w:val="18"/>
          <w:color w:val="auto"/>
        </w:rPr>
      </w:pPr>
    </w:p>
    <w:p>
      <w:pPr>
        <w:ind w:left="1000" w:right="60" w:hanging="493"/>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CMO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8"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success and ability to effectively compete in the market depends, in part, upon our ability and the ability of our collaborators to obtain and maintain adequate patent protection for our technology, current drug candidates and any future drug candidates that we may develop and our ability to develop, manufacture, market and sell our drug candidates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3" w:name="page34"/>
    <w:bookmarkEnd w:id="33"/>
    <w:p>
      <w:pPr>
        <w:ind w:left="1000" w:right="220"/>
        <w:spacing w:after="0" w:line="277" w:lineRule="auto"/>
        <w:rPr>
          <w:sz w:val="20"/>
          <w:szCs w:val="20"/>
          <w:color w:val="auto"/>
        </w:rPr>
      </w:pPr>
      <w:r>
        <w:rPr>
          <w:rFonts w:ascii="Arial" w:cs="Arial" w:eastAsia="Arial" w:hAnsi="Arial"/>
          <w:sz w:val="18"/>
          <w:szCs w:val="18"/>
          <w:color w:val="auto"/>
        </w:rPr>
        <w:t>and future drug candidates and use our proprietary technologies without infringing, misappropriating or otherwise violating the intellectual property of others.</w:t>
      </w:r>
    </w:p>
    <w:p>
      <w:pPr>
        <w:spacing w:after="0" w:line="62" w:lineRule="exact"/>
        <w:rPr>
          <w:sz w:val="20"/>
          <w:szCs w:val="20"/>
          <w:color w:val="auto"/>
        </w:rPr>
      </w:pPr>
    </w:p>
    <w:p>
      <w:pPr>
        <w:ind w:left="1000" w:right="5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operations, clinical development plans, the timing of regulatory filings and regulatory approvals and the achievement of milestones could be adversely affected by the current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net loss was $43.2 million for the fiscal year ended November 30, 2020 and $24.3 million for the three months ended February 28, 2021. As of February 28, 2021, we had an accumulated deficit of $128.0 million. To date, we have not generated any revenue from product sales and have financed our operations primarily through our collaborations and sales of our equity interests. We are in the early stages of development of our drug candidates. We filed an IND for NX-2127 in December 2020 and received clearance by the FDA to initiate human clinical trials. Clinical sites are actively recruiting patients for our Phase 1 clinical trial of NX-2127 and we expect our other three most advanced drug candidates to enter clinical trials in 2021. We expect to continue to incur significant expenses and increasing operating losses for at least the next several years. We anticipate that our operating expenses and capital expenditure requirements will increase substantially if and as we:</w:t>
      </w:r>
    </w:p>
    <w:p>
      <w:pPr>
        <w:spacing w:after="0" w:line="69"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a Phase 1 clinical trial of our drug candidate NX-2127;</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file INDs elsewhere and initiate clinical trials of our other lead drug candidates NX-1607, NX-5948, DeTIL-0255 and other drug candidates;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advanced clinical development and scale up external manufacturing capabilities to supply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capabilities of our DELigase platform and apply our DELigase platform to advance additional drug candidates into preclinical and clinical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process development for manufacturing of our DeTIL cell therapy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any drug candidates that successfully complete clinical trials;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regulatory, manufacturing, quality assurance and scientific personnel; and</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170"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We only recently commenced clinical development of our first drug candidate NX-2127, and we are currently only in the preclinical testing stages for our other most advanced drug candidates and research programs.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120"/>
        <w:spacing w:after="0" w:line="263" w:lineRule="auto"/>
        <w:rPr>
          <w:sz w:val="20"/>
          <w:szCs w:val="20"/>
          <w:color w:val="auto"/>
        </w:rPr>
      </w:pPr>
      <w:r>
        <w:rPr>
          <w:rFonts w:ascii="Arial" w:cs="Arial" w:eastAsia="Arial" w:hAnsi="Arial"/>
          <w:sz w:val="18"/>
          <w:szCs w:val="18"/>
          <w:color w:val="auto"/>
        </w:rPr>
        <w:t>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184"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conduct our Phase 1 clinical trial of NX-2127, and work to prepare for IND submissions and initiate planned Phase 1 clinical trials of our other lead drug candidates NX-1607, NX-5948, DeTIL-0255 and other drug candidates,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166"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had cash, cash equivalents and investments of $380.3 million as of February 28, 2021. We believe that our existing cash, cash equivalents and investments,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84" w:lineRule="exact"/>
        <w:rPr>
          <w:sz w:val="20"/>
          <w:szCs w:val="20"/>
          <w:color w:val="auto"/>
        </w:rPr>
      </w:pPr>
    </w:p>
    <w:p>
      <w:pPr>
        <w:jc w:val="both"/>
        <w:ind w:left="1000" w:right="600" w:hanging="493"/>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progress, costs and results of our Phase 1 clinical trial for NX-2127 and our planned Phase 1 clinical trials for our other lead drug candidates NX-1607, NX-5948, DeTIL-0255 and other drug candidates, and any future clinical development of such drug candidates;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of, and costs associated with, future preclinical development of our DeTIL cell therapy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7"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2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and establishing arrangements with third parties for the manufacture of initial quantities of our drug candidates. All of our drug candidates are either in preclinical development or have only recently entered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92"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Drug Candidates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We are very early in our development efforts. All of our drug candidates are either in preclinical development or have only recently entered clinical development. If we are unable to advance to clinical development, develop, obtain regulatory approval for and commercialize our drug candidates or experience significant delays in doing so, our business may be materially harmed.</w:t>
      </w:r>
    </w:p>
    <w:p>
      <w:pPr>
        <w:spacing w:after="0" w:line="5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very early in our development efforts. All of our drug candidates are either in preclinical development or have only recently entered clinical development, and their risk of failure is high. We have invested substantially all of our efforts and financial resources in building our DELigase platform, in the identification and preclinical development of our current drug candidates, and in the initiation of Phase 1 clinical trials for our lead drug candidate, NX-2127.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84"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submission of INDs and initiation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left="1000" w:right="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drug candidates’ intended indications;</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a profile following approval;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2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3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19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believe that our CTM drug candidates may offer an improved therapeutic approach by removing the disease-causing proteins instead of simply inhibiting their activities. However, the scientific research that forms the basis of our efforts to develop our CTM drug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Although we believe NX-2127 may have the ability to degrade the BTK mutation that confers resistance to currently marketed BTK inhibitors, any inherent primary or acquired secondary resistance to our BTK CTMs in patients would prevent or diminish their clinical benefit.</w:t>
      </w:r>
    </w:p>
    <w:p>
      <w:pPr>
        <w:spacing w:after="0" w:line="17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only recently initiated clinical development of NX-2127, and we have not yet initiated a clinical trial of any other CTM drug candidate, nor have we assessed the safety of any CTM drug candidate in humans. Although some of our drug candidates have produced observable results in animal studies, there is a limited safety data set for their effects in animals.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17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CTM drug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Advancing our CTM products creates significant challenges for us, including:</w:t>
      </w:r>
    </w:p>
    <w:p>
      <w:pPr>
        <w:spacing w:after="0" w:line="87" w:lineRule="exact"/>
        <w:rPr>
          <w:sz w:val="20"/>
          <w:szCs w:val="20"/>
          <w:color w:val="auto"/>
        </w:rPr>
      </w:pPr>
    </w:p>
    <w:p>
      <w:pPr>
        <w:ind w:left="1000" w:right="7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efficacy and safety benefits, as well as the challenges, of incorporating our drug candidates, if approved, into treatment regimens;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to gain market acceptance, if approved.</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Any of these factors may prevent us from completing our preclinical studies or any clinical trials that we may initiate, or from commercializing any CTM drug candidates we may develop on a timely or profitable basis, if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7" w:name="page38"/>
    <w:bookmarkEnd w:id="37"/>
    <w:p>
      <w:pPr>
        <w:ind w:right="120"/>
        <w:spacing w:after="0" w:line="277" w:lineRule="auto"/>
        <w:rPr>
          <w:sz w:val="20"/>
          <w:szCs w:val="20"/>
          <w:color w:val="auto"/>
        </w:rPr>
      </w:pPr>
      <w:r>
        <w:rPr>
          <w:rFonts w:ascii="Arial" w:cs="Arial" w:eastAsia="Arial" w:hAnsi="Arial"/>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All of our drug candidates are either in preclinical development or have only recently entered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16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 consensus with regulators on trial design;</w:t>
      </w:r>
    </w:p>
    <w:p>
      <w:pPr>
        <w:spacing w:after="0" w:line="117"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75"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regulators or IRB may not authorize us or our investigators to commence a clinical trial or conduct a clinical trial at a prospective trial site;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selection of certain clinical endpoints may require prolonged periods of clinical observation or analysis of the resulting data;</w:t>
      </w:r>
    </w:p>
    <w:p>
      <w:pPr>
        <w:spacing w:after="0" w:line="117"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 to suspend or terminate the trials;</w:t>
      </w:r>
    </w:p>
    <w:p>
      <w:pPr>
        <w:spacing w:after="0" w:line="62" w:lineRule="exact"/>
        <w:rPr>
          <w:rFonts w:ascii="Arial" w:cs="Arial" w:eastAsia="Arial" w:hAnsi="Arial"/>
          <w:sz w:val="18"/>
          <w:szCs w:val="18"/>
          <w:color w:val="auto"/>
        </w:rPr>
      </w:pPr>
    </w:p>
    <w:p>
      <w:pPr>
        <w:ind w:left="1000" w:right="240" w:hanging="493"/>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have to suspend or terminate clinical trials of our drug candidates for various reasons, including a finding that our drug candidates have undesirable side effects or other unexpected characteristics, or that the participants are being exposed to unacceptable health risks;</w:t>
      </w:r>
    </w:p>
    <w:p>
      <w:pPr>
        <w:spacing w:after="0" w:line="15" w:lineRule="exact"/>
        <w:rPr>
          <w:rFonts w:ascii="Arial" w:cs="Arial" w:eastAsia="Arial" w:hAnsi="Arial"/>
          <w:sz w:val="16"/>
          <w:szCs w:val="16"/>
          <w:color w:val="auto"/>
        </w:rPr>
      </w:pPr>
    </w:p>
    <w:p>
      <w:pPr>
        <w:ind w:left="1000" w:right="1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8" w:name="page39"/>
    <w:bookmarkEnd w:id="38"/>
    <w:p>
      <w:pPr>
        <w:ind w:left="1000" w:right="2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IRB may require that we or our investigators suspend or terminate clinical trials for various reasons, including noncompliance with regulatory requirements;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drug candidates, or such requirements may not be as we anticipate;</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 and</w:t>
      </w:r>
    </w:p>
    <w:p>
      <w:pPr>
        <w:spacing w:after="0" w:line="62"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170"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drug candidates.</w:t>
      </w:r>
    </w:p>
    <w:p>
      <w:pPr>
        <w:spacing w:after="0" w:line="17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176"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planned clinical trials for our lead drug candidates NX-2127 and NX-1607 and other drug candidates will be with patients who have received one or more prior treatments. Subsequently, for those products that prove to be sufficiently beneficial, if any, we would expect to seek approval potentially as a first-line therapy, but any drug candidates we develop, even if approved, may not be approved for first-line therapy, and, prior to any such approvals, we may have to conduct additional clinical trials.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62"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have not evaluated any drug candidates in human clinical trials, and there have been very few clinical trials to date involving small molecule drug candidates designed to control cellular protein levels through targeted protein degradation. It is impossible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140"/>
        <w:spacing w:after="0" w:line="259" w:lineRule="auto"/>
        <w:rPr>
          <w:sz w:val="20"/>
          <w:szCs w:val="20"/>
          <w:color w:val="auto"/>
        </w:rPr>
      </w:pPr>
      <w:r>
        <w:rPr>
          <w:rFonts w:ascii="Arial" w:cs="Arial" w:eastAsia="Arial" w:hAnsi="Arial"/>
          <w:sz w:val="18"/>
          <w:szCs w:val="18"/>
          <w:color w:val="auto"/>
        </w:rPr>
        <w:t>predict when or if any drug candidates we may develop will prove safe in humans. There is a limited safety data set for the effects of NX-2127, NX-1607, NX-5948 and DeTIL-0255 in animals and our drug candidates have not been tested on humans at all.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planned or future clinical studies. There also is the potential risk of delayed adverse events following treatment with our drug candidates.</w:t>
      </w:r>
    </w:p>
    <w:p>
      <w:pPr>
        <w:spacing w:after="0" w:line="18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If any drug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drug candidates. This may prevent us from advancing them into clinical trials, delay these trials or limit the extent of these trials. For example, in pre-clinical GLP toxicity studies for our drug candidate NX-1607, one instance of severe uveitis was noted at the highest dose level consistent with opthalmological effects noted in other immune checkpoint inhibitors. In addition, increased bleeding risk and cardiac arrhythmia such as atrial fibrillation have been reported side effects of approved BTK inhibitors.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28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Clinical sites are actively recruiting patients for our first clinical trial for NX-2127 and we have not tested any of our other drug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 for NX-2127 and of our planned Phase 1 clinical trials of our other lead drug candidates NX-1607, NX-5948 and DeTIL-0255 and other drug candidates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28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delays or difficulties in enrolling patients in clinical trials, our receipt of necessary marketing approvals could be delayed or prevented.</w:t>
      </w:r>
    </w:p>
    <w:p>
      <w:pPr>
        <w:spacing w:after="0" w:line="15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100"/>
        <w:spacing w:after="0" w:line="270" w:lineRule="auto"/>
        <w:rPr>
          <w:sz w:val="20"/>
          <w:szCs w:val="20"/>
          <w:color w:val="auto"/>
        </w:rPr>
      </w:pPr>
      <w:r>
        <w:rPr>
          <w:rFonts w:ascii="Arial" w:cs="Arial" w:eastAsia="Arial" w:hAnsi="Arial"/>
          <w:sz w:val="17"/>
          <w:szCs w:val="17"/>
          <w:color w:val="auto"/>
        </w:rPr>
        <w:t>States. In particular, clinical sites are actively recruiting patients for our Phase 1 clinical trial for NX-2127 in patients with CLL and other B-cell malignancies and we are preparing to begin Phase 1 clinical trials for NX-1607 in immune-oncology indications. We cannot predict how difficult it will be to enroll patients for trials in these indications. Therefore, our ability to identify and enroll eligible patients for our NX-2127 clinical trial and our planned NX-1607 clinical trial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are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3"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efficacy of approved medications for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candidates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attitudes and practices with respect to clinical trial enrollment;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burden on patients due to inconvenient procedures;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170"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drugs is complex and we and our third-party manufacturers are early in our manufacturing efforts.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of any drug candidate for which we now are pursuing, or may in the future pursue, preclinical or clinical development. Our current cGMPs, manufacturing process development with our third-party manufacturers and scale-up is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our ability to obtain marketing approval, or our ability to provide supply of our drug candidates for patients, if approved, could be delayed or stopped.</w:t>
      </w:r>
    </w:p>
    <w:p>
      <w:pPr>
        <w:spacing w:after="0" w:line="34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62"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drug candidates, and we may never be successful in developing these therapeutics.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drug candidates.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9"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drug candidates;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drug candidates may not be effective in treating their targeted diseases.</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sale of products in future periods, which likely would result in significant harm to our financial position and adversely impact our stock price.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expand the breadth of our DELigase platform.</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2" w:name="page43"/>
    <w:bookmarkEnd w:id="42"/>
    <w:p>
      <w:pPr>
        <w:ind w:right="1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195"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We are aware of several biotechnology companies focused on developing small molecules that degrade target proteins including Arvinas, Inc., C4 Therapeutics, Inc., Cullgen Inc. and Kymera Therapeutics, Inc., all of which currently are in preclinical or clinical development. Further, several large pharmaceutical companies have disclosed preclinical investments in this field, including Amgen Inc., AstraZeneca plc, Bristol-Myers Squibb Company, Genentech, Inc., GlaxoSmithKline plc and Novartis International AG.</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3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62"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color w:val="auto"/>
        </w:rPr>
        <w:t>assumptions based on that data, our actual market may be more limited than we estimate it to be. In addition, these inaccuracies or errors may cause us to misallocate capital and other critical business resources,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21"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have sought third-party collaborators for the research, development, and commercialization of some of our CTM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Collaborations involving our research programs or any drug candidates we may develop, including our collaborations with Sanofi and Gilead, pose the following risks to us:</w:t>
      </w:r>
    </w:p>
    <w:p>
      <w:pPr>
        <w:spacing w:after="0" w:line="62"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jc w:val="both"/>
        <w:ind w:left="1000" w:right="280" w:hanging="493"/>
        <w:spacing w:after="0" w:line="31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40" w:lineRule="exact"/>
        <w:rPr>
          <w:rFonts w:ascii="Arial" w:cs="Arial" w:eastAsia="Arial" w:hAnsi="Arial"/>
          <w:sz w:val="16"/>
          <w:szCs w:val="16"/>
          <w:color w:val="auto"/>
        </w:rPr>
      </w:pPr>
    </w:p>
    <w:p>
      <w:pPr>
        <w:jc w:val="both"/>
        <w:ind w:left="1000" w:right="26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75" w:lineRule="exact"/>
        <w:rPr>
          <w:rFonts w:ascii="Arial" w:cs="Arial" w:eastAsia="Arial" w:hAnsi="Arial"/>
          <w:sz w:val="18"/>
          <w:szCs w:val="18"/>
          <w:color w:val="auto"/>
        </w:rPr>
      </w:pPr>
    </w:p>
    <w:p>
      <w:pPr>
        <w:ind w:left="1000" w:right="660" w:hanging="493"/>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38" w:lineRule="exact"/>
        <w:rPr>
          <w:rFonts w:ascii="Arial" w:cs="Arial" w:eastAsia="Arial" w:hAnsi="Arial"/>
          <w:sz w:val="17"/>
          <w:szCs w:val="17"/>
          <w:color w:val="auto"/>
        </w:rPr>
      </w:pPr>
    </w:p>
    <w:p>
      <w:pPr>
        <w:ind w:left="1000" w:right="12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00" w:right="140" w:hanging="493"/>
        <w:spacing w:after="0" w:line="296"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53" w:lineRule="exact"/>
        <w:rPr>
          <w:rFonts w:ascii="Arial" w:cs="Arial" w:eastAsia="Arial" w:hAnsi="Arial"/>
          <w:sz w:val="16"/>
          <w:szCs w:val="16"/>
          <w:color w:val="auto"/>
        </w:rPr>
      </w:pPr>
    </w:p>
    <w:p>
      <w:pPr>
        <w:ind w:left="1000" w:right="4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62" w:lineRule="exact"/>
        <w:rPr>
          <w:rFonts w:ascii="Arial" w:cs="Arial" w:eastAsia="Arial" w:hAnsi="Arial"/>
          <w:sz w:val="18"/>
          <w:szCs w:val="18"/>
          <w:color w:val="auto"/>
        </w:rPr>
      </w:pPr>
    </w:p>
    <w:p>
      <w:pPr>
        <w:ind w:left="1000" w:right="20" w:hanging="493"/>
        <w:spacing w:after="0" w:line="25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1000" w:right="240" w:hanging="493"/>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19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18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14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prospects, financial condition and results of operations.</w:t>
      </w:r>
    </w:p>
    <w:p>
      <w:pPr>
        <w:spacing w:after="0" w:line="28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those third parties may not perform satisfactorily, including failing to meet deadlines for completing such trials.</w:t>
      </w:r>
    </w:p>
    <w:p>
      <w:pPr>
        <w:spacing w:after="0" w:line="6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will rely on third-party clinical research organizations (CROs) to conduct our Phase 1 clinical trial program for NX-2127, our planned Phase 1 clinical trial programs for NX-1607, NX-5948 and DeTIL-0255, and any other clinical trials for other drug candidates. We currently do not plan to conduct any clinical trials independently. Agreements with these CROs might terminate for 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900"/>
        <w:spacing w:after="0" w:line="277" w:lineRule="auto"/>
        <w:rPr>
          <w:sz w:val="20"/>
          <w:szCs w:val="20"/>
          <w:color w:val="auto"/>
        </w:rPr>
      </w:pPr>
      <w:r>
        <w:rPr>
          <w:rFonts w:ascii="Arial" w:cs="Arial" w:eastAsia="Arial" w:hAnsi="Arial"/>
          <w:sz w:val="18"/>
          <w:szCs w:val="18"/>
          <w:color w:val="auto"/>
        </w:rPr>
        <w:t>variety of reasons, including for their failure to perform. Entry into alternative arrangements, if necessary, could significantly delay our product development activities.</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88"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2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rely on third-party contract manufacturing organizations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on and expect to continue to rely on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15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 CMOs, reliance on them entails additional risks, including:</w:t>
      </w:r>
    </w:p>
    <w:p>
      <w:pPr>
        <w:spacing w:after="0" w:line="62"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the CMO for regulatory, compliance and quality assurance;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CMO;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CMO at a time that is costly or inconvenient for us.</w:t>
      </w:r>
    </w:p>
    <w:p>
      <w:pPr>
        <w:spacing w:after="0" w:line="22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18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CMOs we retain may not be able to comply with cGMP regulations or similar regulatory requirements outside of the United States. Our failure, or the failure of our CMOs, to comply with applicable regulations could result in sanctions being imposed on us, including clinical holds, fines, injunctions, civil penalties, delays, suspension or withdrawal of approvals, license revocation, seizures or recalls of drug candidates or products, operating restrictions and criminal prosecutions, any of which could significantly and adversely affect supplies of our products.</w:t>
      </w:r>
    </w:p>
    <w:p>
      <w:pPr>
        <w:spacing w:after="0" w:line="17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the European Medicines Agency (EMA) pursuant to inspections that will be conducted after we submit our NDA to the FDA or our marketing authorization application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right="80" w:firstLine="510"/>
        <w:spacing w:after="0" w:line="259"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and harm our business and results of operations.</w:t>
      </w:r>
    </w:p>
    <w:p>
      <w:pPr>
        <w:spacing w:after="0" w:line="18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be able to reach agreement with any alternative manufacturer.</w:t>
      </w:r>
    </w:p>
    <w:p>
      <w:pPr>
        <w:spacing w:after="0" w:line="188"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obtain certain chemical or biological intermediates in the synthesis of our drug candidates and NHPs for toxicology testing in countries affected by the COVID-19 pandemic. If we are unable to obtain these chemical or biological intermediates or NHPs in sufficient quantity and in a timely manner,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order to conduct clinical trials of our drug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Drug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a drug candidate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If any of our drug candidates receive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8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62"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16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currently expect that we may build our own focused, specialized sales and marketing organization to support the commercialization in the United States of drug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30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16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48" w:name="page49"/>
    <w:bookmarkEnd w:id="48"/>
    <w:p>
      <w:pPr>
        <w:ind w:right="160"/>
        <w:spacing w:after="0" w:line="253" w:lineRule="auto"/>
        <w:rPr>
          <w:sz w:val="20"/>
          <w:szCs w:val="20"/>
          <w:color w:val="auto"/>
        </w:rPr>
      </w:pPr>
      <w:r>
        <w:rPr>
          <w:rFonts w:ascii="Arial" w:cs="Arial" w:eastAsia="Arial" w:hAnsi="Arial"/>
          <w:sz w:val="18"/>
          <w:szCs w:val="18"/>
          <w:color w:val="auto"/>
        </w:rPr>
        <w:t>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19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any drug candidates or products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However, the portfolio covering our drug candidates is at an early stage and comprised only of patent applications and we do not currently own or license any issued patents covering our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7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168"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right="40"/>
        <w:spacing w:after="0" w:line="285" w:lineRule="auto"/>
        <w:rPr>
          <w:sz w:val="20"/>
          <w:szCs w:val="20"/>
          <w:color w:val="auto"/>
        </w:rPr>
      </w:pPr>
      <w:r>
        <w:rPr>
          <w:rFonts w:ascii="Arial" w:cs="Arial" w:eastAsia="Arial" w:hAnsi="Arial"/>
          <w:sz w:val="16"/>
          <w:szCs w:val="16"/>
          <w:color w:val="auto"/>
        </w:rPr>
        <w:t xml:space="preserve">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174"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18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120" w:firstLine="510"/>
        <w:spacing w:after="0" w:line="293" w:lineRule="auto"/>
        <w:rPr>
          <w:sz w:val="20"/>
          <w:szCs w:val="20"/>
          <w:color w:val="auto"/>
        </w:rPr>
      </w:pPr>
      <w:r>
        <w:rPr>
          <w:rFonts w:ascii="Arial" w:cs="Arial" w:eastAsia="Arial" w:hAnsi="Arial"/>
          <w:sz w:val="16"/>
          <w:szCs w:val="16"/>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27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Even if we are able to obtain patent protection for our drug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5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8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71"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2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184"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line="275" w:lineRule="auto"/>
        <w:rPr>
          <w:sz w:val="20"/>
          <w:szCs w:val="20"/>
          <w:color w:val="auto"/>
        </w:rPr>
      </w:pPr>
      <w:r>
        <w:rPr>
          <w:rFonts w:ascii="Arial" w:cs="Arial" w:eastAsia="Arial" w:hAnsi="Arial"/>
          <w:sz w:val="17"/>
          <w:szCs w:val="17"/>
          <w:color w:val="auto"/>
        </w:rPr>
        <w:t xml:space="preserve">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176"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CTMs. This patent may be alleged to cover one or more of our CTM drug candidates, including our NX-2127 drug candidate. While we believe that we have valid defenses against any assertion of such patent against us, such defenses may be unsuccessful. If we are unsuccessful and any of our CTM drug candidates is found to infringe this patent, we could be required to obtain a license to such patent or forced to permanently cease developing, manufacturing, marketing and commercializing the infringing CTM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7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178"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171"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300"/>
        <w:spacing w:after="0" w:line="263" w:lineRule="auto"/>
        <w:rPr>
          <w:sz w:val="20"/>
          <w:szCs w:val="20"/>
          <w:color w:val="auto"/>
        </w:rPr>
      </w:pPr>
      <w:r>
        <w:rPr>
          <w:rFonts w:ascii="Arial" w:cs="Arial" w:eastAsia="Arial" w:hAnsi="Arial"/>
          <w:sz w:val="18"/>
          <w:szCs w:val="18"/>
          <w:color w:val="auto"/>
        </w:rPr>
        <w:t>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184"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16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development efforts, adversely affect our ability to raise additional funds, and could limit our ability to continue our operations. Any of the foregoing could have a material adverse effect on our business.</w:t>
      </w:r>
    </w:p>
    <w:p>
      <w:pPr>
        <w:spacing w:after="0" w:line="287"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17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4" w:name="page55"/>
    <w:bookmarkEnd w:id="54"/>
    <w:p>
      <w:pPr>
        <w:spacing w:after="0" w:line="268" w:lineRule="auto"/>
        <w:rPr>
          <w:sz w:val="20"/>
          <w:szCs w:val="20"/>
          <w:color w:val="auto"/>
        </w:rPr>
      </w:pPr>
      <w:r>
        <w:rPr>
          <w:rFonts w:ascii="Arial" w:cs="Arial" w:eastAsia="Arial" w:hAnsi="Arial"/>
          <w:sz w:val="17"/>
          <w:szCs w:val="17"/>
          <w:color w:val="auto"/>
        </w:rPr>
        <w:t>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17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20"/>
        <w:spacing w:after="0" w:line="255" w:lineRule="auto"/>
        <w:rPr>
          <w:sz w:val="20"/>
          <w:szCs w:val="20"/>
          <w:color w:val="auto"/>
        </w:rPr>
      </w:pPr>
      <w:r>
        <w:rPr>
          <w:rFonts w:ascii="Arial" w:cs="Arial" w:eastAsia="Arial" w:hAnsi="Arial"/>
          <w:sz w:val="18"/>
          <w:szCs w:val="18"/>
          <w:color w:val="auto"/>
        </w:rPr>
        <w:t>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19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26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governmental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drug candidates and technology.</w:t>
      </w:r>
    </w:p>
    <w:p>
      <w:pPr>
        <w:spacing w:after="0" w:line="18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20" w:firstLine="510"/>
        <w:spacing w:after="0" w:line="279" w:lineRule="auto"/>
        <w:rPr>
          <w:sz w:val="20"/>
          <w:szCs w:val="20"/>
          <w:color w:val="auto"/>
        </w:rPr>
      </w:pPr>
      <w:r>
        <w:rPr>
          <w:rFonts w:ascii="Arial" w:cs="Arial" w:eastAsia="Arial" w:hAnsi="Arial"/>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00" w:right="3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own or license now or in the future;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it is possible that our pending owned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patents that we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1000" w:right="72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Drug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of the FDA is lengthy, time-consuming and inherently unpredictable, and if we are ultimately unable to obtain marketing approval for our drug candidates, our business will be substantially harmed.</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drug candidates could be delayed or fail to receive marketing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planned clinical trials;</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drug candidate is safe and effective for its proposed indication;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our drug candidates’ clinical and other benefits outweigh their safety risks;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23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18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192"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may submit an NDA for one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As described in the “Government Regulation” section, the Accelerated Approval Program is one of several approaches used by the FDA to make prescription drugs more rapidly available for the treatment of serious or life-threatening diseases. Section 506(c) of the Federal Food, Drug and Cosmetic Act (FFDCA),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184"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18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Even if FDA reviews an NDA seeking accelerated approval, there can be no assurance that approval will be granted on a timely basis, or at all.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8" w:name="page59"/>
    <w:bookmarkEnd w:id="58"/>
    <w:p>
      <w:pPr>
        <w:ind w:right="100"/>
        <w:spacing w:after="0" w:line="277" w:lineRule="auto"/>
        <w:rPr>
          <w:sz w:val="20"/>
          <w:szCs w:val="20"/>
          <w:color w:val="auto"/>
        </w:rPr>
      </w:pPr>
      <w:r>
        <w:rPr>
          <w:rFonts w:ascii="Arial" w:cs="Arial" w:eastAsia="Arial" w:hAnsi="Arial"/>
          <w:sz w:val="18"/>
          <w:szCs w:val="18"/>
          <w:color w:val="auto"/>
        </w:rPr>
        <w:t>could increase the cost of their development, could delay our ability to commercialize our products and could significantly harm our financial position and competitive position in the marketplace.</w:t>
      </w:r>
    </w:p>
    <w:p>
      <w:pPr>
        <w:spacing w:after="0" w:line="170"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Even if we receive approval for one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192"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Any delay in obtaining, or inability to obtain, approval through the Accelerated Approval Program would delay or prevent commercialization of our products, and would materially adversely affect our business, financial condition, results of operations, cash flows and prospects.</w:t>
      </w:r>
    </w:p>
    <w:p>
      <w:pPr>
        <w:spacing w:after="0" w:line="25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as a company, have limited experience in filing for and obtaining regulatory approval to initiate a clinical trial and we do not have experience in manufacturing or in quality assurance in order to market a new drug in the United States or in any other jurisdiction.</w:t>
      </w:r>
    </w:p>
    <w:p>
      <w:pPr>
        <w:spacing w:after="0" w:line="3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As a company, we have limited experience in filing for or obtaining regulatory approval to initiate clinical trials and we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United Kingdom’s recent exit from the European Union (EU), commonly referred to as “Brexit,” continues to create political and economic uncertainty, particularly in the United Kingdom and the EU. Following the UK’s departure from the EU on January 31, 2020 and the expiry of a transition period on December 31, 2020, the UK is now being treated as a ‘third country’ by the EU and new UK legislation has taken effect. This means that some regulatory activities, such as batch testing and Qualified Person certification conducted in Great Britain is no longer recognized in the EU. However, the UK and EU have concluded a Trade and Cooperation Agreement, which, subject to ratification by the EU, has limited the immediate disruption to the supply of medicines, particularly by enabling tariff and quota-free trade between the UK and the EU (provided that the rules of origin requirements are met), and has streamlined some issues, for example by enabling mutual recognition of good manufacturing practice (GMP)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to the regulation of medicines (although divergence has appeared in some areas). However, some changes to the UK legislation have been immediately necessary, including the implementation of the Northern Ireland Protocol (NIP), pursuant to which, the EU pharmaceutical acquis continues to apply in Northern Ireland (subject to periodic consent of the Northern Ireland Legislative Assembly), and only products compliant with EU law can be placed in the Northern Ireland market - adding an extra layer of regulatory complexity. A consequence of the withdrawal of the United Kingdom from the EU is that companies now need to comply with a separate UK regulatory legal framework in order to commercialize medicinal products in Great Britain (as EU law continues to apply in Northern Ireland). It is also important to note that obtaining a marketing authorization is not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both"/>
        <w:ind w:right="100"/>
        <w:spacing w:after="0" w:line="263" w:lineRule="auto"/>
        <w:rPr>
          <w:sz w:val="20"/>
          <w:szCs w:val="20"/>
          <w:color w:val="auto"/>
        </w:rPr>
      </w:pPr>
      <w:r>
        <w:rPr>
          <w:rFonts w:ascii="Arial" w:cs="Arial" w:eastAsia="Arial" w:hAnsi="Arial"/>
          <w:sz w:val="18"/>
          <w:szCs w:val="18"/>
          <w:color w:val="auto"/>
        </w:rPr>
        <w:t>sufficient to gain effective access to the market in the EU and in the UK; companies still need to agree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below).</w:t>
      </w:r>
    </w:p>
    <w:p>
      <w:pPr>
        <w:spacing w:after="0" w:line="184"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thus receive applicable marketing approvals, our target market will be reduced, our ability to realize the full market potential of our drug candidates will be harmed and our business will be adversely affected. We may not obtain foreign regulatory approvals on a timely basis, if at all. Our failure to obtain approval of any of our drug candidates by regulatory authorities in another country may significantly diminish the commercial prospects of that drug candidate and our business prospects could decline.</w:t>
      </w:r>
    </w:p>
    <w:p>
      <w:pPr>
        <w:spacing w:after="0" w:line="26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18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18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1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9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5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(such as the MHRA, the UK regulatory authority).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 and trace,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a risk evaluation and mitigation strategy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color w:val="auto"/>
        </w:rPr>
        <w:t>previously believed or causes undesirable side effects that were not previously identified, a number of potentially significant negative consequences could result, including:</w:t>
      </w:r>
    </w:p>
    <w:p>
      <w:pPr>
        <w:spacing w:after="0" w:line="62"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drug or seize the drug;</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drug, change the way the drug is administered or conduct additional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drug;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drug may become less competitive in the marketplace;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23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66"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2"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61" w:name="page62"/>
    <w:bookmarkEnd w:id="61"/>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(as explained further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18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184" w:lineRule="exact"/>
        <w:rPr>
          <w:sz w:val="20"/>
          <w:szCs w:val="20"/>
          <w:color w:val="auto"/>
        </w:rPr>
      </w:pPr>
    </w:p>
    <w:p>
      <w:pPr>
        <w:ind w:firstLine="619"/>
        <w:spacing w:after="0" w:line="270" w:lineRule="auto"/>
        <w:rPr>
          <w:sz w:val="20"/>
          <w:szCs w:val="20"/>
          <w:color w:val="auto"/>
        </w:rPr>
      </w:pPr>
      <w:r>
        <w:rPr>
          <w:rFonts w:ascii="Arial" w:cs="Arial" w:eastAsia="Arial" w:hAnsi="Arial"/>
          <w:sz w:val="17"/>
          <w:szCs w:val="17"/>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81" w:lineRule="exact"/>
        <w:rPr>
          <w:sz w:val="20"/>
          <w:szCs w:val="20"/>
          <w:color w:val="auto"/>
        </w:rPr>
      </w:pPr>
    </w:p>
    <w:p>
      <w:pPr>
        <w:ind w:firstLine="619"/>
        <w:spacing w:after="0" w:line="268" w:lineRule="auto"/>
        <w:rPr>
          <w:sz w:val="20"/>
          <w:szCs w:val="20"/>
          <w:color w:val="auto"/>
        </w:rPr>
      </w:pPr>
      <w:r>
        <w:rPr>
          <w:rFonts w:ascii="Arial" w:cs="Arial" w:eastAsia="Arial" w:hAnsi="Arial"/>
          <w:sz w:val="17"/>
          <w:szCs w:val="17"/>
          <w:color w:val="auto"/>
        </w:rPr>
        <w:t>The FDA may not approve an ANDA for a generic drug until any applicable period of non-patent exclusivity for the reference-listed drug has expired. The Federal Food, Drug, and Cosmetic Act (FDCA), provides a period of five years of non-patent exclusivity for a new drug containing a new chemical entity (NCE). During the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product candidate. This three-year exclusivity covers only the conditions associated with the new clinical investigations and does not prohibit the FDA from approving ANDAs for product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186" w:lineRule="exact"/>
        <w:rPr>
          <w:sz w:val="20"/>
          <w:szCs w:val="20"/>
          <w:color w:val="auto"/>
        </w:rPr>
      </w:pPr>
    </w:p>
    <w:p>
      <w:pPr>
        <w:ind w:firstLine="619"/>
        <w:spacing w:after="0" w:line="269" w:lineRule="auto"/>
        <w:rPr>
          <w:sz w:val="20"/>
          <w:szCs w:val="20"/>
          <w:color w:val="auto"/>
        </w:rPr>
      </w:pPr>
      <w:r>
        <w:rPr>
          <w:rFonts w:ascii="Arial" w:cs="Arial" w:eastAsia="Arial" w:hAnsi="Arial"/>
          <w:sz w:val="17"/>
          <w:szCs w:val="17"/>
          <w:color w:val="auto"/>
        </w:rPr>
        <w:t>In the European Union and the UK, innovative medicinal products are authorized based on a full marketing authorization application (as opposed to an application for marketing authorization that relies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(and where applicable the result of the pediatric studies unless a waiver or a deferral has been obtained – as described further below). In the EU, these applications must be made pursuant to either Directive 2001/83/EC or Regulation 726/2004. 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During this period, applicants for approval of generics or biosimilars cannot rely on data contained in the marketing authorization dossier submitted for the already authorized, or reference, medicinal product to support their application. After expiry of the eight year period of regulatory data protection, the reference medicinal product benefits from a further two-year period of marketing protection.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2" w:name="page63"/>
    <w:bookmarkEnd w:id="62"/>
    <w:p>
      <w:pPr>
        <w:spacing w:after="0" w:line="289" w:lineRule="auto"/>
        <w:rPr>
          <w:sz w:val="20"/>
          <w:szCs w:val="20"/>
          <w:color w:val="auto"/>
        </w:rPr>
      </w:pPr>
      <w:r>
        <w:rPr>
          <w:rFonts w:ascii="Arial" w:cs="Arial" w:eastAsia="Arial" w:hAnsi="Arial"/>
          <w:sz w:val="16"/>
          <w:szCs w:val="16"/>
          <w:color w:val="auto"/>
        </w:rPr>
        <w:t>During these two years of marketing protection, no generic or biosimilar medicinal product that relies upon the reference medicinal product’s dossier may be placed on the European Union market, but a generic or biosimilar marketing authorization application can be submitted to the competent regulatory authorities in the European Union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w:t>
      </w:r>
    </w:p>
    <w:p>
      <w:pPr>
        <w:spacing w:after="0" w:line="166"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In the EU, pursuant to Regulation 1901/2006, marketing authorization applications must include pediatric data based on pediatric investigation plans agreed with the EMA if the MAA concerns (i) a new active substance, or (ii) a new indication, pharmacological form, route of administration (where product is protected by an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165"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Products receiving orphan designation in the European Union may receive 10 years of orphan market exclusivity.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orphan market exclusivity. During this 10-year period, the competent authorities of the European Union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178" w:lineRule="exact"/>
        <w:rPr>
          <w:sz w:val="20"/>
          <w:szCs w:val="20"/>
          <w:color w:val="auto"/>
        </w:rPr>
      </w:pPr>
    </w:p>
    <w:p>
      <w:pPr>
        <w:ind w:right="100" w:firstLine="619"/>
        <w:spacing w:after="0" w:line="277" w:lineRule="auto"/>
        <w:rPr>
          <w:sz w:val="20"/>
          <w:szCs w:val="20"/>
          <w:color w:val="auto"/>
        </w:rPr>
      </w:pPr>
      <w:r>
        <w:rPr>
          <w:rFonts w:ascii="Arial" w:cs="Arial" w:eastAsia="Arial" w:hAnsi="Arial"/>
          <w:sz w:val="18"/>
          <w:szCs w:val="18"/>
          <w:color w:val="auto"/>
        </w:rPr>
        <w:t>There are also three exceptions to the orphan market exclusivity principle. Marketing authorization may be granted to a similar medicinal product for the same orphan therapeutic indication if:</w:t>
      </w:r>
    </w:p>
    <w:p>
      <w:pPr>
        <w:spacing w:after="0" w:line="62" w:lineRule="exact"/>
        <w:rPr>
          <w:sz w:val="20"/>
          <w:szCs w:val="20"/>
          <w:color w:val="auto"/>
        </w:rPr>
      </w:pPr>
    </w:p>
    <w:p>
      <w:pPr>
        <w:ind w:left="1000" w:right="40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40" w:firstLine="619"/>
        <w:spacing w:after="0" w:line="259" w:lineRule="auto"/>
        <w:rPr>
          <w:sz w:val="20"/>
          <w:szCs w:val="20"/>
          <w:color w:val="auto"/>
        </w:rPr>
      </w:pPr>
      <w:r>
        <w:rPr>
          <w:rFonts w:ascii="Arial" w:cs="Arial" w:eastAsia="Arial" w:hAnsi="Arial"/>
          <w:sz w:val="18"/>
          <w:szCs w:val="18"/>
          <w:color w:val="auto"/>
        </w:rPr>
        <w:t>An orphan product can also obtain an additional two years of orphan market exclusivity in the European Union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Although the UK has left the EU, its regulatory legal framework provides for similar periods of protection (namely regulatory data protection, marketing protection and market exclusivity).</w:t>
      </w:r>
    </w:p>
    <w:p>
      <w:pPr>
        <w:spacing w:after="0" w:line="170"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40"/>
        <w:spacing w:after="0" w:line="311" w:lineRule="auto"/>
        <w:rPr>
          <w:sz w:val="20"/>
          <w:szCs w:val="20"/>
          <w:color w:val="auto"/>
        </w:rPr>
      </w:pPr>
      <w:r>
        <w:rPr>
          <w:rFonts w:ascii="Arial" w:cs="Arial" w:eastAsia="Arial" w:hAnsi="Arial"/>
          <w:sz w:val="16"/>
          <w:szCs w:val="16"/>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4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arrangements with third-party payors, physicians, and other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Applicable U.S. federal and state healthcare laws and regulations include the following:</w:t>
      </w:r>
    </w:p>
    <w:p>
      <w:pPr>
        <w:spacing w:after="0" w:line="117" w:lineRule="exact"/>
        <w:rPr>
          <w:sz w:val="20"/>
          <w:szCs w:val="20"/>
          <w:color w:val="auto"/>
        </w:rPr>
      </w:pPr>
    </w:p>
    <w:p>
      <w:pPr>
        <w:ind w:left="1000" w:hanging="493"/>
        <w:spacing w:after="0" w:line="254"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86" w:lineRule="exact"/>
        <w:rPr>
          <w:rFonts w:ascii="Arial" w:cs="Arial" w:eastAsia="Arial" w:hAnsi="Arial"/>
          <w:sz w:val="18"/>
          <w:szCs w:val="18"/>
          <w:color w:val="auto"/>
        </w:rPr>
      </w:pPr>
    </w:p>
    <w:p>
      <w:pPr>
        <w:ind w:left="1000" w:right="80" w:hanging="493"/>
        <w:spacing w:after="0" w:line="254"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83" w:lineRule="exact"/>
        <w:rPr>
          <w:rFonts w:ascii="Arial" w:cs="Arial" w:eastAsia="Arial" w:hAnsi="Arial"/>
          <w:sz w:val="18"/>
          <w:szCs w:val="18"/>
          <w:color w:val="auto"/>
        </w:rPr>
      </w:pPr>
    </w:p>
    <w:p>
      <w:pPr>
        <w:ind w:left="1000" w:right="120" w:hanging="493"/>
        <w:spacing w:after="0" w:line="275"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8" w:lineRule="exact"/>
        <w:rPr>
          <w:rFonts w:ascii="Arial" w:cs="Arial" w:eastAsia="Arial" w:hAnsi="Arial"/>
          <w:sz w:val="17"/>
          <w:szCs w:val="17"/>
          <w:color w:val="auto"/>
        </w:rPr>
      </w:pPr>
    </w:p>
    <w:p>
      <w:pPr>
        <w:jc w:val="both"/>
        <w:ind w:left="1000" w:right="300" w:hanging="493"/>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criminal statutes created by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8"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Food, Drug, and Cosmetic Act which among other things, strictly regulates drug marketing, prohibits manufacturers from marketing such products for off-label use and regulates the distribution of samples;</w:t>
      </w:r>
    </w:p>
    <w:p>
      <w:pPr>
        <w:spacing w:after="0" w:line="62"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and state laws that require pharmaceutical manufacturers to report certain calculated product prices to the government or provide certain discounts or rebates to government authorities or private entities, often as a condition of product coverage and reimbursement under federal healthcare programs</w:t>
      </w:r>
    </w:p>
    <w:p>
      <w:pPr>
        <w:spacing w:after="0" w:line="75" w:lineRule="exact"/>
        <w:rPr>
          <w:rFonts w:ascii="Arial" w:cs="Arial" w:eastAsia="Arial" w:hAnsi="Arial"/>
          <w:sz w:val="18"/>
          <w:szCs w:val="18"/>
          <w:color w:val="auto"/>
        </w:rPr>
      </w:pPr>
    </w:p>
    <w:p>
      <w:pPr>
        <w:ind w:left="1000" w:right="80" w:hanging="493"/>
        <w:spacing w:after="0" w:line="29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and teaching hospitals, and for reports submitted on or after January 1, 2022, physician assistants, nurse practitioners, clinical nurse specialists, certified nurse anesthetists and certified nurse-midwives as well as certain ownership and investment interests held by physicians and their immediate families;</w:t>
      </w:r>
    </w:p>
    <w:p>
      <w:pPr>
        <w:spacing w:after="0" w:line="53" w:lineRule="exact"/>
        <w:rPr>
          <w:rFonts w:ascii="Arial" w:cs="Arial" w:eastAsia="Arial" w:hAnsi="Arial"/>
          <w:sz w:val="16"/>
          <w:szCs w:val="16"/>
          <w:color w:val="auto"/>
        </w:rPr>
      </w:pPr>
    </w:p>
    <w:p>
      <w:pPr>
        <w:ind w:left="1000" w:right="12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left="1000" w:right="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marketing expenditures;</w:t>
      </w:r>
    </w:p>
    <w:p>
      <w:pPr>
        <w:spacing w:after="0" w:line="62" w:lineRule="exact"/>
        <w:rPr>
          <w:rFonts w:ascii="Arial" w:cs="Arial" w:eastAsia="Arial" w:hAnsi="Arial"/>
          <w:sz w:val="18"/>
          <w:szCs w:val="18"/>
          <w:color w:val="auto"/>
        </w:rPr>
      </w:pPr>
    </w:p>
    <w:p>
      <w:pPr>
        <w:ind w:left="1000" w:hanging="493"/>
        <w:spacing w:after="0" w:line="28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57"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and the issuance of guidance. On January 30, 2017, former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indicated that the “two-for-one” provisions may apply not only to agency regulations, but also to significant agency guidance documents. It is difficult to predict how these requirements will be implemented, the extent to which they will impact the FDA’s ability to exercise its regulatory authority and the impact that the new Biden Administration could have on these requirements. If these executive actions impose constraints on FDA’s ability to engage in oversight and implementation activities in the normal course, our business may be negatively impacted.</w:t>
      </w:r>
    </w:p>
    <w:p>
      <w:pPr>
        <w:spacing w:after="0" w:line="2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6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6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right="40" w:firstLine="510"/>
        <w:spacing w:after="0" w:line="271" w:lineRule="auto"/>
        <w:rPr>
          <w:sz w:val="20"/>
          <w:szCs w:val="20"/>
          <w:color w:val="auto"/>
        </w:rPr>
      </w:pPr>
      <w:r>
        <w:rPr>
          <w:rFonts w:ascii="Arial" w:cs="Arial" w:eastAsia="Arial" w:hAnsi="Arial"/>
          <w:sz w:val="17"/>
          <w:szCs w:val="17"/>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Any future measures will require authorization through additional legislation or regulation to become effective, and it is uncertain whether Congress or the new Biden Administration will seek new legislative and/or administrative measures to control drug costs.</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6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of the United States tend to impose strict price controls, which may adversely affect our revenues from the sales of drugs, if any.</w:t>
      </w:r>
    </w:p>
    <w:p>
      <w:pPr>
        <w:spacing w:after="0" w:line="152" w:lineRule="exact"/>
        <w:rPr>
          <w:sz w:val="20"/>
          <w:szCs w:val="20"/>
          <w:color w:val="auto"/>
        </w:rPr>
      </w:pPr>
    </w:p>
    <w:p>
      <w:pPr>
        <w:ind w:right="280" w:firstLine="510"/>
        <w:spacing w:after="0" w:line="254" w:lineRule="auto"/>
        <w:rPr>
          <w:sz w:val="20"/>
          <w:szCs w:val="20"/>
          <w:color w:val="auto"/>
        </w:rPr>
      </w:pPr>
      <w:r>
        <w:rPr>
          <w:rFonts w:ascii="Arial" w:cs="Arial" w:eastAsia="Arial" w:hAnsi="Arial"/>
          <w:sz w:val="18"/>
          <w:szCs w:val="18"/>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 Health Technology Appraisal (HTA) to assess the cost-effectiveness of the product (in the UK that HTA assessment is conducted by NICE) which may significantly affect effective access to the market. If reimbursement of our drugs is unavailable or limited in scope or amount, or if pricing is set at unsatisfactory levels, our business could be materially harmed.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Employees, Managing our Growth and Other Legal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may adversely affect our business and the market price of our common stock.</w:t>
      </w:r>
    </w:p>
    <w:p>
      <w:pPr>
        <w:spacing w:after="0" w:line="11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recent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at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It is unclear how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firstLine="510"/>
        <w:spacing w:after="0" w:line="254" w:lineRule="auto"/>
        <w:rPr>
          <w:sz w:val="20"/>
          <w:szCs w:val="20"/>
          <w:color w:val="auto"/>
        </w:rPr>
      </w:pPr>
      <w:r>
        <w:rPr>
          <w:rFonts w:ascii="Arial" w:cs="Arial" w:eastAsia="Arial" w:hAnsi="Arial"/>
          <w:sz w:val="18"/>
          <w:szCs w:val="18"/>
          <w:color w:val="auto"/>
        </w:rPr>
        <w:t>The COVID-19 outbreak and mitigation measures also may have an adverse impact on global economic conditions, which could adversely impact our business, financial condition or results of operations. Additionally, the COVID-19 outbreak has resulted in significant financial market volatility and uncertainty. A continuation or worsening of the levels of market disruption and volatility seen in the recent past as a result of the COVID-19 outbreak could have an adverse effect on our ability to access capital and on the market price of our common stock. It is currently not possible to predict how long the COVID-19 outbreak will last or the time that it will take for economic activity to return to prior levels. The extent to which the COVID-19 outbreak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our Chief Scientific Officer, Gwenn Hansen, Ph.D. The loss of the services of Drs. Sands and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7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spacing w:after="0" w:line="171"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66"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our organization, and we may experience difficulties in managing this growth, which could disrupt our operations.</w:t>
      </w:r>
    </w:p>
    <w:p>
      <w:pPr>
        <w:spacing w:after="0" w:line="129"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for NX-2127 in December 2020 and received clearance by the FDA to initiate human clinical trials. We expect our four most advanced drug candidates to enter clinical trials in 2021.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right="7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8"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2" w:lineRule="exact"/>
        <w:rPr>
          <w:sz w:val="20"/>
          <w:szCs w:val="20"/>
          <w:color w:val="auto"/>
        </w:rPr>
      </w:pPr>
    </w:p>
    <w:p>
      <w:pPr>
        <w:ind w:left="1000" w:right="4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to us of unauthorized activities that violate the regulations of the FDA or similar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healthcare fraud and abuse in violation of U.S. and foreign laws and regulations;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violations of U.S. federal securities laws relating to trading in our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28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49"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19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17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drug candidates could be delayed. The costs to us to mitigate network security problems, bugs, viruses,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t>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and our third 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litigation based on a variety of laws and legal duties, such as the California Consumer Privacy Act (the CCPA), which provides for a private right of action in the event of certain data security breaches. Such actions could result in significant legal and financial exposure and reputational damages that could have a material adverse effect on our business, results of operations, prospects and financial condition.</w:t>
      </w:r>
    </w:p>
    <w:p>
      <w:pPr>
        <w:spacing w:after="0" w:line="28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92"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U.S. Department of Health and Human Services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320"/>
        <w:spacing w:after="0" w:line="277" w:lineRule="auto"/>
        <w:rPr>
          <w:sz w:val="20"/>
          <w:szCs w:val="20"/>
          <w:color w:val="auto"/>
        </w:rPr>
      </w:pPr>
      <w:r>
        <w:rPr>
          <w:rFonts w:ascii="Arial" w:cs="Arial" w:eastAsia="Arial" w:hAnsi="Arial"/>
          <w:sz w:val="18"/>
          <w:szCs w:val="18"/>
          <w:color w:val="auto"/>
        </w:rPr>
        <w:t>contractual liabilities, our ongoing efforts to comply with evolving laws and regulations at the federal and state level may be costly and require ongoing modifications to our policies, procedures and systems.</w:t>
      </w:r>
    </w:p>
    <w:p>
      <w:pPr>
        <w:spacing w:after="0" w:line="170"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 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17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Additionally, the CCPA has prompted a number of proposals for new federal and state-level privacy legislation, such as in Nevada, New Hampshire, Illinois and Nebraska. One of these, the Virginia Consumer Data Protection Act, is very similar to the CCPA and was recently passed. It will go into effect on January 1, 2023.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18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 addition, in May 2018, the EU General Data Protection Regulation (the EU GDPR) took effect in the European Economic Area (EEA). The EU GDPR governs the collection, use, disclosure, transfer or other processing of personal data, replacing data protection laws issued by each EU member state based on the Directive 95/46/EC (the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located in the EEA to the United States and other jurisdictions that the European Commission does not recognize as having “adequate” data protection laws. In particular, on July 16, 2020, the Court of Justice of the EU (the Court of Justice)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data transferred out of the EEA, which could increase our compliance costs, expose us to further regulatory scrutiny and liability, and adversely affect our business. Further, the European Commission published new versions of the Standard Contractual Clauses for comment. While the comment period ended in December 2020, the European Commission is expected to finalize and implement the new Standard Contractual Clauses in early 2021. Additionally, other countries (e.g., Australia and Japan) have adopted certain legal requirements for cross-border transfers of personal information. These obligations may be interpreted and applied in a manner that is inconsistent from one jurisdiction to another and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right="120"/>
        <w:spacing w:after="0" w:line="263" w:lineRule="auto"/>
        <w:rPr>
          <w:sz w:val="20"/>
          <w:szCs w:val="20"/>
          <w:color w:val="auto"/>
        </w:rPr>
      </w:pPr>
      <w:r>
        <w:rPr>
          <w:rFonts w:ascii="Arial" w:cs="Arial" w:eastAsia="Arial" w:hAnsi="Arial"/>
          <w:sz w:val="18"/>
          <w:szCs w:val="18"/>
          <w:color w:val="auto"/>
        </w:rPr>
        <w:t>may conflict with other requirements or our practices. The GDPR imposes substantial fines for breaches and violations (up to the greater of €20 million or 4% of our global turnover). The GDPR allows data subjects and consumer associations to lodge complaints with supervisory authorities, seek judicial remedies and obtain compensation for damages resulting from violations of the GDPR.</w:t>
      </w:r>
    </w:p>
    <w:p>
      <w:pPr>
        <w:spacing w:after="0" w:line="184"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Further, following the end of the Brexit Transition Period (on 31 December 2020) the EU GDPR has been implemented in the United Kingdom (as the UK GDPR). The UK GDPR site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 million or 4% of global turnover. Further, whilst transfers of personal information from the UK to the EU are unrestricted and do not require additional safeguards, as regards transfers of personal information from the EEA to the UK, under the terms of the Trade and Cooperation Agreement agreed between the EU and the UK on December 24, 2020, such data flows only remain unrestricted until the end of June 2021, provided the UK makes no substantive changes to its data protection laws. During this “bridging period”, the European Commission will assess the adequacy of the UK from a data protection law perspective. If the European Commission were to grant the UK an “adequacy decision”, transfers of personal information from the EEA to the UK would continue unrestricted and would not require any additional safeguards. However, to the extent the European Commission does not grant the UK an adequacy decision as at the end of the bridging period, data transfer mechanisms such as, the Standard Contractual Clauses will be required for transfer of personal information from the EEA to the UK. If we are required to implement additional measures to transfer data from the EEA, this could increase our compliance costs, and could adversely affect our business, financial condition and results of operations.</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Some countries also are considering or have passed legislation requiring local storage and processing of data, or similar requirements, which could increase the cost and complexity of delivering our products and services.</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and changes in other tax laws could adversely affect us.</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December 2017, U.S. federal tax legislation commonly referred to as the TCJA was signed into law, significantly reforming the Internal Revenue Code of 1986, as amended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17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14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320"/>
        <w:spacing w:after="0" w:line="277" w:lineRule="auto"/>
        <w:rPr>
          <w:sz w:val="20"/>
          <w:szCs w:val="20"/>
          <w:color w:val="auto"/>
        </w:rPr>
      </w:pPr>
      <w:r>
        <w:rPr>
          <w:rFonts w:ascii="Arial" w:cs="Arial" w:eastAsia="Arial" w:hAnsi="Arial"/>
          <w:sz w:val="18"/>
          <w:szCs w:val="18"/>
          <w:color w:val="auto"/>
        </w:rPr>
        <w:t>assumptions, following consultation with our tax advisors. Because of our valuation allowance in the United States, ongoing tax effects of the TCJA, as modified by the CARES Act, are not expected to materially change our effective tax rate in future periods.</w:t>
      </w:r>
    </w:p>
    <w:p>
      <w:pPr>
        <w:spacing w:after="0" w:line="170"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subject to limitations.</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As of November 30, 2020, we had federal and state net operating loss (NOL) carryforwards of approximately $55.7 million and $153.3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182"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0"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left="1000" w:right="16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17"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w:t>
      </w:r>
    </w:p>
    <w:p>
      <w:pPr>
        <w:spacing w:after="0" w:line="18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Additionally, we may not realize the expected value of out-licensing, joint ventures, spin outs or other strategic transactions. For example, in July 2020, we established DeCART, a wholly owned subsidiary, with an investment of $3.0 million and granted DeCART a license to three of our compounds, including NX-0255, for drug-enhanced isolation of T cells nonexclusively with respect to one CAR-T therapy target and exclusively with respect to three novel CAR-T therapy targets. Over time, we intend for DeCART to seek equity financing from third parties and to become an independent operating entity. However, we cannot assure you that DeCART will be able to obtain financing on attractive terms or at all. We may lose all or part of our investment in DeCART. Our license agreement to DeCART does not require DeCART to pay any milestone payments or royalties or other payments to us, and to the extent that DeCART is successful, we would benefit exclusively through our ownership of shares of DeCART’s capital stock. If DeCART raises additional funds through further issuances of equity or convertible debt securities, including to its service providers pursuant to its equity incentive plan, our ownership interest could be significantly diluted, and any new equity securities issued by DeCART may have rights, preferences, and privileges superior to ours. We cannot assure you that we will retain significant influence over the management of DeCART, and the directors or management of DeCART may make decisions or take actions that we disagree with. Conflicts of interest may arise from time to time in connection with this transaction, DeCART may not successfully develop CAR-T or any other therapies and we may not realize the expected value from this strategy.</w:t>
      </w:r>
    </w:p>
    <w:p>
      <w:pPr>
        <w:spacing w:after="0" w:line="2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7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operations are subject to anti-corruption laws, including the Foreign Corrupt Practices Act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66"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also are subject to other laws and regulations governing our international operations, including regulations administered by the governments of the United States, United Kingdom and authorities in the EU, including applicable export control regulations, economic sanctions on countries and persons, customs requirements and currency exchange regulations, which we collectively refer to as Trade Control Laws.</w:t>
      </w:r>
    </w:p>
    <w:p>
      <w:pPr>
        <w:spacing w:after="0" w:line="16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recent volatility associated with the COVID-19 outbreak has caused significant instability and disruptions in the capital and credit markets.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286" w:lineRule="exact"/>
        <w:rPr>
          <w:sz w:val="20"/>
          <w:szCs w:val="20"/>
          <w:color w:val="auto"/>
        </w:rPr>
      </w:pPr>
    </w:p>
    <w:p>
      <w:pPr>
        <w:ind w:right="940"/>
        <w:spacing w:after="0" w:line="375" w:lineRule="auto"/>
        <w:rPr>
          <w:sz w:val="20"/>
          <w:szCs w:val="20"/>
          <w:color w:val="auto"/>
        </w:rPr>
      </w:pPr>
      <w:r>
        <w:rPr>
          <w:rFonts w:ascii="Arial" w:cs="Arial" w:eastAsia="Arial" w:hAnsi="Arial"/>
          <w:sz w:val="15"/>
          <w:szCs w:val="15"/>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1"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right="8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drug candidates, DELigase platform, DeTIL or future development programs;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preclinical and clinical trials, or the addition or termination of clinical trials or funding support by us or by existing or future collaborators or licensing partners;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our drug candidates receives regulatory approval, the terms of such approval and market acceptance and demand for such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our drug candidates or those of our competitors;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57"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drug candidates, or those of our competitors or our existing or future collaborators;</w:t>
      </w:r>
    </w:p>
    <w:p>
      <w:pPr>
        <w:spacing w:after="0" w:line="128" w:lineRule="exact"/>
        <w:rPr>
          <w:rFonts w:ascii="Arial" w:cs="Arial" w:eastAsia="Arial" w:hAnsi="Arial"/>
          <w:sz w:val="17"/>
          <w:szCs w:val="17"/>
          <w:color w:val="auto"/>
        </w:rPr>
      </w:pPr>
    </w:p>
    <w:p>
      <w:pPr>
        <w:ind w:left="1000" w:right="2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drug candidates, clinical studies, manufacturing process or sales and marketing terms;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in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drug candidates;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our current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75" w:name="page76"/>
    <w:bookmarkEnd w:id="75"/>
    <w:p>
      <w:pPr>
        <w:ind w:left="1000" w:hanging="493"/>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00" w:right="18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drug candidates and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provide to the market;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Based on the beneficial ownership of our common stock as of February 28, 2021, our executive officers, directors and affiliates beneficially owned a substantial percentage of our outstanding voting stock. As a result, these stockholders, if acting together, could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In connection with our follow-on offering in March 2021, each of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18"/>
          <w:szCs w:val="18"/>
          <w:color w:val="auto"/>
        </w:rPr>
        <w:t>officers, directors and their affiliates entered into lock-up agreements with the underwriters that restrict their ability to sell or transfer their shares, subject to certain exceptions. These lock-up agreements will expire on May 3, 2021, at which point the shares subject to the lock-up agreements will become eligible for sale in the public market.</w:t>
      </w:r>
    </w:p>
    <w:p>
      <w:pPr>
        <w:spacing w:after="0" w:line="184"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165" w:lineRule="exact"/>
        <w:rPr>
          <w:sz w:val="20"/>
          <w:szCs w:val="20"/>
          <w:color w:val="auto"/>
        </w:rPr>
      </w:pPr>
    </w:p>
    <w:p>
      <w:pPr>
        <w:ind w:right="480" w:firstLine="510"/>
        <w:spacing w:after="0" w:line="291"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w:t>
      </w:r>
    </w:p>
    <w:p>
      <w:pPr>
        <w:ind w:right="300"/>
        <w:spacing w:after="0" w:line="260" w:lineRule="auto"/>
        <w:rPr>
          <w:sz w:val="20"/>
          <w:szCs w:val="20"/>
          <w:color w:val="auto"/>
        </w:rPr>
      </w:pPr>
      <w:r>
        <w:rPr>
          <w:rFonts w:ascii="Arial" w:cs="Arial" w:eastAsia="Arial" w:hAnsi="Arial"/>
          <w:sz w:val="18"/>
          <w:szCs w:val="18"/>
          <w:color w:val="auto"/>
        </w:rPr>
        <w:t>time. These sales, or the perception in the market that the holders of a large number of shares intend to sell shares, could reduce the market price of our common stock.</w:t>
      </w:r>
    </w:p>
    <w:p>
      <w:pPr>
        <w:spacing w:after="0" w:line="2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sale and issuance of equity or of debt securities that are convertible into equity will dilute our share capital.</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For example, in March 2021, we sold an additional 5,175,000 shares of our common stock in a follow-on public offering.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72"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an “emerging growth company” (EGC) as defined in the JOBS Act. For as long as we continue to be an EGC, we may take advantage of exemptions from various reporting requirements applicable to other public companies that are not EGCs, including (i) not being required to comply with the auditor attestation requirements of Section 404 of the Sarbanes-Oxley Act of 2002 (the Sarbanes-Oxley Act), (ii) reduced disclosure obligations regarding executive compensation in our periodic reports, registration statements and proxy statements, and (iii) exemptions from the requirements of holding nonbinding advisory stockholder votes on executive compensation and stockholder approval of any golden parachute payments not approved previously. We could be an EGC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May 31, or if we have total annual gross revenue of $1.07 billion or more during any fiscal year before that time, in which cases we no longer would be an EGC as of the following November 30, or if we issue more than $1.0 billion in non-convertible debt during the prior three-year period before that time, in which case we no longer would be an EGC immediately. Even after we no longer qualify as an EGC, we still may qualify as a “smaller reporting company,” as such term is defined in Rule 12b-2 under the Exchange Act of 1934, as amended (the Exchange Act),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less-active trading market for our common stock and our share price may be more volatile.</w:t>
      </w:r>
    </w:p>
    <w:p>
      <w:pPr>
        <w:spacing w:after="0" w:line="16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Under the JOBS Act, EGCs also may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jc w:val="both"/>
        <w:ind w:right="60"/>
        <w:spacing w:after="0" w:line="259" w:lineRule="auto"/>
        <w:rPr>
          <w:sz w:val="20"/>
          <w:szCs w:val="20"/>
          <w:color w:val="auto"/>
        </w:rPr>
      </w:pPr>
      <w:r>
        <w:rPr>
          <w:rFonts w:ascii="Arial" w:cs="Arial" w:eastAsia="Arial" w:hAnsi="Arial"/>
          <w:sz w:val="18"/>
          <w:szCs w:val="18"/>
          <w:color w:val="auto"/>
        </w:rPr>
        <w:t>the date that we are no longer an “emerging growth company” or affirmatively and irrevocably opt out of the exemption provided by Section 7(a)(2)(B) of the Securities Act of 1933, as amended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also are a “smaller reporting company,” and may continue to be a smaller reporting company if either (i) the market value of our stock held by non-affiliates is less than $250 million as of the prior May 31, or (ii) our annual revenue is less than $100 million during the most recently completed fiscal year and the market value of our stock held by non-affiliates is less than $700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303"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76"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our board;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with the approval of two-thirds of our stockholders;</w:t>
      </w:r>
    </w:p>
    <w:p>
      <w:pPr>
        <w:spacing w:after="0" w:line="117" w:lineRule="exact"/>
        <w:rPr>
          <w:rFonts w:ascii="Arial" w:cs="Arial" w:eastAsia="Arial" w:hAnsi="Arial"/>
          <w:sz w:val="18"/>
          <w:szCs w:val="18"/>
          <w:color w:val="auto"/>
        </w:rPr>
      </w:pPr>
    </w:p>
    <w:p>
      <w:pPr>
        <w:ind w:left="1000" w:right="700" w:hanging="493"/>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addition,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29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1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8" w:name="page79"/>
    <w:bookmarkEnd w:id="78"/>
    <w:p>
      <w:pPr>
        <w:ind w:right="60"/>
        <w:spacing w:after="0" w:line="287" w:lineRule="auto"/>
        <w:rPr>
          <w:sz w:val="20"/>
          <w:szCs w:val="20"/>
          <w:color w:val="auto"/>
        </w:rPr>
      </w:pPr>
      <w:r>
        <w:rPr>
          <w:rFonts w:ascii="Arial" w:cs="Arial" w:eastAsia="Arial" w:hAnsi="Arial"/>
          <w:sz w:val="16"/>
          <w:szCs w:val="16"/>
          <w:color w:val="auto"/>
        </w:rPr>
        <w:t>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9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As a public company, and particularly after we no longer are an EGC, we will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Our management and other personnel are required to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not currently required to comply with the SEC’s rules that implement Section 404 of the Sarbanes-Oxley Act, and therefore are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process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6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the course of preparing our financial statements for fiscal years 2018 and 2019, we identified a material weakness in our internal control over financial reporting. Specifically, we did not design and maintain formally documented controls and accounting policies and procedures, including information technology general controls, segregation of duties over the review and approval of account reconciliations and manual journal entries, and the period-end financial reporting process. The existing material weakness resulted in a revision to the basic and diluted weighted-average number of shares outstanding and basic and diluted net loss per share calculations for the three- and nine-month periods ended August 31, 2020. The material weakness has not been remediated as of February 28, 2021 and could result in a misstatement of substantially all of our account balances or disclosures that would result in 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t>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To address our material weakness, we have implemented new financial systems and controls. We intend to continue to take steps to remediate the material weakness through formalizing documentation of policies and procedures and further evolving our accounting processes.</w:t>
      </w:r>
    </w:p>
    <w:p>
      <w:pPr>
        <w:spacing w:after="0" w:line="188"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We cannot assure you that we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60" w:firstLine="674"/>
        <w:spacing w:after="0" w:line="277" w:lineRule="auto"/>
        <w:rPr>
          <w:sz w:val="20"/>
          <w:szCs w:val="20"/>
          <w:color w:val="auto"/>
        </w:rPr>
      </w:pPr>
      <w:r>
        <w:rPr>
          <w:rFonts w:ascii="Arial" w:cs="Arial" w:eastAsia="Arial" w:hAnsi="Arial"/>
          <w:sz w:val="18"/>
          <w:szCs w:val="18"/>
          <w:color w:val="auto"/>
        </w:rPr>
        <w:t>On July 23, 2020, our registration statement on Form S-1, as amended (File No. 333-239651), was declared effective by the SEC in connection with the IPO of our common stock.</w:t>
      </w:r>
    </w:p>
    <w:p>
      <w:pPr>
        <w:spacing w:after="0" w:line="62" w:lineRule="exact"/>
        <w:rPr>
          <w:sz w:val="20"/>
          <w:szCs w:val="20"/>
          <w:color w:val="auto"/>
        </w:rPr>
      </w:pPr>
    </w:p>
    <w:p>
      <w:pPr>
        <w:ind w:firstLine="674"/>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July 24,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Issuers and Affiliated Purchasers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provides information with respect to recent repurchases of unvested shares of our common stock:</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377"/>
        </w:trPr>
        <w:tc>
          <w:tcPr>
            <w:tcW w:w="462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 Number of Shares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462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Total Number of</w:t>
            </w:r>
          </w:p>
        </w:tc>
        <w:tc>
          <w:tcPr>
            <w:tcW w:w="13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Purchased as part of</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Shares that May Yet Be</w:t>
            </w:r>
          </w:p>
        </w:tc>
      </w:tr>
      <w:tr>
        <w:trPr>
          <w:trHeight w:val="216"/>
        </w:trPr>
        <w:tc>
          <w:tcPr>
            <w:tcW w:w="462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3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Average Price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Plans</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Purchased Under the Plans</w:t>
            </w:r>
          </w:p>
        </w:tc>
      </w:tr>
      <w:tr>
        <w:trPr>
          <w:trHeight w:val="230"/>
        </w:trPr>
        <w:tc>
          <w:tcPr>
            <w:tcW w:w="4620" w:type="dxa"/>
            <w:vAlign w:val="bottom"/>
            <w:tcBorders>
              <w:left w:val="single" w:sz="8" w:color="auto"/>
              <w:bottom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Period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Purchased</w:t>
            </w:r>
            <w:r>
              <w:rPr>
                <w:rFonts w:ascii="Arial" w:cs="Arial" w:eastAsia="Arial" w:hAnsi="Arial"/>
                <w:sz w:val="15"/>
                <w:szCs w:val="15"/>
                <w:color w:val="auto"/>
                <w:w w:val="88"/>
              </w:rPr>
              <w:t>(1)</w:t>
            </w: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 Programs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or Program</w:t>
            </w:r>
          </w:p>
        </w:tc>
      </w:tr>
      <w:tr>
        <w:trPr>
          <w:trHeight w:val="250"/>
        </w:trPr>
        <w:tc>
          <w:tcPr>
            <w:tcW w:w="4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December 1 – December 31, 2020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88"/>
              </w:rPr>
              <w:t>—</w:t>
            </w:r>
          </w:p>
        </w:tc>
        <w:tc>
          <w:tcPr>
            <w:tcW w:w="206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w w:val="88"/>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50"/>
        </w:trPr>
        <w:tc>
          <w:tcPr>
            <w:tcW w:w="4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January 1 – January 31, 2021</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96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88"/>
              </w:rPr>
              <w:t>—</w:t>
            </w:r>
          </w:p>
        </w:tc>
        <w:tc>
          <w:tcPr>
            <w:tcW w:w="206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w w:val="88"/>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50"/>
        </w:trPr>
        <w:tc>
          <w:tcPr>
            <w:tcW w:w="4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1 – February 28, 2021</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w w:val="88"/>
              </w:rPr>
              <w:t>—</w:t>
            </w:r>
          </w:p>
        </w:tc>
        <w:tc>
          <w:tcPr>
            <w:tcW w:w="206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w w:val="88"/>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right="300" w:firstLine="518"/>
        <w:spacing w:after="0" w:line="263" w:lineRule="auto"/>
        <w:tabs>
          <w:tab w:leader="none" w:pos="8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 shares repurchased, as reflected in the table above, were repurchases of unvested shares of our common stock that had been issued upon early exercise of stock options. Upon termination of employment of a person holding unvested shares, we are entitled to repurchase the unvested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Pr>
          <w:p>
            <w:pPr>
              <w:jc w:val="center"/>
              <w:ind w:left="24"/>
              <w:spacing w:after="0"/>
              <w:rPr>
                <w:sz w:val="20"/>
                <w:szCs w:val="20"/>
                <w:color w:val="auto"/>
              </w:rPr>
            </w:pPr>
            <w:r>
              <w:rPr>
                <w:rFonts w:ascii="Arial" w:cs="Arial" w:eastAsia="Arial" w:hAnsi="Arial"/>
                <w:sz w:val="14"/>
                <w:szCs w:val="14"/>
                <w:b w:val="1"/>
                <w:bCs w:val="1"/>
                <w:color w:val="auto"/>
                <w:w w:val="98"/>
              </w:rPr>
              <w:t>Filed or</w:t>
            </w:r>
          </w:p>
        </w:tc>
        <w:tc>
          <w:tcPr>
            <w:tcW w:w="0" w:type="dxa"/>
            <w:vAlign w:val="bottom"/>
          </w:tcPr>
          <w:p>
            <w:pPr>
              <w:spacing w:after="0"/>
              <w:rPr>
                <w:sz w:val="1"/>
                <w:szCs w:val="1"/>
                <w:color w:val="auto"/>
              </w:rPr>
            </w:pPr>
          </w:p>
        </w:tc>
      </w:tr>
      <w:tr>
        <w:trPr>
          <w:trHeight w:val="133"/>
        </w:trPr>
        <w:tc>
          <w:tcPr>
            <w:tcW w:w="80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1"/>
                <w:szCs w:val="11"/>
                <w:color w:val="auto"/>
              </w:rPr>
            </w:pPr>
          </w:p>
        </w:tc>
        <w:tc>
          <w:tcPr>
            <w:tcW w:w="5720" w:type="dxa"/>
            <w:vAlign w:val="bottom"/>
            <w:gridSpan w:val="6"/>
            <w:vMerge w:val="restart"/>
          </w:tcPr>
          <w:p>
            <w:pPr>
              <w:ind w:left="250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720" w:type="dxa"/>
            <w:vAlign w:val="bottom"/>
          </w:tcPr>
          <w:p>
            <w:pPr>
              <w:jc w:val="center"/>
              <w:ind w:left="24"/>
              <w:spacing w:after="0" w:line="133"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5720" w:type="dxa"/>
            <w:vAlign w:val="bottom"/>
            <w:tcBorders>
              <w:bottom w:val="single" w:sz="8" w:color="auto"/>
            </w:tcBorders>
            <w:gridSpan w:val="6"/>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720" w:type="dxa"/>
            <w:vAlign w:val="bottom"/>
          </w:tcPr>
          <w:p>
            <w:pPr>
              <w:jc w:val="center"/>
              <w:ind w:left="2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7"/>
        </w:trPr>
        <w:tc>
          <w:tcPr>
            <w:tcW w:w="800" w:type="dxa"/>
            <w:vAlign w:val="bottom"/>
          </w:tcPr>
          <w:p>
            <w:pPr>
              <w:jc w:val="right"/>
              <w:ind w:right="299"/>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520" w:type="dxa"/>
            <w:vAlign w:val="bottom"/>
            <w:tcBorders>
              <w:bottom w:val="single" w:sz="8" w:color="0000EE"/>
            </w:tcBorders>
            <w:gridSpan w:val="4"/>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First Amendment to Collaboration and License Agreement, dated January 6,</w:t>
              </w:r>
            </w:hyperlink>
          </w:p>
        </w:tc>
        <w:tc>
          <w:tcPr>
            <w:tcW w:w="200" w:type="dxa"/>
            <w:vAlign w:val="bottom"/>
            <w:gridSpan w:val="2"/>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10-K</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w w:val="99"/>
              </w:rPr>
              <w:t>001-39398</w:t>
            </w:r>
          </w:p>
        </w:tc>
        <w:tc>
          <w:tcPr>
            <w:tcW w:w="640" w:type="dxa"/>
            <w:vAlign w:val="bottom"/>
          </w:tcPr>
          <w:p>
            <w:pPr>
              <w:jc w:val="right"/>
              <w:ind w:right="39"/>
              <w:spacing w:after="0"/>
              <w:rPr>
                <w:sz w:val="20"/>
                <w:szCs w:val="20"/>
                <w:color w:val="auto"/>
              </w:rPr>
            </w:pPr>
            <w:r>
              <w:rPr>
                <w:rFonts w:ascii="Arial" w:cs="Arial" w:eastAsia="Arial" w:hAnsi="Arial"/>
                <w:sz w:val="18"/>
                <w:szCs w:val="18"/>
                <w:color w:val="auto"/>
              </w:rPr>
              <w:t>10.11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20" w:type="dxa"/>
            <w:vAlign w:val="bottom"/>
            <w:gridSpan w:val="6"/>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2021, by and between the Registrant and Genzyme Corporation</w:t>
              </w:r>
            </w:hyperlink>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vMerge w:val="restart"/>
          </w:tcPr>
          <w:p>
            <w:pPr>
              <w:jc w:val="center"/>
              <w:ind w:left="24"/>
              <w:spacing w:after="0"/>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9"/>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5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Certification of Principal Executive Officer Pursuant to Rules 13a-14(a) and</w:t>
              </w:r>
            </w:hyperlink>
          </w:p>
        </w:tc>
        <w:tc>
          <w:tcPr>
            <w:tcW w:w="22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15d-14(a) under the Securities Exchange Act of 1934, as Adopted Pursuant to</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Section 302 of the Sarbanes-Oxley Act of 2002</w:t>
              </w:r>
            </w:hyperlink>
          </w:p>
        </w:tc>
        <w:tc>
          <w:tcPr>
            <w:tcW w:w="23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337" w:right="439" w:bottom="1440" w:gutter="0" w:footer="0" w:header="0"/>
        </w:sectPr>
      </w:pPr>
    </w:p>
    <w:p>
      <w:pPr>
        <w:spacing w:after="0" w:line="13" w:lineRule="exact"/>
        <w:rPr>
          <w:sz w:val="20"/>
          <w:szCs w:val="20"/>
          <w:color w:val="auto"/>
        </w:rPr>
      </w:pPr>
    </w:p>
    <w:p>
      <w:pPr>
        <w:ind w:left="880" w:right="3540" w:hanging="786"/>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85">
        <w:r>
          <w:rPr>
            <w:rFonts w:ascii="Arial" w:cs="Arial" w:eastAsia="Arial" w:hAnsi="Arial"/>
            <w:sz w:val="18"/>
            <w:szCs w:val="18"/>
            <w:u w:val="single" w:color="auto"/>
            <w:color w:val="0000EE"/>
          </w:rPr>
          <w:t>Certification of Principal Financial Officer Pursuant to Rules 13a-14(a) and</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15d-14(a) under the Securities Exchange Act of 1934, as Adopted Pursuant to</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Section 302 of the Sarbanes-Oxley Act of 2002</w:t>
        </w:r>
      </w:hyperlink>
    </w:p>
    <w:p>
      <w:pPr>
        <w:spacing w:after="0" w:line="116" w:lineRule="exact"/>
        <w:rPr>
          <w:rFonts w:ascii="Arial" w:cs="Arial" w:eastAsia="Arial" w:hAnsi="Arial"/>
          <w:sz w:val="18"/>
          <w:szCs w:val="18"/>
          <w:u w:val="single" w:color="auto"/>
          <w:color w:val="0000EE"/>
        </w:rPr>
      </w:pPr>
    </w:p>
    <w:p>
      <w:pPr>
        <w:ind w:left="880" w:right="3580" w:hanging="786"/>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86">
        <w:r>
          <w:rPr>
            <w:rFonts w:ascii="Arial" w:cs="Arial" w:eastAsia="Arial" w:hAnsi="Arial"/>
            <w:sz w:val="18"/>
            <w:szCs w:val="18"/>
            <w:u w:val="single" w:color="auto"/>
            <w:color w:val="0000EE"/>
          </w:rPr>
          <w:t>Certification of Principal Executive Officer and Principal Financial and</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Accounting Officer Pursuant to 18 U.S.C. Section 1350, as Adopted Pursuant</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to Section 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EE"/>
        </w:rPr>
      </w:pPr>
    </w:p>
    <w:p>
      <w:pPr>
        <w:spacing w:after="0" w:line="39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X</w:t>
      </w:r>
    </w:p>
    <w:p>
      <w:pPr>
        <w:spacing w:after="0" w:line="602" w:lineRule="exact"/>
        <w:rPr>
          <w:rFonts w:ascii="Arial" w:cs="Arial" w:eastAsia="Arial" w:hAnsi="Arial"/>
          <w:sz w:val="18"/>
          <w:szCs w:val="18"/>
          <w:u w:val="single" w:color="auto"/>
          <w:color w:val="0000EE"/>
        </w:rPr>
      </w:pPr>
    </w:p>
    <w:p>
      <w:pPr>
        <w:sectPr>
          <w:pgSz w:w="11900" w:h="16838" w:orient="portrait"/>
          <w:cols w:equalWidth="0" w:num="2">
            <w:col w:w="10040" w:space="720"/>
            <w:col w:w="380"/>
          </w:cols>
          <w:pgMar w:left="320" w:top="337" w:right="4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60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364"/>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460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364"/>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4600" w:type="dxa"/>
            <w:vAlign w:val="bottom"/>
          </w:tcPr>
          <w:p>
            <w:pPr>
              <w:ind w:left="1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4600" w:type="dxa"/>
            <w:vAlign w:val="bottom"/>
          </w:tcPr>
          <w:p>
            <w:pPr>
              <w:ind w:left="1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64"/>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460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4600" w:type="dxa"/>
            <w:vAlign w:val="bottom"/>
          </w:tcPr>
          <w:p>
            <w:pPr>
              <w:ind w:left="1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rFonts w:ascii="Arial" w:cs="Arial" w:eastAsia="Arial" w:hAnsi="Arial"/>
          <w:sz w:val="18"/>
          <w:szCs w:val="18"/>
          <w:u w:val="single" w:color="auto"/>
          <w:color w:val="0000EE"/>
        </w:rPr>
      </w:pPr>
    </w:p>
    <w:p>
      <w:pPr>
        <w:ind w:left="500" w:right="4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The certifications furnished in Exhibit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184"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2160"/>
              <w:spacing w:after="0"/>
              <w:rPr>
                <w:sz w:val="20"/>
                <w:szCs w:val="20"/>
                <w:color w:val="auto"/>
              </w:rPr>
            </w:pPr>
            <w:r>
              <w:rPr>
                <w:rFonts w:ascii="Arial" w:cs="Arial" w:eastAsia="Arial" w:hAnsi="Arial"/>
                <w:sz w:val="18"/>
                <w:szCs w:val="18"/>
                <w:color w:val="auto"/>
              </w:rPr>
              <w:t>NURIX THERAPEUTICS, INC.</w:t>
            </w:r>
          </w:p>
        </w:tc>
      </w:tr>
      <w:tr>
        <w:trPr>
          <w:trHeight w:val="378"/>
        </w:trPr>
        <w:tc>
          <w:tcPr>
            <w:tcW w:w="3660" w:type="dxa"/>
            <w:vAlign w:val="bottom"/>
          </w:tcPr>
          <w:p>
            <w:pPr>
              <w:spacing w:after="0"/>
              <w:rPr>
                <w:sz w:val="20"/>
                <w:szCs w:val="20"/>
                <w:color w:val="auto"/>
              </w:rPr>
            </w:pPr>
            <w:r>
              <w:rPr>
                <w:rFonts w:ascii="Arial" w:cs="Arial" w:eastAsia="Arial" w:hAnsi="Arial"/>
                <w:sz w:val="18"/>
                <w:szCs w:val="18"/>
                <w:color w:val="auto"/>
              </w:rPr>
              <w:t>Date: April 13, 2021</w:t>
            </w:r>
          </w:p>
        </w:tc>
        <w:tc>
          <w:tcPr>
            <w:tcW w:w="2540" w:type="dxa"/>
            <w:vAlign w:val="bottom"/>
          </w:tcPr>
          <w:p>
            <w:pPr>
              <w:ind w:left="21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w:t>
            </w:r>
            <w:r>
              <w:rPr>
                <w:rFonts w:ascii="Arial" w:cs="Arial" w:eastAsia="Arial" w:hAnsi="Arial"/>
                <w:sz w:val="12"/>
                <w:szCs w:val="12"/>
                <w:color w:val="auto"/>
                <w:w w:val="95"/>
              </w:rPr>
              <w:t>RTHUR</w:t>
            </w:r>
            <w:r>
              <w:rPr>
                <w:rFonts w:ascii="Arial" w:cs="Arial" w:eastAsia="Arial" w:hAnsi="Arial"/>
                <w:sz w:val="18"/>
                <w:szCs w:val="18"/>
                <w:color w:val="auto"/>
                <w:w w:val="95"/>
              </w:rPr>
              <w:t xml:space="preserve"> T. S</w:t>
            </w:r>
            <w:r>
              <w:rPr>
                <w:rFonts w:ascii="Arial" w:cs="Arial" w:eastAsia="Arial" w:hAnsi="Arial"/>
                <w:sz w:val="12"/>
                <w:szCs w:val="12"/>
                <w:color w:val="auto"/>
                <w:w w:val="95"/>
              </w:rPr>
              <w:t>ANDS</w:t>
            </w:r>
          </w:p>
        </w:tc>
      </w:tr>
      <w:tr>
        <w:trPr>
          <w:trHeight w:val="222"/>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Arthur T. Sands, M.D., Ph.D.</w:t>
            </w: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94"/>
        </w:trPr>
        <w:tc>
          <w:tcPr>
            <w:tcW w:w="3660" w:type="dxa"/>
            <w:vAlign w:val="bottom"/>
          </w:tcPr>
          <w:p>
            <w:pPr>
              <w:spacing w:after="0"/>
              <w:rPr>
                <w:sz w:val="20"/>
                <w:szCs w:val="20"/>
                <w:color w:val="auto"/>
              </w:rPr>
            </w:pPr>
            <w:r>
              <w:rPr>
                <w:rFonts w:ascii="Arial" w:cs="Arial" w:eastAsia="Arial" w:hAnsi="Arial"/>
                <w:sz w:val="18"/>
                <w:szCs w:val="18"/>
                <w:color w:val="auto"/>
              </w:rPr>
              <w:t>Date: April 13, 2021</w:t>
            </w:r>
          </w:p>
        </w:tc>
        <w:tc>
          <w:tcPr>
            <w:tcW w:w="2540" w:type="dxa"/>
            <w:vAlign w:val="bottom"/>
          </w:tcPr>
          <w:p>
            <w:pPr>
              <w:ind w:left="21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H</w:t>
            </w:r>
            <w:r>
              <w:rPr>
                <w:rFonts w:ascii="Arial" w:cs="Arial" w:eastAsia="Arial" w:hAnsi="Arial"/>
                <w:sz w:val="12"/>
                <w:szCs w:val="12"/>
                <w:color w:val="auto"/>
                <w:w w:val="97"/>
              </w:rPr>
              <w:t>ANS VAN</w:t>
            </w:r>
            <w:r>
              <w:rPr>
                <w:rFonts w:ascii="Arial" w:cs="Arial" w:eastAsia="Arial" w:hAnsi="Arial"/>
                <w:sz w:val="18"/>
                <w:szCs w:val="18"/>
                <w:color w:val="auto"/>
                <w:w w:val="97"/>
              </w:rPr>
              <w:t xml:space="preserve"> H</w:t>
            </w:r>
            <w:r>
              <w:rPr>
                <w:rFonts w:ascii="Arial" w:cs="Arial" w:eastAsia="Arial" w:hAnsi="Arial"/>
                <w:sz w:val="12"/>
                <w:szCs w:val="12"/>
                <w:color w:val="auto"/>
                <w:w w:val="97"/>
              </w:rPr>
              <w:t>OUTE</w:t>
            </w:r>
          </w:p>
        </w:tc>
      </w:tr>
      <w:tr>
        <w:trPr>
          <w:trHeight w:val="224"/>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Hans van Houte</w:t>
            </w:r>
          </w:p>
        </w:tc>
      </w:tr>
    </w:tbl>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55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Arthur T. Sands, certify that:</w:t>
      </w:r>
    </w:p>
    <w:p>
      <w:pPr>
        <w:spacing w:after="0" w:line="117"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tab/>
        <w:t>/s/ A</w:t>
      </w:r>
      <w:r>
        <w:rPr>
          <w:rFonts w:ascii="Arial" w:cs="Arial" w:eastAsia="Arial" w:hAnsi="Arial"/>
          <w:sz w:val="12"/>
          <w:szCs w:val="12"/>
          <w:color w:val="auto"/>
        </w:rPr>
        <w:t>RTHUR</w:t>
      </w:r>
      <w:r>
        <w:rPr>
          <w:rFonts w:ascii="Arial" w:cs="Arial" w:eastAsia="Arial" w:hAnsi="Arial"/>
          <w:sz w:val="18"/>
          <w:szCs w:val="18"/>
          <w:color w:val="auto"/>
        </w:rPr>
        <w:t xml:space="preserve"> T. S</w:t>
      </w:r>
      <w:r>
        <w:rPr>
          <w:rFonts w:ascii="Arial" w:cs="Arial" w:eastAsia="Arial" w:hAnsi="Arial"/>
          <w:sz w:val="12"/>
          <w:szCs w:val="12"/>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Arthur T. Sands, M.D., Ph.D.</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2021</w:t>
      </w:r>
    </w:p>
    <w:p>
      <w:pPr>
        <w:sectPr>
          <w:pgSz w:w="11900" w:h="16838" w:orient="portrait"/>
          <w:cols w:equalWidth="0" w:num="1">
            <w:col w:w="11240"/>
          </w:cols>
          <w:pgMar w:left="320" w:top="10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Hans van Houte, certify that:</w:t>
      </w:r>
    </w:p>
    <w:p>
      <w:pPr>
        <w:spacing w:after="0" w:line="117"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tab/>
        <w:t>/s/ H</w:t>
      </w:r>
      <w:r>
        <w:rPr>
          <w:rFonts w:ascii="Arial" w:cs="Arial" w:eastAsia="Arial" w:hAnsi="Arial"/>
          <w:sz w:val="12"/>
          <w:szCs w:val="12"/>
          <w:color w:val="auto"/>
        </w:rPr>
        <w:t>ANS VAN</w:t>
      </w:r>
      <w:r>
        <w:rPr>
          <w:rFonts w:ascii="Arial" w:cs="Arial" w:eastAsia="Arial" w:hAnsi="Arial"/>
          <w:sz w:val="18"/>
          <w:szCs w:val="18"/>
          <w:color w:val="auto"/>
        </w:rPr>
        <w:t xml:space="preserve"> H</w:t>
      </w:r>
      <w:r>
        <w:rPr>
          <w:rFonts w:ascii="Arial" w:cs="Arial" w:eastAsia="Arial" w:hAnsi="Arial"/>
          <w:sz w:val="12"/>
          <w:szCs w:val="12"/>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Hans van Houte</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2021</w:t>
      </w:r>
    </w:p>
    <w:p>
      <w:pPr>
        <w:sectPr>
          <w:pgSz w:w="11900" w:h="16838" w:orient="portrait"/>
          <w:cols w:equalWidth="0" w:num="1">
            <w:col w:w="11240"/>
          </w:cols>
          <w:pgMar w:left="320" w:top="10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officers of Nurix Therapeutics, Inc. (the Company) certifies, pursuant to 18 U.S.C. § 1350, as adopted pursuant to §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440" w:hanging="432"/>
        <w:spacing w:after="0" w:line="308" w:lineRule="auto"/>
        <w:tabs>
          <w:tab w:leader="none" w:pos="4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February 28, 2021 (the Quarterly Report), as filed with the Securities and Exchange Commission,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440" w:right="20" w:hanging="432"/>
        <w:spacing w:after="0" w:line="277"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the Company.</w:t>
      </w:r>
    </w:p>
    <w:p>
      <w:pPr>
        <w:spacing w:after="0" w:line="19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T. S</w:t>
            </w:r>
            <w:r>
              <w:rPr>
                <w:rFonts w:ascii="Arial" w:cs="Arial" w:eastAsia="Arial" w:hAnsi="Arial"/>
                <w:sz w:val="12"/>
                <w:szCs w:val="12"/>
                <w:color w:val="auto"/>
              </w:rPr>
              <w:t>ANDS</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Arthur T. Sands, M.D., Ph.D.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ANS VAN</w:t>
            </w:r>
            <w:r>
              <w:rPr>
                <w:rFonts w:ascii="Arial" w:cs="Arial" w:eastAsia="Arial" w:hAnsi="Arial"/>
                <w:sz w:val="18"/>
                <w:szCs w:val="18"/>
                <w:color w:val="auto"/>
              </w:rPr>
              <w:t xml:space="preserve"> H</w:t>
            </w:r>
            <w:r>
              <w:rPr>
                <w:rFonts w:ascii="Arial" w:cs="Arial" w:eastAsia="Arial" w:hAnsi="Arial"/>
                <w:sz w:val="12"/>
                <w:szCs w:val="12"/>
                <w:color w:val="auto"/>
              </w:rPr>
              <w:t>OUTE</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Hans van Houte</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lowerRoman"/>
      <w:start w:val="1"/>
    </w:lvl>
  </w:abstractNum>
  <w:abstractNum w:abstractNumId="4">
    <w:nsid w:val="71F32454"/>
    <w:multiLevelType w:val="hybridMultilevel"/>
    <w:lvl w:ilvl="0">
      <w:lvlJc w:val="left"/>
      <w:lvlText w:val="(%1)"/>
      <w:numFmt w:val="lowerRoman"/>
      <w:start w:val="2"/>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Roman"/>
      <w:start w:val="2"/>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1" Type="http://schemas.openxmlformats.org/officeDocument/2006/relationships/hyperlink" Target="http://www.sec.gov/Archives/edgar/data/1549595/000156459021006071/nrix-ex1011_15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2021-04-13T15:27:23Z</dcterms:created>
  <dcterms:modified xsi:type="dcterms:W3CDTF">2021-04-13T15:27:23Z</dcterms:modified>
</cp:coreProperties>
</file>