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6061.xml.htm"/>
      <w:bookmarkStart w:id="1" w:name="kswkform4_17909760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Ring Christine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NURIX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SIERRA POINT PKWY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Nurix Therapeutics, Inc.</w:t>
              </w:r>
            </w:hyperlink>
            <w:r>
              <w:rPr/>
              <w:t xml:space="preserve"> [ </w:t>
            </w:r>
            <w:r>
              <w:rPr>
                <w:rFonts w:ascii="Times;serif" w:hAnsi="Times;serif"/>
                <w:color w:val="0000FF"/>
                <w:sz w:val="24"/>
                <w:shd w:fill="FFFFFF" w:val="clear"/>
              </w:rPr>
              <w:t>NRIX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23.1851</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8.72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111,251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previously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$22.84 and the highest price at which shares were sold was $23.65.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vests as to 1/36 of the total shares monthly beginning March 13, 2024, until the option is fully vested on February 13, 2027,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Burbach, as Attorney-in-Fact for Christine Ring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7199" TargetMode="External"/><Relationship Id="rId5" Type="http://schemas.openxmlformats.org/officeDocument/2006/relationships/hyperlink" Target="http://www.sec.gov/cgi-bin/browse-edgar?action=getcompany&amp;CIK=00015495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3912</Characters>
  <CharactersWithSpaces>4548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