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00" w:right="1620" w:hanging="3792"/>
        <w:spacing w:after="0" w:line="391"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31, 2021</w:t>
      </w:r>
    </w:p>
    <w:p>
      <w:pPr>
        <w:spacing w:after="0" w:line="2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40"/>
        <w:spacing w:after="0"/>
        <w:tabs>
          <w:tab w:leader="none" w:pos="6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NURIX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jc w:val="center"/>
              <w:ind w:left="1602"/>
              <w:spacing w:after="0"/>
              <w:rPr>
                <w:sz w:val="20"/>
                <w:szCs w:val="20"/>
                <w:color w:val="auto"/>
              </w:rPr>
            </w:pPr>
            <w:r>
              <w:rPr>
                <w:rFonts w:ascii="Arial" w:cs="Arial" w:eastAsia="Arial" w:hAnsi="Arial"/>
                <w:sz w:val="15"/>
                <w:szCs w:val="15"/>
                <w:b w:val="1"/>
                <w:bCs w:val="1"/>
                <w:color w:val="auto"/>
                <w:w w:val="94"/>
              </w:rPr>
              <w:t>Delaware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324"/>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(State or other jurisdiction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64"/>
              <w:spacing w:after="0" w:line="162"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incorporation or organization)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84"/>
              <w:spacing w:after="0" w:line="162" w:lineRule="exact"/>
              <w:rPr>
                <w:sz w:val="20"/>
                <w:szCs w:val="20"/>
                <w:color w:val="auto"/>
              </w:rPr>
            </w:pPr>
            <w:r>
              <w:rPr>
                <w:rFonts w:ascii="Arial" w:cs="Arial" w:eastAsia="Arial" w:hAnsi="Arial"/>
                <w:sz w:val="15"/>
                <w:szCs w:val="15"/>
                <w:b w:val="1"/>
                <w:bCs w:val="1"/>
                <w:color w:val="auto"/>
                <w:w w:val="94"/>
              </w:rPr>
              <w:t>Identification No.)</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1"/>
              </w:rPr>
              <w:t>1700 Owens Street, Suite 205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San Francisco, CA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504"/>
              <w:spacing w:after="0" w:line="162" w:lineRule="exact"/>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198"/>
        </w:trPr>
        <w:tc>
          <w:tcPr>
            <w:tcW w:w="6740" w:type="dxa"/>
            <w:vAlign w:val="bottom"/>
            <w:gridSpan w:val="7"/>
          </w:tcPr>
          <w:p>
            <w:pPr>
              <w:jc w:val="center"/>
              <w:ind w:right="1160"/>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4500" w:type="dxa"/>
            <w:vAlign w:val="bottom"/>
          </w:tcPr>
          <w:p>
            <w:pPr>
              <w:jc w:val="center"/>
              <w:ind w:right="964"/>
              <w:spacing w:after="0"/>
              <w:rPr>
                <w:sz w:val="20"/>
                <w:szCs w:val="20"/>
                <w:color w:val="auto"/>
              </w:rPr>
            </w:pPr>
            <w:r>
              <w:rPr>
                <w:rFonts w:ascii="Arial" w:cs="Arial" w:eastAsia="Arial" w:hAnsi="Arial"/>
                <w:sz w:val="15"/>
                <w:szCs w:val="15"/>
                <w:b w:val="1"/>
                <w:bCs w:val="1"/>
                <w:color w:val="auto"/>
                <w:w w:val="94"/>
              </w:rPr>
              <w:t>(Zip Code)</w:t>
            </w:r>
          </w:p>
        </w:tc>
        <w:tc>
          <w:tcPr>
            <w:tcW w:w="0" w:type="dxa"/>
            <w:vAlign w:val="bottom"/>
          </w:tcPr>
          <w:p>
            <w:pPr>
              <w:spacing w:after="0"/>
              <w:rPr>
                <w:sz w:val="1"/>
                <w:szCs w:val="1"/>
                <w:color w:val="auto"/>
              </w:rPr>
            </w:pPr>
          </w:p>
        </w:tc>
      </w:tr>
      <w:tr>
        <w:trPr>
          <w:trHeight w:val="305"/>
        </w:trPr>
        <w:tc>
          <w:tcPr>
            <w:tcW w:w="11240" w:type="dxa"/>
            <w:vAlign w:val="bottom"/>
            <w:gridSpan w:val="8"/>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(415) 660-5320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7340" w:type="dxa"/>
            <w:vAlign w:val="bottom"/>
            <w:gridSpan w:val="7"/>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3"/>
        </w:trPr>
        <w:tc>
          <w:tcPr>
            <w:tcW w:w="3900" w:type="dxa"/>
            <w:vAlign w:val="bottom"/>
            <w:vMerge w:val="restart"/>
          </w:tcPr>
          <w:p>
            <w:pPr>
              <w:jc w:val="center"/>
              <w:ind w:left="302"/>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00" w:type="dxa"/>
            <w:vAlign w:val="bottom"/>
            <w:tcBorders>
              <w:top w:val="single" w:sz="8" w:color="auto"/>
            </w:tcBorders>
          </w:tcPr>
          <w:p>
            <w:pPr>
              <w:jc w:val="center"/>
              <w:ind w:left="322"/>
              <w:spacing w:after="0"/>
              <w:rPr>
                <w:sz w:val="20"/>
                <w:szCs w:val="20"/>
                <w:color w:val="auto"/>
              </w:rPr>
            </w:pPr>
            <w:r>
              <w:rPr>
                <w:rFonts w:ascii="Arial" w:cs="Arial" w:eastAsia="Arial" w:hAnsi="Arial"/>
                <w:sz w:val="16"/>
                <w:szCs w:val="16"/>
                <w:color w:val="auto"/>
                <w:w w:val="91"/>
              </w:rPr>
              <w:t>Common Stock, par value $0.001 per share</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Arial" w:cs="Arial" w:eastAsia="Arial" w:hAnsi="Arial"/>
                <w:sz w:val="16"/>
                <w:szCs w:val="16"/>
                <w:color w:val="auto"/>
              </w:rPr>
              <w:t>NRIX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4"/>
              <w:spacing w:after="0"/>
              <w:rPr>
                <w:sz w:val="20"/>
                <w:szCs w:val="20"/>
                <w:color w:val="auto"/>
              </w:rPr>
            </w:pPr>
            <w:r>
              <w:rPr>
                <w:rFonts w:ascii="Arial" w:cs="Arial" w:eastAsia="Arial" w:hAnsi="Arial"/>
                <w:sz w:val="16"/>
                <w:szCs w:val="16"/>
                <w:color w:val="auto"/>
                <w:w w:val="92"/>
              </w:rPr>
              <w:t>Nasdaq Global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12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8, 2021, the Registrant had 44,612,647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planned investigational new drug application (IND) submissions for our lead drug candidates and other drug candidates;</w:t>
      </w:r>
    </w:p>
    <w:p>
      <w:pPr>
        <w:spacing w:after="0" w:line="128" w:lineRule="exact"/>
        <w:rPr>
          <w:rFonts w:ascii="Arial" w:cs="Arial" w:eastAsia="Arial" w:hAnsi="Arial"/>
          <w:sz w:val="17"/>
          <w:szCs w:val="17"/>
          <w:color w:val="auto"/>
        </w:rPr>
      </w:pPr>
    </w:p>
    <w:p>
      <w:pPr>
        <w:ind w:left="740" w:right="3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conduct of our clinical trial programs for our lead drug candidates NX-2127, NX-1607, NX-5948, DeTIL-0255 and other drug candidates, including statements regarding the timing of initiation of the clinical trials;</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approvals for our lead drug candidates NX-2127, NX-1607, NX-5948, DeTIL-0255 and other drug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DELigase platform and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scientific approach and DELigase platform may potentially address a broad range of diseases;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arrangements with Sanofi S.A. and Gilead Sciences, Inc.;</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manufacturing of our drug candidates;</w:t>
      </w:r>
    </w:p>
    <w:p>
      <w:pPr>
        <w:spacing w:after="0" w:line="117"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coronavirus (COVID-19) pandemic, including the resurgence of cases relating to the spread of the Delta variant, on our business, clinical trials, financial condition, liquidity and results of operations;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royalty payments under our collaborations;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04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80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w:t>
              </w:r>
            </w:hyperlink>
          </w:p>
        </w:tc>
        <w:tc>
          <w:tcPr>
            <w:tcW w:w="508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Redeemable Convertible Preferred Stock and Stockholders’ Equity (Deficit)</w:t>
              </w:r>
            </w:hyperlink>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510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OTHER INFORMATION</w:t>
              </w:r>
            </w:hyperlink>
          </w:p>
        </w:tc>
        <w:tc>
          <w:tcPr>
            <w:tcW w:w="75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7"/>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14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512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770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816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000"/>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August 31,</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196,458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Contract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Income tax receivable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358,445</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investments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493,074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3,861</w:t>
            </w:r>
          </w:p>
        </w:tc>
        <w:tc>
          <w:tcPr>
            <w:tcW w:w="2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and other current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 current</w:t>
            </w:r>
          </w:p>
        </w:tc>
        <w:tc>
          <w:tcPr>
            <w:tcW w:w="1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$0.001 par value— 10,000,000 shares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August 31, 2021 and</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November 30, 2020; 0 shares issued and outstanding</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August 31, 2021 and November 30, 2020</w:t>
            </w: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380" w:type="dxa"/>
            <w:vAlign w:val="bottom"/>
          </w:tcPr>
          <w:p>
            <w:pPr>
              <w:ind w:left="240"/>
              <w:spacing w:after="0"/>
              <w:rPr>
                <w:sz w:val="20"/>
                <w:szCs w:val="20"/>
                <w:color w:val="auto"/>
              </w:rPr>
            </w:pPr>
            <w:r>
              <w:rPr>
                <w:rFonts w:ascii="Arial" w:cs="Arial" w:eastAsia="Arial" w:hAnsi="Arial"/>
                <w:sz w:val="18"/>
                <w:szCs w:val="18"/>
                <w:color w:val="auto"/>
              </w:rPr>
              <w:t>Common stock, $0.001 par value— 500,000,000 shares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authorized as of August 31, 2021 and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November 30, 2020; 44,556,604 and 38,864,872 shares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issued and outstanding as of August 31, 2021 and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November 30, 2020, respectively</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Additional paid-in-capital</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558,421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48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(183,190)</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(103,698)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375,217</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493,074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53"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Three Months Ended August 31,</w:t>
            </w:r>
          </w:p>
        </w:tc>
        <w:tc>
          <w:tcPr>
            <w:tcW w:w="180" w:type="dxa"/>
            <w:vAlign w:val="bottom"/>
          </w:tcPr>
          <w:p>
            <w:pPr>
              <w:spacing w:after="0"/>
              <w:rPr>
                <w:sz w:val="14"/>
                <w:szCs w:val="14"/>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Nine Months Ended August 31,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(0.65)</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shares outstanding,</w:t>
            </w:r>
          </w:p>
        </w:tc>
        <w:tc>
          <w:tcPr>
            <w:tcW w:w="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44,374,389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16,937,934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42,344,420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August 31,</w:t>
            </w:r>
          </w:p>
        </w:tc>
        <w:tc>
          <w:tcPr>
            <w:tcW w:w="240" w:type="dxa"/>
            <w:vAlign w:val="bottom"/>
          </w:tcPr>
          <w:p>
            <w:pPr>
              <w:spacing w:after="0"/>
              <w:rPr>
                <w:sz w:val="14"/>
                <w:szCs w:val="14"/>
                <w:color w:val="auto"/>
              </w:rPr>
            </w:pPr>
          </w:p>
        </w:tc>
        <w:tc>
          <w:tcPr>
            <w:tcW w:w="262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August 31,</w:t>
            </w:r>
          </w:p>
        </w:tc>
      </w:tr>
      <w:tr>
        <w:trPr>
          <w:trHeight w:val="223"/>
        </w:trPr>
        <w:tc>
          <w:tcPr>
            <w:tcW w:w="4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available-for-sale investments</w:t>
            </w:r>
          </w:p>
        </w:tc>
        <w:tc>
          <w:tcPr>
            <w:tcW w:w="2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(28,924)</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(23,188)</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320" w:type="dxa"/>
        <w:tblCellMar>
          <w:top w:w="0" w:type="dxa"/>
          <w:left w:w="0" w:type="dxa"/>
          <w:bottom w:w="0" w:type="dxa"/>
          <w:right w:w="0" w:type="dxa"/>
        </w:tblCellMar>
      </w:tblPr>
      <w:tr>
        <w:trPr>
          <w:trHeight w:val="148"/>
        </w:trPr>
        <w:tc>
          <w:tcPr>
            <w:tcW w:w="2180" w:type="dxa"/>
            <w:vAlign w:val="bottom"/>
          </w:tcPr>
          <w:p>
            <w:pPr>
              <w:spacing w:after="0"/>
              <w:rPr>
                <w:sz w:val="12"/>
                <w:szCs w:val="12"/>
                <w:color w:val="auto"/>
              </w:rPr>
            </w:pPr>
          </w:p>
        </w:tc>
        <w:tc>
          <w:tcPr>
            <w:tcW w:w="1960" w:type="dxa"/>
            <w:vAlign w:val="bottom"/>
            <w:tcBorders>
              <w:right w:val="single" w:sz="8" w:color="auto"/>
            </w:tcBorders>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9"/>
              </w:rPr>
              <w:t>Redeemable convertible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960" w:type="dxa"/>
            <w:vAlign w:val="bottom"/>
            <w:tcBorders>
              <w:right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96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21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0"/>
              </w:rPr>
              <w:t>capital</w:t>
            </w:r>
          </w:p>
        </w:tc>
        <w:tc>
          <w:tcPr>
            <w:tcW w:w="1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w w:val="94"/>
              </w:rPr>
              <w:t>(deficit)</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as of November 30, 2019</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12,813,887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48,195</w:t>
            </w:r>
          </w:p>
        </w:tc>
        <w:tc>
          <w:tcPr>
            <w:tcW w:w="2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3,595,334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2,740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(60,456)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(57,714)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4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Repurchase of unvested early</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exercised stock options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80" w:type="dxa"/>
            <w:vAlign w:val="bottom"/>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340"/>
              <w:spacing w:after="0"/>
              <w:rPr>
                <w:sz w:val="20"/>
                <w:szCs w:val="20"/>
                <w:color w:val="auto"/>
              </w:rPr>
            </w:pPr>
            <w:r>
              <w:rPr>
                <w:rFonts w:ascii="Arial" w:cs="Arial" w:eastAsia="Arial" w:hAnsi="Arial"/>
                <w:sz w:val="14"/>
                <w:szCs w:val="14"/>
                <w:color w:val="auto"/>
              </w:rPr>
              <w:t>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340"/>
              <w:spacing w:after="0"/>
              <w:rPr>
                <w:sz w:val="20"/>
                <w:szCs w:val="20"/>
                <w:color w:val="auto"/>
              </w:rPr>
            </w:pPr>
            <w:r>
              <w:rPr>
                <w:rFonts w:ascii="Arial" w:cs="Arial" w:eastAsia="Arial" w:hAnsi="Arial"/>
                <w:sz w:val="14"/>
                <w:szCs w:val="14"/>
                <w:color w:val="auto"/>
              </w:rPr>
              <w:t>investments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(12,391)</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4"/>
                <w:szCs w:val="14"/>
                <w:color w:val="auto"/>
              </w:rPr>
              <w:t>Balance as of February 29, 2020</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12,813,887</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48,195</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3,667,037</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2,984</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(72,847)</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(69,802)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of Series D</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40"/>
              <w:spacing w:after="0" w:line="149" w:lineRule="exact"/>
              <w:rPr>
                <w:sz w:val="20"/>
                <w:szCs w:val="20"/>
                <w:color w:val="auto"/>
              </w:rPr>
            </w:pPr>
            <w:r>
              <w:rPr>
                <w:rFonts w:ascii="Arial" w:cs="Arial" w:eastAsia="Arial" w:hAnsi="Arial"/>
                <w:sz w:val="14"/>
                <w:szCs w:val="14"/>
                <w:color w:val="auto"/>
              </w:rPr>
              <w:t>redeemable</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340"/>
              <w:spacing w:after="0" w:line="149" w:lineRule="exact"/>
              <w:rPr>
                <w:sz w:val="20"/>
                <w:szCs w:val="20"/>
                <w:color w:val="auto"/>
              </w:rPr>
            </w:pPr>
            <w:r>
              <w:rPr>
                <w:rFonts w:ascii="Arial" w:cs="Arial" w:eastAsia="Arial" w:hAnsi="Arial"/>
                <w:sz w:val="14"/>
                <w:szCs w:val="14"/>
                <w:color w:val="auto"/>
              </w:rPr>
              <w:t>convertible preferred stock at</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340"/>
              <w:spacing w:after="0" w:line="149" w:lineRule="exact"/>
              <w:rPr>
                <w:sz w:val="20"/>
                <w:szCs w:val="20"/>
                <w:color w:val="auto"/>
              </w:rPr>
            </w:pPr>
            <w:r>
              <w:rPr>
                <w:rFonts w:ascii="Arial" w:cs="Arial" w:eastAsia="Arial" w:hAnsi="Arial"/>
                <w:sz w:val="14"/>
                <w:szCs w:val="14"/>
                <w:color w:val="auto"/>
              </w:rPr>
              <w:t>$12.75 per share, net of</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issuance costs of $336</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9,431,364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119,914</w:t>
            </w:r>
          </w:p>
        </w:tc>
        <w:tc>
          <w:tcPr>
            <w:tcW w:w="2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80" w:type="dxa"/>
            <w:vAlign w:val="bottom"/>
          </w:tcPr>
          <w:p>
            <w:pPr>
              <w:ind w:left="24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125,708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stock options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investments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May 31, 2020</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22,245,251</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168,109</w:t>
            </w:r>
          </w:p>
        </w:tc>
        <w:tc>
          <w:tcPr>
            <w:tcW w:w="20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3,792,745</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3,598</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(65,267)</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(61,526)</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tcPr>
          <w:p>
            <w:pPr>
              <w:ind w:left="240"/>
              <w:spacing w:after="0" w:line="143" w:lineRule="exact"/>
              <w:rPr>
                <w:sz w:val="20"/>
                <w:szCs w:val="20"/>
                <w:color w:val="auto"/>
              </w:rPr>
            </w:pPr>
            <w:r>
              <w:rPr>
                <w:rFonts w:ascii="Arial" w:cs="Arial" w:eastAsia="Arial" w:hAnsi="Arial"/>
                <w:sz w:val="14"/>
                <w:szCs w:val="14"/>
                <w:color w:val="auto"/>
              </w:rPr>
              <w:t>Conversion of redeemable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40"/>
              <w:spacing w:after="0" w:line="149" w:lineRule="exact"/>
              <w:rPr>
                <w:sz w:val="20"/>
                <w:szCs w:val="20"/>
                <w:color w:val="auto"/>
              </w:rPr>
            </w:pPr>
            <w:r>
              <w:rPr>
                <w:rFonts w:ascii="Arial" w:cs="Arial" w:eastAsia="Arial" w:hAnsi="Arial"/>
                <w:sz w:val="14"/>
                <w:szCs w:val="14"/>
                <w:color w:val="auto"/>
              </w:rPr>
              <w:t>convertible preferred stock</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340"/>
              <w:spacing w:after="0"/>
              <w:rPr>
                <w:sz w:val="20"/>
                <w:szCs w:val="20"/>
                <w:color w:val="auto"/>
              </w:rPr>
            </w:pPr>
            <w:r>
              <w:rPr>
                <w:rFonts w:ascii="Arial" w:cs="Arial" w:eastAsia="Arial" w:hAnsi="Arial"/>
                <w:sz w:val="14"/>
                <w:szCs w:val="14"/>
                <w:color w:val="auto"/>
              </w:rPr>
              <w:t>into common stock</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(22,245,251)</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(168,109)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22,245,251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168,087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168,109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of common stock</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40"/>
              <w:spacing w:after="0" w:line="149" w:lineRule="exact"/>
              <w:rPr>
                <w:sz w:val="20"/>
                <w:szCs w:val="20"/>
                <w:color w:val="auto"/>
              </w:rPr>
            </w:pPr>
            <w:r>
              <w:rPr>
                <w:rFonts w:ascii="Arial" w:cs="Arial" w:eastAsia="Arial" w:hAnsi="Arial"/>
                <w:sz w:val="14"/>
                <w:szCs w:val="14"/>
                <w:color w:val="auto"/>
              </w:rPr>
              <w:t>upon</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340"/>
              <w:spacing w:after="0" w:line="149" w:lineRule="exact"/>
              <w:rPr>
                <w:sz w:val="20"/>
                <w:szCs w:val="20"/>
                <w:color w:val="auto"/>
              </w:rPr>
            </w:pPr>
            <w:r>
              <w:rPr>
                <w:rFonts w:ascii="Arial" w:cs="Arial" w:eastAsia="Arial" w:hAnsi="Arial"/>
                <w:sz w:val="14"/>
                <w:szCs w:val="14"/>
                <w:color w:val="auto"/>
              </w:rPr>
              <w:t>initial public offering, net of</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offering costs of $20,308</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12,550,000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218,130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218,143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40"/>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258,182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Repurchase of unvested early</w:t>
            </w: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exercised stock options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80" w:type="dxa"/>
            <w:vAlign w:val="bottom"/>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340"/>
              <w:spacing w:after="0"/>
              <w:rPr>
                <w:sz w:val="20"/>
                <w:szCs w:val="20"/>
                <w:color w:val="auto"/>
              </w:rPr>
            </w:pPr>
            <w:r>
              <w:rPr>
                <w:rFonts w:ascii="Arial" w:cs="Arial" w:eastAsia="Arial" w:hAnsi="Arial"/>
                <w:sz w:val="14"/>
                <w:szCs w:val="14"/>
                <w:color w:val="auto"/>
              </w:rPr>
              <w:t>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80" w:type="dxa"/>
            <w:vAlign w:val="bottom"/>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340"/>
              <w:spacing w:after="0"/>
              <w:rPr>
                <w:sz w:val="20"/>
                <w:szCs w:val="20"/>
                <w:color w:val="auto"/>
              </w:rPr>
            </w:pPr>
            <w:r>
              <w:rPr>
                <w:rFonts w:ascii="Arial" w:cs="Arial" w:eastAsia="Arial" w:hAnsi="Arial"/>
                <w:sz w:val="14"/>
                <w:szCs w:val="14"/>
                <w:color w:val="auto"/>
              </w:rPr>
              <w:t>investments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(18,517)</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(18,517)</w:t>
            </w:r>
          </w:p>
        </w:tc>
        <w:tc>
          <w:tcPr>
            <w:tcW w:w="0" w:type="dxa"/>
            <w:vAlign w:val="bottom"/>
          </w:tcPr>
          <w:p>
            <w:pPr>
              <w:spacing w:after="0"/>
              <w:rPr>
                <w:sz w:val="1"/>
                <w:szCs w:val="1"/>
                <w:color w:val="auto"/>
              </w:rPr>
            </w:pP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4"/>
                <w:szCs w:val="14"/>
                <w:color w:val="auto"/>
              </w:rPr>
              <w:t>Balance as of August 31, 2020</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38,845,196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391,227</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(83,784)</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307,620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553"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840" w:type="dxa"/>
            <w:vAlign w:val="bottom"/>
            <w:tcBorders>
              <w:right w:val="single" w:sz="8" w:color="auto"/>
            </w:tcBorders>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840" w:type="dxa"/>
            <w:vAlign w:val="bottom"/>
            <w:tcBorders>
              <w:right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84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4"/>
              </w:rPr>
              <w:t>preferred stock</w:t>
            </w:r>
          </w:p>
        </w:tc>
        <w:tc>
          <w:tcPr>
            <w:tcW w:w="6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54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10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6"/>
        </w:trPr>
        <w:tc>
          <w:tcPr>
            <w:tcW w:w="23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November 30, 2020</w:t>
            </w: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38,864,872</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393,841</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(103,698)</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290,269</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ind w:left="24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190,825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Repurchase of unvested early</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exercised stock options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340"/>
              <w:spacing w:after="0"/>
              <w:rPr>
                <w:sz w:val="20"/>
                <w:szCs w:val="20"/>
                <w:color w:val="auto"/>
              </w:rPr>
            </w:pPr>
            <w:r>
              <w:rPr>
                <w:rFonts w:ascii="Arial" w:cs="Arial" w:eastAsia="Arial" w:hAnsi="Arial"/>
                <w:sz w:val="14"/>
                <w:szCs w:val="14"/>
                <w:color w:val="auto"/>
              </w:rPr>
              <w:t>stock options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under employee</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stock purchase plan</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64,589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FF0FC"/>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investments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880" w:type="dxa"/>
            <w:vAlign w:val="bottom"/>
            <w:gridSpan w:val="2"/>
          </w:tcPr>
          <w:p>
            <w:pPr>
              <w:ind w:left="240"/>
              <w:spacing w:after="0"/>
              <w:rPr>
                <w:sz w:val="20"/>
                <w:szCs w:val="20"/>
                <w:color w:val="auto"/>
              </w:rPr>
            </w:pPr>
            <w:r>
              <w:rPr>
                <w:rFonts w:ascii="Arial" w:cs="Arial" w:eastAsia="Arial" w:hAnsi="Arial"/>
                <w:sz w:val="14"/>
                <w:szCs w:val="14"/>
                <w:color w:val="auto"/>
              </w:rPr>
              <w:t>Net income (loss)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4"/>
                <w:szCs w:val="14"/>
                <w:color w:val="auto"/>
              </w:rPr>
              <w:t>(24,275)</w:t>
            </w: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(24,275)</w:t>
            </w:r>
          </w:p>
        </w:tc>
        <w:tc>
          <w:tcPr>
            <w:tcW w:w="0" w:type="dxa"/>
            <w:vAlign w:val="bottom"/>
          </w:tcPr>
          <w:p>
            <w:pPr>
              <w:spacing w:after="0"/>
              <w:rPr>
                <w:sz w:val="1"/>
                <w:szCs w:val="1"/>
                <w:color w:val="auto"/>
              </w:rPr>
            </w:pPr>
          </w:p>
        </w:tc>
      </w:tr>
      <w:tr>
        <w:trPr>
          <w:trHeight w:val="156"/>
        </w:trPr>
        <w:tc>
          <w:tcPr>
            <w:tcW w:w="23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February 28, 2021</w:t>
            </w: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39,119,315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398,018</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(127,973)</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270,133</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Issuance of common stock in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connection with equity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offering, net of offering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320"/>
              <w:spacing w:after="0"/>
              <w:rPr>
                <w:sz w:val="20"/>
                <w:szCs w:val="20"/>
                <w:color w:val="auto"/>
              </w:rPr>
            </w:pPr>
            <w:r>
              <w:rPr>
                <w:rFonts w:ascii="Arial" w:cs="Arial" w:eastAsia="Arial" w:hAnsi="Arial"/>
                <w:sz w:val="14"/>
                <w:szCs w:val="14"/>
                <w:color w:val="auto"/>
              </w:rPr>
              <w:t>costs of $643</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5,175,000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150,152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150,157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109,232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340"/>
              <w:spacing w:after="0"/>
              <w:rPr>
                <w:sz w:val="20"/>
                <w:szCs w:val="20"/>
                <w:color w:val="auto"/>
              </w:rPr>
            </w:pPr>
            <w:r>
              <w:rPr>
                <w:rFonts w:ascii="Arial" w:cs="Arial" w:eastAsia="Arial" w:hAnsi="Arial"/>
                <w:sz w:val="14"/>
                <w:szCs w:val="14"/>
                <w:color w:val="auto"/>
              </w:rPr>
              <w:t>stock options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3,944</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340"/>
              <w:spacing w:after="0"/>
              <w:rPr>
                <w:sz w:val="20"/>
                <w:szCs w:val="20"/>
                <w:color w:val="auto"/>
              </w:rPr>
            </w:pPr>
            <w:r>
              <w:rPr>
                <w:rFonts w:ascii="Arial" w:cs="Arial" w:eastAsia="Arial" w:hAnsi="Arial"/>
                <w:sz w:val="14"/>
                <w:szCs w:val="14"/>
                <w:color w:val="auto"/>
              </w:rPr>
              <w:t>investments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Net income (loss)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(26,382)</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(26,382)</w:t>
            </w:r>
          </w:p>
        </w:tc>
        <w:tc>
          <w:tcPr>
            <w:tcW w:w="0" w:type="dxa"/>
            <w:vAlign w:val="bottom"/>
          </w:tcPr>
          <w:p>
            <w:pPr>
              <w:spacing w:after="0"/>
              <w:rPr>
                <w:sz w:val="1"/>
                <w:szCs w:val="1"/>
                <w:color w:val="auto"/>
              </w:rPr>
            </w:pPr>
          </w:p>
        </w:tc>
      </w:tr>
      <w:tr>
        <w:trPr>
          <w:trHeight w:val="156"/>
        </w:trPr>
        <w:tc>
          <w:tcPr>
            <w:tcW w:w="2340" w:type="dxa"/>
            <w:vAlign w:val="bottom"/>
          </w:tcPr>
          <w:p>
            <w:pPr>
              <w:spacing w:after="0" w:line="155" w:lineRule="exact"/>
              <w:rPr>
                <w:sz w:val="20"/>
                <w:szCs w:val="20"/>
                <w:color w:val="auto"/>
              </w:rPr>
            </w:pPr>
            <w:r>
              <w:rPr>
                <w:rFonts w:ascii="Arial" w:cs="Arial" w:eastAsia="Arial" w:hAnsi="Arial"/>
                <w:sz w:val="14"/>
                <w:szCs w:val="14"/>
                <w:color w:val="auto"/>
              </w:rPr>
              <w:t>Balance as of May 31, 2021</w:t>
            </w: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8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44,403,547</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552,459</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(154,355)</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398,178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Exercise of stock options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114,182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Vesting of early-exercised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ind w:left="340"/>
              <w:spacing w:after="0"/>
              <w:rPr>
                <w:sz w:val="20"/>
                <w:szCs w:val="20"/>
                <w:color w:val="auto"/>
              </w:rPr>
            </w:pPr>
            <w:r>
              <w:rPr>
                <w:rFonts w:ascii="Arial" w:cs="Arial" w:eastAsia="Arial" w:hAnsi="Arial"/>
                <w:sz w:val="14"/>
                <w:szCs w:val="14"/>
                <w:color w:val="auto"/>
              </w:rPr>
              <w:t>stock options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under employee</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stock purchase plan</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38,875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4,313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Unrealized gain (loss) on</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FF0FC"/>
          </w:tcPr>
          <w:p>
            <w:pPr>
              <w:ind w:left="340"/>
              <w:spacing w:after="0" w:line="149" w:lineRule="exact"/>
              <w:rPr>
                <w:sz w:val="20"/>
                <w:szCs w:val="20"/>
                <w:color w:val="auto"/>
              </w:rPr>
            </w:pPr>
            <w:r>
              <w:rPr>
                <w:rFonts w:ascii="Arial" w:cs="Arial" w:eastAsia="Arial" w:hAnsi="Arial"/>
                <w:sz w:val="14"/>
                <w:szCs w:val="14"/>
                <w:color w:val="auto"/>
              </w:rPr>
              <w:t>available-for-sale</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investments</w:t>
            </w:r>
          </w:p>
        </w:tc>
        <w:tc>
          <w:tcPr>
            <w:tcW w:w="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2"/>
        </w:trPr>
        <w:tc>
          <w:tcPr>
            <w:tcW w:w="2880" w:type="dxa"/>
            <w:vAlign w:val="bottom"/>
            <w:gridSpan w:val="2"/>
          </w:tcPr>
          <w:p>
            <w:pPr>
              <w:ind w:left="240"/>
              <w:spacing w:after="0"/>
              <w:rPr>
                <w:sz w:val="20"/>
                <w:szCs w:val="20"/>
                <w:color w:val="auto"/>
              </w:rPr>
            </w:pPr>
            <w:r>
              <w:rPr>
                <w:rFonts w:ascii="Arial" w:cs="Arial" w:eastAsia="Arial" w:hAnsi="Arial"/>
                <w:sz w:val="14"/>
                <w:szCs w:val="14"/>
                <w:color w:val="auto"/>
              </w:rPr>
              <w:t>Net income (loss)</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4"/>
                <w:szCs w:val="14"/>
                <w:color w:val="auto"/>
              </w:rPr>
              <w:t>(28,835)</w:t>
            </w:r>
          </w:p>
        </w:tc>
        <w:tc>
          <w:tcPr>
            <w:tcW w:w="1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(28,835)</w:t>
            </w:r>
          </w:p>
        </w:tc>
        <w:tc>
          <w:tcPr>
            <w:tcW w:w="0" w:type="dxa"/>
            <w:vAlign w:val="bottom"/>
          </w:tcPr>
          <w:p>
            <w:pPr>
              <w:spacing w:after="0"/>
              <w:rPr>
                <w:sz w:val="1"/>
                <w:szCs w:val="1"/>
                <w:color w:val="auto"/>
              </w:rPr>
            </w:pPr>
          </w:p>
        </w:tc>
      </w:tr>
      <w:tr>
        <w:trPr>
          <w:trHeight w:val="155"/>
        </w:trPr>
        <w:tc>
          <w:tcPr>
            <w:tcW w:w="23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August 31, 2021</w:t>
            </w:r>
          </w:p>
        </w:tc>
        <w:tc>
          <w:tcPr>
            <w:tcW w:w="54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44,556,604</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558,421</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(183,190</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375,217</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0" w:right="8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 August 31,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(79,492)</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(23,328)</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provided by operating activities:</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10,957</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ind w:left="240"/>
              <w:spacing w:after="0"/>
              <w:rPr>
                <w:sz w:val="20"/>
                <w:szCs w:val="20"/>
                <w:color w:val="auto"/>
              </w:rPr>
            </w:pPr>
            <w:r>
              <w:rPr>
                <w:rFonts w:ascii="Arial" w:cs="Arial" w:eastAsia="Arial" w:hAnsi="Arial"/>
                <w:sz w:val="16"/>
                <w:szCs w:val="16"/>
                <w:color w:val="auto"/>
              </w:rPr>
              <w:t>Net amortization (accretion) of premium (discount) on investments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Contract 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80" w:type="dxa"/>
            <w:vAlign w:val="bottom"/>
          </w:tcPr>
          <w:p>
            <w:pPr>
              <w:ind w:left="240"/>
              <w:spacing w:after="0"/>
              <w:rPr>
                <w:sz w:val="20"/>
                <w:szCs w:val="20"/>
                <w:color w:val="auto"/>
              </w:rPr>
            </w:pPr>
            <w:r>
              <w:rPr>
                <w:rFonts w:ascii="Arial" w:cs="Arial" w:eastAsia="Arial" w:hAnsi="Arial"/>
                <w:sz w:val="16"/>
                <w:szCs w:val="16"/>
                <w:color w:val="auto"/>
              </w:rPr>
              <w:t>Income tax receivable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(6,040)</w:t>
            </w: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13"/>
        </w:trPr>
        <w:tc>
          <w:tcPr>
            <w:tcW w:w="60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8,147</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Accrued and other liabilities</w:t>
            </w: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(used in) provided by operating activities</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(53,454)</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Purchases of investments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(257,813)</w:t>
            </w: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(141,067)</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Sales of investments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6,994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Maturities of investments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183,890</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(4,799)</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(71,728)</w:t>
            </w: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(129,841)</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net of offering costs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150,157</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Proceeds from issuance of redeemable convertible preferred stock,</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120"/>
              <w:spacing w:after="0"/>
              <w:rPr>
                <w:sz w:val="20"/>
                <w:szCs w:val="20"/>
                <w:color w:val="auto"/>
              </w:rPr>
            </w:pPr>
            <w:r>
              <w:rPr>
                <w:rFonts w:ascii="Arial" w:cs="Arial" w:eastAsia="Arial" w:hAnsi="Arial"/>
                <w:sz w:val="16"/>
                <w:szCs w:val="16"/>
                <w:color w:val="auto"/>
              </w:rPr>
              <w:t>net of offering costs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Repurchase of unvested early exercised stock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under employee stock purchase plan</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08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82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153,382</w:t>
            </w:r>
          </w:p>
        </w:tc>
        <w:tc>
          <w:tcPr>
            <w:tcW w:w="26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340,150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28,200</w:t>
            </w: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119,526</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147,726</w:t>
            </w: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Additions to property and equipment included in accounts payable</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accrued liabilities</w:t>
            </w: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Vesting of early exercised stock options</w:t>
            </w:r>
          </w:p>
        </w:tc>
        <w:tc>
          <w:tcPr>
            <w:tcW w:w="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Offering costs included in accounts payable and accrued liabilities</w:t>
            </w: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shd w:val="clear" w:color="auto" w:fill="CFF0FC"/>
          </w:tcPr>
          <w:p>
            <w:pPr>
              <w:spacing w:after="0"/>
              <w:rPr>
                <w:sz w:val="17"/>
                <w:szCs w:val="17"/>
                <w:color w:val="auto"/>
              </w:rPr>
            </w:pP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Conversion of redeemable convertible preferred stock into common stock</w:t>
            </w:r>
          </w:p>
        </w:tc>
        <w:tc>
          <w:tcPr>
            <w:tcW w:w="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120"/>
              <w:spacing w:after="0"/>
              <w:rPr>
                <w:sz w:val="20"/>
                <w:szCs w:val="20"/>
                <w:color w:val="auto"/>
              </w:rPr>
            </w:pPr>
            <w:r>
              <w:rPr>
                <w:rFonts w:ascii="Arial" w:cs="Arial" w:eastAsia="Arial" w:hAnsi="Arial"/>
                <w:sz w:val="16"/>
                <w:szCs w:val="16"/>
                <w:color w:val="auto"/>
              </w:rPr>
              <w:t>upon closing of initial public offering</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6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As of August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as shown</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Arial" w:cs="Arial" w:eastAsia="Arial" w:hAnsi="Arial"/>
                <w:sz w:val="18"/>
                <w:szCs w:val="18"/>
                <w:b w:val="1"/>
                <w:bCs w:val="1"/>
                <w:color w:val="auto"/>
              </w:rPr>
              <w:t>in the statements of cash flows: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147,440</w:t>
            </w:r>
          </w:p>
        </w:tc>
        <w:tc>
          <w:tcPr>
            <w:tcW w:w="26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147,726</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265,697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small molecule therapies designed to modulate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6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wholly owns a subsidiary, DeCART Therapeutics Inc. (DeCART), which was incorporated in the state of Delaware on June 22, 2020 and which holds a license to three of the Company’s compounds, including NX-0255, for drug-enhanced isolation of T cells exclusively with respect to three CAR-T therapy targets.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360" w:firstLine="510"/>
        <w:spacing w:after="0" w:line="286" w:lineRule="auto"/>
        <w:rPr>
          <w:sz w:val="20"/>
          <w:szCs w:val="20"/>
          <w:color w:val="auto"/>
        </w:rPr>
      </w:pPr>
      <w:r>
        <w:rPr>
          <w:rFonts w:ascii="Arial" w:cs="Arial" w:eastAsia="Arial" w:hAnsi="Arial"/>
          <w:sz w:val="17"/>
          <w:szCs w:val="17"/>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In August 2021, the Company filed a shelf registration statement on Form S-3 with the SEC. This shelf registration statement, which includes a base prospectus, allows the Company at any time to offer and sell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53"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As of August 31, 2021, the Company has not sold any shares of common stock pursuant to the Equity Distribution Agreement and $150.0 million in shares remained available under the Equity Distribution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nine months ended August 31, 2021, the Company incurred a net loss of $79.5 million and had negative net cash flows from operating activities of $53.5 million. The Company had an accumulated deficit of $183.2 million as of August 31, 2021 and will require substantial additional capital for research and development activities. The Company anticipates incurring additional losses until such time, if ever, that it can generate</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0" w:name="page11"/>
    <w:bookmarkEnd w:id="10"/>
    <w:p>
      <w:pPr>
        <w:ind w:right="500"/>
        <w:spacing w:after="0" w:line="277" w:lineRule="auto"/>
        <w:rPr>
          <w:sz w:val="20"/>
          <w:szCs w:val="20"/>
          <w:color w:val="auto"/>
        </w:rPr>
      </w:pPr>
      <w:r>
        <w:rPr>
          <w:rFonts w:ascii="Arial" w:cs="Arial" w:eastAsia="Arial" w:hAnsi="Arial"/>
          <w:sz w:val="18"/>
          <w:szCs w:val="18"/>
          <w:color w:val="auto"/>
        </w:rPr>
        <w:t>significant sales of its drug candidates currently in development. As of August 31, 2021, the Company had cash, cash equivalents and investments of $465.4 million.</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Company’s condensed consolidated financial statements have been prepared in accordance with U.S. generally accepted accounting principles (U.S. GAAP) and applicable rules and regulations of the Securities and Exchange Commission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2021. The condensed consolidated balance sheet as of November 30, 2020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2020, as filed with the SEC. These interim results are not necessarily indicative of results to be expected for the full fiscal year or any future interim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Nurix Therapeutics, Inc. and its wholly owned subsidiaries, including DeCART.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differ materially from those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and nine months ended August 31, 2021; however, actual results could differ from those estimates and there may be changes to management’s estimates in future periods.</w:t>
      </w:r>
    </w:p>
    <w:p>
      <w:pPr>
        <w:spacing w:after="0" w:line="8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76"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76"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0"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i w:val="1"/>
          <w:iCs w:val="1"/>
          <w:color w:val="auto"/>
        </w:rPr>
        <w:t>Research and collaboration licenses</w:t>
      </w:r>
      <w:r>
        <w:rPr>
          <w:rFonts w:ascii="Arial" w:cs="Arial" w:eastAsia="Arial" w:hAnsi="Arial"/>
          <w:sz w:val="18"/>
          <w:szCs w:val="18"/>
          <w:color w:val="auto"/>
        </w:rPr>
        <w:t>: If a license is determined to be distinct from the other promises identified in the arrangement,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consideration amounts. If it is probable that a significant revenue reversal would not occur, the associated milestone amount is included in the transaction price.</w:t>
      </w:r>
    </w:p>
    <w:p>
      <w:pPr>
        <w:spacing w:after="0" w:line="62"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i w:val="1"/>
          <w:iCs w:val="1"/>
          <w:color w:val="auto"/>
        </w:rPr>
        <w:t>Customer options</w:t>
      </w:r>
      <w:r>
        <w:rPr>
          <w:rFonts w:ascii="Arial" w:cs="Arial" w:eastAsia="Arial" w:hAnsi="Arial"/>
          <w:sz w:val="17"/>
          <w:szCs w:val="17"/>
          <w:color w:val="auto"/>
        </w:rPr>
        <w:t>: Customer options, such as options granted to allow a licensee to extend a license or research term, to select additional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73"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8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 and revenue is recognized prospectively. 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 revenue (either as an increase in or a reduction of revenue) at the date of the contract modification (the adjustment to revenue is made on a cumulative catch-up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As of August 31, 2021, the Company is an “emerging growth company” (EGC), as defined in the Jumpstart Our Business Startups Act of 2012, as amended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public company effective dates.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on fair value measurements by removing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The Company adopted ASU 2018-13 as of December 1, 2020. The adoption did not have a material impact on the Company’s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680" w:firstLine="510"/>
        <w:spacing w:after="0" w:line="30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w:t>
      </w:r>
      <w:r>
        <w:rPr>
          <w:rFonts w:ascii="Arial" w:cs="Arial" w:eastAsia="Arial" w:hAnsi="Arial"/>
          <w:sz w:val="17"/>
          <w:szCs w:val="17"/>
          <w:i w:val="1"/>
          <w:iCs w:val="1"/>
          <w:color w:val="auto"/>
        </w:rPr>
        <w:t>,</w:t>
      </w:r>
      <w:r>
        <w:rPr>
          <w:rFonts w:ascii="Arial" w:cs="Arial" w:eastAsia="Arial" w:hAnsi="Arial"/>
          <w:sz w:val="17"/>
          <w:szCs w:val="17"/>
          <w:color w:val="auto"/>
        </w:rPr>
        <w:t xml:space="preserve"> which for operating leases requires the lessee to recognize a right-of-use asset and a lease liability, initially measured at the present value of lease payments, in its balance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40"/>
        <w:spacing w:after="0" w:line="287" w:lineRule="auto"/>
        <w:rPr>
          <w:sz w:val="20"/>
          <w:szCs w:val="20"/>
          <w:color w:val="auto"/>
        </w:rPr>
      </w:pPr>
      <w:r>
        <w:rPr>
          <w:rFonts w:ascii="Arial" w:cs="Arial" w:eastAsia="Arial" w:hAnsi="Arial"/>
          <w:sz w:val="16"/>
          <w:szCs w:val="16"/>
          <w:color w:val="auto"/>
        </w:rPr>
        <w:t>sheet. For EGCs, ASU 2016-02 is effective for annual periods beginning after December 15, 2021 and interim periods within annual periods beginning after December 15, 2022. For public business entities, ASU 2016-02 is effective for annual periods beginning after December 15, 2018 and interim periods within those fiscal years. As of November 30, 2021, the Company will no longer be considered an EGC and will be required to adopt ASU 2016-02 at the beginning of the fiscal year that EGC status is lost. As such, the Company will adopt ASU 2016-02 effective December 1, 2020 using the alternative modified transition method, which applies ASU 2016-02 as of the effective date and therefore, the Company will not be required to apply the standard to the comparative periods presented in the Company's consolidated financial statements. The Company is in the process of evaluating the impact of this new guidance on its financial statements; however, the Company expects to recognize a right-of-use asset and a lease liability on the Company’s consolidated balance sheet, which will materially increase the Company’s assets and liabilities. The Company does not expect the adoption to have a material impact on the consolidated statement of operations. The Company plans to elect the “package of practical expedients,” which permits the Company to not reassess its prior conclusions about lease identification, lease classification and initial direct costs. The Company also plans to elect the hindsight practical expedient to determine the lease term and the practical expedient to not separate lease and non-lease components.</w:t>
      </w:r>
    </w:p>
    <w:p>
      <w:pPr>
        <w:spacing w:after="0" w:line="6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For EGCs, ASU 2016-13 is effective for annual periods beginning after December 15, 2022 and interim periods within those fiscal years. For public business entities, ASU 2016-13 is effective for annual periods beginning after December 15, 2019 and interim periods within those fiscal years. As of November 30, 2021, the Company will no longer be considered an EGC and will be required to adopt ASU 2016-13 at the beginning of the fiscal year that EGC status is lost. As such, the Company will adopt ASU 2016-13 effective December 1, 2020. The Company does not expect the adoption to have a material impact on its financial statements.</w:t>
      </w:r>
    </w:p>
    <w:p>
      <w:pPr>
        <w:spacing w:after="0" w:line="6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(ASU 2018-18). ASU 2018-18 clarifies that certain transactions between collaborative arrangement participants should be accounted for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collaborative arrangement participant is a customer in the context of a unit of account and precludes recognizing as revenue consideration received from a collaborative arrangement participant if the participant is not a customer. For EGCs, ASU 2018-18 is effective for annual periods beginning after December 15, 2020, and interim periods within annual periods beginning after December 15, 2021. For public business entities, ASU 2018-18 is effective for annual periods beginning after December 15, 2019 and interim periods within those fiscal years. As of November 30, 2021, the Company will no longer be considered an EGC and will be required to adopt ASU 2018-18 at the beginning of the fiscal year that EGC status is lost. As such, the Company will adopt ASU 2018-18 effective December 1, 2020. ASU 2018-18 requires retrospective adoption to the date the Company adopted Topic 606 by recognizing a cumulative-effect adjustment to the opening balance of retained earnings of the earliest annual period presented. Early adoption is permitted, but no earlier than an entity’s adoption date of Topic 606. The Company does not expect the adoption to have a material impact on its financial statements.</w:t>
      </w:r>
    </w:p>
    <w:p>
      <w:pPr>
        <w:spacing w:after="0" w:line="7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xml:space="preserve"> (ASU 2019-12), which is intended to simplify accounting for income taxes. It removes certain exceptions to the general principles in Topic 740 and amends existing guidance to improve consistent application. For EGCs, ASU 2019-12 is effective for annual periods beginning after December 15, 2021, and interim periods within annual periods beginning after December 15, 2022. For public business entities, ASU 2019-12 is effective for annual periods beginning after December 15, 2020 and interim periods within those fiscal years. Early adoption is permitted. The Company is in the process of evaluating the impact of this new guidance on its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w:t>
      </w:r>
    </w:p>
    <w:p>
      <w:pPr>
        <w:spacing w:after="0" w:line="117"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80" w:firstLine="510"/>
        <w:spacing w:after="0" w:line="293"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56"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70"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color w:val="auto"/>
        </w:rPr>
        <w:t>Upon signing the Gilead Agreement, Gilead paid the Company an upfront payment of $45.0 million plus $3.0 million in additional fees. Since the signing of the Gilead Agreement, the Company has received payments of $13.5 million for research milestones and additional payments, including $2.5 million, which was received in the third quarter of 2021. Additionally, in August 2021, the Company recognized a research milestone, resulting in a $5.0 million additional due payment, which will be received in the fourth quarter of 2021. As of August 31, 2021, the Company is eligible to receive up to approximately $2.3 billion in total additional payments, including up to $683.5 million upon the achievement of specified development milestones, up to $1.5 billion upon the achievement of specified sales milestones, subject to reduction for any product for which the Company exercises its option to co-develop and co-promote, and up to $136.8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5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58"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40" w:firstLine="510"/>
        <w:spacing w:after="0" w:line="269" w:lineRule="auto"/>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August 31, 2021.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Subsequently, upon the achievement of research milestones and target reservations, $18.5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7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The cumulative effect of revisions to estimated costs to complete the Company’s performance obligation will be recorded in the period in which changes are identified and amounts can be reasonably estimated. These actual costs consist primarily of internal employee and third-party contract costs related to the Gilead Agreement.</w:t>
      </w:r>
    </w:p>
    <w:p>
      <w:pPr>
        <w:spacing w:after="0" w:line="8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For the three and nine months ended August 31, 2021, the Company recognized collaboration revenue related to the Gilead Agreement of $6.1 million and $12.5 million, respectively, of which $4.0 million and $9.6 million, respectively, were included in deferred revenue as of November 30, 2020, and $1.2 million and $1.9 million, respectively, were related to activities satisfied in previous periods. For the three and nine months ended August 31, 2020, the Company recognized revenue related to the Gilead Agreement of $2.1 million and $6.9 million, respectively. As of August 31, 2021, $39.1 million was recorded as deferred revenue, of which $15.4 million was current, on the condensed consolidated balance sheet related to the Gilead Agreement.</w:t>
      </w:r>
    </w:p>
    <w:p>
      <w:pPr>
        <w:spacing w:after="0" w:line="84"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August 31, 2021, the Company recognized contract assets of $5.0 million on the consolidated balance sheet related to the Gilead Agreement. The contract assets represent unbilled revenue related to the research milestones recognized in August 2021. The Company invoiced Gilead in September 2021 and expects to receive the payment in the fourth quarter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17" w:lineRule="exact"/>
        <w:rPr>
          <w:sz w:val="20"/>
          <w:szCs w:val="20"/>
          <w:color w:val="auto"/>
        </w:rPr>
      </w:pPr>
    </w:p>
    <w:p>
      <w:pPr>
        <w:ind w:right="60" w:firstLine="514"/>
        <w:spacing w:after="0" w:line="291" w:lineRule="auto"/>
        <w:rPr>
          <w:sz w:val="20"/>
          <w:szCs w:val="20"/>
          <w:color w:val="auto"/>
        </w:rPr>
      </w:pPr>
      <w:r>
        <w:rPr>
          <w:rFonts w:ascii="Arial" w:cs="Arial" w:eastAsia="Arial" w:hAnsi="Arial"/>
          <w:sz w:val="16"/>
          <w:szCs w:val="16"/>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The Company and Sanofi also entered into a first amendment to the collaboration agreement in January 2021 to modify the research term on all targets (the First Sanofi Amendment). Over time and subject to certain limitations, Sanofi may elect to replace the drug targets with other reserved targets.</w:t>
      </w:r>
    </w:p>
    <w:p>
      <w:pPr>
        <w:spacing w:after="0" w:line="58" w:lineRule="exact"/>
        <w:rPr>
          <w:sz w:val="20"/>
          <w:szCs w:val="20"/>
          <w:color w:val="auto"/>
        </w:rPr>
      </w:pPr>
    </w:p>
    <w:p>
      <w:pPr>
        <w:ind w:right="20" w:firstLine="514"/>
        <w:spacing w:after="0" w:line="291" w:lineRule="auto"/>
        <w:rPr>
          <w:sz w:val="20"/>
          <w:szCs w:val="20"/>
          <w:color w:val="auto"/>
        </w:rPr>
      </w:pPr>
      <w:r>
        <w:rPr>
          <w:rFonts w:ascii="Arial" w:cs="Arial" w:eastAsia="Arial" w:hAnsi="Arial"/>
          <w:sz w:val="16"/>
          <w:szCs w:val="16"/>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as part of their recent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58" w:lineRule="exact"/>
        <w:rPr>
          <w:sz w:val="20"/>
          <w:szCs w:val="20"/>
          <w:color w:val="auto"/>
        </w:rPr>
      </w:pPr>
    </w:p>
    <w:p>
      <w:pPr>
        <w:ind w:right="20" w:firstLine="514"/>
        <w:spacing w:after="0" w:line="271" w:lineRule="auto"/>
        <w:rPr>
          <w:sz w:val="20"/>
          <w:szCs w:val="20"/>
          <w:color w:val="auto"/>
        </w:rPr>
      </w:pPr>
      <w:r>
        <w:rPr>
          <w:rFonts w:ascii="Arial" w:cs="Arial" w:eastAsia="Arial" w:hAnsi="Arial"/>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70" w:lineRule="exact"/>
        <w:rPr>
          <w:sz w:val="20"/>
          <w:szCs w:val="20"/>
          <w:color w:val="auto"/>
        </w:rPr>
      </w:pPr>
    </w:p>
    <w:p>
      <w:pPr>
        <w:ind w:firstLine="514"/>
        <w:spacing w:after="0" w:line="292" w:lineRule="auto"/>
        <w:rPr>
          <w:sz w:val="20"/>
          <w:szCs w:val="20"/>
          <w:color w:val="auto"/>
        </w:rPr>
      </w:pPr>
      <w:r>
        <w:rPr>
          <w:rFonts w:ascii="Arial" w:cs="Arial" w:eastAsia="Arial" w:hAnsi="Arial"/>
          <w:sz w:val="16"/>
          <w:szCs w:val="16"/>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Since the signing of the Sanofi Agreement, the Company has received a payment of $1.0 million for research milestones, all of which was received in the third quarter of 2021. As of August 31, 2021, the Company is eligible to receive up to approximately $2.5 billion in total payments, including payments of up to $499.0 million upon the achievement of specified development milestones, up to $625.0 million upon the achievement of specified regulatory milestones and up to $1.3 billion upon the achievement of certain sales milestones, as well as up to $141.1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6" w:name="page17"/>
    <w:bookmarkEnd w:id="16"/>
    <w:p>
      <w:pPr>
        <w:ind w:right="20" w:firstLine="510"/>
        <w:spacing w:after="0" w:line="254" w:lineRule="auto"/>
        <w:rPr>
          <w:sz w:val="20"/>
          <w:szCs w:val="20"/>
          <w:color w:val="auto"/>
        </w:rPr>
      </w:pPr>
      <w:r>
        <w:rPr>
          <w:rFonts w:ascii="Arial" w:cs="Arial" w:eastAsia="Arial" w:hAnsi="Arial"/>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8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Certain milestone and additional fees were considered variable consideration, which were not included in the transaction price based on the most likely amount method as of August 31, 2021.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that was included as part of applying the practical alternative, which was subsequently exercised by Sanofi. Subsequently, upon the achievement of research milestones, $1.0 million in variable consideration was added to the transaction price, and a cumulative effect was recorded as revenue in the period the transaction price increased. Revenue is recognized over the research term of 4.25 years, the revised research period that was agreed to in January 2021, using the cost-based input method, which the Company determined most faithfully depicts the transfer of its performance obligations to Sanofi,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 These actual costs consist primarily of internal employee and third party contract costs related to the Sanofi Agreement.</w:t>
      </w:r>
    </w:p>
    <w:p>
      <w:pPr>
        <w:spacing w:after="0" w:line="8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6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For the three and nine months ended August 31, 2021, the Company recognized collaboration revenue related to the Sanofi Agreement of $4.2 million and $9.8 million, respectively, of which $4.0 million and $9.6 million, respectively, was included in deferred revenue as of November 30, 2020. For the three and nine months ended August 31, 2020, the Company recognized revenue related to the Sanofi Agreement of $2.0 million and $4.2 million, respectively. As of August 31, 2021, $62.5 million was recorded as deferred revenue, of which $19.9 million was current, on the condensed consolidated balance sheet related to the Sanofi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4. Condensed Consolidated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4"/>
                <w:szCs w:val="14"/>
                <w:color w:val="auto"/>
              </w:rPr>
            </w:pPr>
          </w:p>
        </w:tc>
      </w:tr>
      <w:tr>
        <w:trPr>
          <w:trHeight w:val="223"/>
        </w:trPr>
        <w:tc>
          <w:tcPr>
            <w:tcW w:w="4580" w:type="dxa"/>
            <w:vAlign w:val="bottom"/>
          </w:tcPr>
          <w:p>
            <w:pPr>
              <w:spacing w:after="0"/>
              <w:rPr>
                <w:sz w:val="19"/>
                <w:szCs w:val="19"/>
                <w:color w:val="auto"/>
              </w:rPr>
            </w:pPr>
          </w:p>
        </w:tc>
        <w:tc>
          <w:tcPr>
            <w:tcW w:w="242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7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w:t>
            </w: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Software in progress</w:t>
            </w:r>
          </w:p>
        </w:tc>
        <w:tc>
          <w:tcPr>
            <w:tcW w:w="102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10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19,855</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(14,123)</w:t>
            </w:r>
          </w:p>
        </w:tc>
        <w:tc>
          <w:tcPr>
            <w:tcW w:w="3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(13,183)</w:t>
            </w: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Depreciation and amortization expense was $0.7 million and $0.6 million for the three months ended August 31, 2021 and 2020, respectively, and $2.0 million and $1.5 million for the nine months ended August 31, 2021 and 2020, respectively. All long-lived assets are maintained in the United States.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August 31,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4"/>
                <w:szCs w:val="14"/>
                <w:color w:val="auto"/>
              </w:rPr>
            </w:pPr>
          </w:p>
        </w:tc>
      </w:tr>
      <w:tr>
        <w:trPr>
          <w:trHeight w:val="223"/>
        </w:trPr>
        <w:tc>
          <w:tcPr>
            <w:tcW w:w="4340" w:type="dxa"/>
            <w:vAlign w:val="bottom"/>
          </w:tcPr>
          <w:p>
            <w:pPr>
              <w:spacing w:after="0"/>
              <w:rPr>
                <w:sz w:val="19"/>
                <w:szCs w:val="19"/>
                <w:color w:val="auto"/>
              </w:rPr>
            </w:pPr>
          </w:p>
        </w:tc>
        <w:tc>
          <w:tcPr>
            <w:tcW w:w="270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Accrued contract research and lab supplies</w:t>
            </w: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Accrued taxes</w:t>
            </w: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440" w:type="dxa"/>
            <w:vAlign w:val="bottom"/>
            <w:tcBorders>
              <w:bottom w:val="single" w:sz="8" w:color="auto"/>
            </w:tcBorders>
          </w:tcPr>
          <w:p>
            <w:pPr>
              <w:jc w:val="right"/>
              <w:ind w:right="12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0"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Level 1—Inputs that reflect unadjusted quoted prices in active markets for identical assets or liabilities that the Company has the ability to access at the measurement date;</w:t>
      </w:r>
    </w:p>
    <w:p>
      <w:pPr>
        <w:spacing w:after="0" w:line="62"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3—Inputs that are unobservable.</w:t>
      </w:r>
    </w:p>
    <w:p>
      <w:pPr>
        <w:spacing w:after="0" w:line="11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8" w:name="page19"/>
    <w:bookmarkEnd w:id="18"/>
    <w:p>
      <w:pPr>
        <w:ind w:right="360" w:firstLine="510"/>
        <w:spacing w:after="0" w:line="308" w:lineRule="auto"/>
        <w:rPr>
          <w:sz w:val="20"/>
          <w:szCs w:val="20"/>
          <w:color w:val="auto"/>
        </w:rPr>
      </w:pPr>
      <w:r>
        <w:rPr>
          <w:rFonts w:ascii="Arial" w:cs="Arial" w:eastAsia="Arial" w:hAnsi="Arial"/>
          <w:sz w:val="17"/>
          <w:szCs w:val="17"/>
          <w:color w:val="auto"/>
        </w:rPr>
        <w:t>The following tables presents the Company’s financial assets, which consist of cash equivalents and investments classified as available-for-sale investments, that are measured at fair value on a recurring basis as of August 31, 2021 and November 30, 2020 (in thousands):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August 31, 2021</w:t>
            </w:r>
          </w:p>
        </w:tc>
        <w:tc>
          <w:tcPr>
            <w:tcW w:w="11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5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143,361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commercial paper</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ind w:left="240"/>
              <w:spacing w:after="0"/>
              <w:rPr>
                <w:sz w:val="20"/>
                <w:szCs w:val="20"/>
                <w:color w:val="auto"/>
              </w:rPr>
            </w:pPr>
            <w:r>
              <w:rPr>
                <w:rFonts w:ascii="Arial" w:cs="Arial" w:eastAsia="Arial" w:hAnsi="Arial"/>
                <w:sz w:val="18"/>
                <w:szCs w:val="18"/>
                <w:color w:val="auto"/>
              </w:rPr>
              <w:t>Included in cash and cash equivalents</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143,361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short-term investments</w:t>
            </w:r>
          </w:p>
        </w:tc>
        <w:tc>
          <w:tcPr>
            <w:tcW w:w="1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Included in long-term investments</w:t>
            </w:r>
          </w:p>
        </w:tc>
        <w:tc>
          <w:tcPr>
            <w:tcW w:w="11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121,480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2020</w:t>
            </w:r>
          </w:p>
        </w:tc>
        <w:tc>
          <w:tcPr>
            <w:tcW w:w="11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5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commercial paper</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ind w:left="240"/>
              <w:spacing w:after="0"/>
              <w:rPr>
                <w:sz w:val="20"/>
                <w:szCs w:val="20"/>
                <w:color w:val="auto"/>
              </w:rPr>
            </w:pPr>
            <w:r>
              <w:rPr>
                <w:rFonts w:ascii="Arial" w:cs="Arial" w:eastAsia="Arial" w:hAnsi="Arial"/>
                <w:sz w:val="18"/>
                <w:szCs w:val="18"/>
                <w:color w:val="auto"/>
              </w:rPr>
              <w:t>Included in cash and cash equivalents</w:t>
            </w: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short-term investments</w:t>
            </w:r>
          </w:p>
        </w:tc>
        <w:tc>
          <w:tcPr>
            <w:tcW w:w="1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Included in long-term investments</w:t>
            </w:r>
          </w:p>
        </w:tc>
        <w:tc>
          <w:tcPr>
            <w:tcW w:w="11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90,849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90,890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of August 31, 2021 and November 30, 2020, none of the Company’s available-for-sale investments that were in an unrealized loss position had been in an unrealized loss position for more than 12 months. During the three and nine months ended August 31, 2021 and 2020, the Company did not recognize any other-than-temporary impairment losses.</w:t>
      </w:r>
    </w:p>
    <w:p>
      <w:pPr>
        <w:spacing w:after="0" w:line="76"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Company’s short-term investments have maturities of less than one year from the respective condensed consolidated balance sheet dates. The Company’s long-term investments have maturities of between one and two years from the respective condensed consolidated balance sheet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jc w:val="both"/>
        <w:ind w:right="60" w:firstLine="510"/>
        <w:spacing w:after="0" w:line="259" w:lineRule="auto"/>
        <w:rPr>
          <w:sz w:val="20"/>
          <w:szCs w:val="20"/>
          <w:color w:val="auto"/>
        </w:rPr>
      </w:pPr>
      <w:r>
        <w:rPr>
          <w:rFonts w:ascii="Arial" w:cs="Arial" w:eastAsia="Arial" w:hAnsi="Arial"/>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2021, the Company had no outstanding, pending or threatened litigation.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5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 second amendment to its original lease agreement that combined the Company’s two leases into a single lease agreement and extended the term of the lease agreement through April 30, 2025. In March 2021, the Company entered into a third amendment to its original lease agreement to add additional office space in the same building. The Company is required to pay base rent plus the tenant’s proportionate share of operating expenses as defined in the lease agreement. Under the terms of the lease agreement, the Company paid the landlord security deposits totaling $91 thousand and issued a letter of credit to the landlord in the amount of $70 thousand, which is collateralized by a restricted deposit of $70 thousand. In June 2020, the Company entered into a new lease agreement for additional space in the same building as the Company’s existing office for a 14-month term ending on July 31, 2021.</w:t>
      </w:r>
    </w:p>
    <w:p>
      <w:pPr>
        <w:spacing w:after="0" w:line="58"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July 2021, the Company entered into a lease agreement for the lease of approximately 19,320 square feet of office space located at 455 Mission Bay Boulevard South, San Francisco, California, for a research and development laboratory and related uses. The commencement date of the lease is expected to be on or about December 1, 2021 and the lease will expire on June 30, 2024, unless terminated earlier. The minimum rent payable by the Company under the lease will be approximately $0.1 million per month, beginning on December 1, 2021, which amount will increase by 3% per year over the term, for total minimum rent payments of $3.8 million over the lease term. The Company will also be responsible for the payment of additional rent to cover the Company’s share of the annual operating and tax expenses and utilities costs for the building. Under the terms of the lease agreement, the Company paid the landlord security deposits totaling $0.1 million and issued a letter of credit to the landlord in the amount of $0.1 million, which is collateralized by a restricted deposit of $0.1 million.</w:t>
      </w:r>
    </w:p>
    <w:p>
      <w:pPr>
        <w:spacing w:after="0" w:line="70"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Rent expense was $0.9 million and $0.8 million for the three months ended August 31, 2021 and 2020, respectively, and $2.6 million and $2.2 million for the nine months ended August 31, 2021 and 2020,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Company’s lease agreements as of August 31, 2021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Year ending November 30,</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b w:val="1"/>
                <w:bCs w:val="1"/>
                <w:color w:val="auto"/>
              </w:rPr>
              <w:t>Operating Leases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3 months)</w:t>
            </w:r>
          </w:p>
        </w:tc>
        <w:tc>
          <w:tcPr>
            <w:tcW w:w="3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40" w:type="dxa"/>
            <w:vAlign w:val="bottom"/>
            <w:vMerge w:val="restart"/>
          </w:tcPr>
          <w:p>
            <w:pPr>
              <w:jc w:val="right"/>
              <w:ind w:right="183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The Company’s Certificate of Incorporation, as amended, authorizes the Company to issue up to 500,000,000 shares of $0.001 par value common stock. The holder of each share of common stock is entitled to one vote. As of August 31, 2021, no dividends have been declared.</w:t>
      </w:r>
    </w:p>
    <w:p>
      <w:pPr>
        <w:spacing w:after="0" w:line="3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Common stock reserved for future issuance, on an as-if converted basis, as of August 31, 2021 and November 30, 2020, consists of the following and has been adjusted for the 1-for-3 reverse stock split:</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880" w:type="dxa"/>
            <w:vAlign w:val="bottom"/>
            <w:gridSpan w:val="2"/>
          </w:tcPr>
          <w:p>
            <w:pPr>
              <w:ind w:left="480"/>
              <w:spacing w:after="0"/>
              <w:rPr>
                <w:sz w:val="20"/>
                <w:szCs w:val="20"/>
                <w:color w:val="auto"/>
              </w:rPr>
            </w:pPr>
            <w:r>
              <w:rPr>
                <w:rFonts w:ascii="Arial" w:cs="Arial" w:eastAsia="Arial" w:hAnsi="Arial"/>
                <w:sz w:val="14"/>
                <w:szCs w:val="14"/>
                <w:b w:val="1"/>
                <w:bCs w:val="1"/>
                <w:color w:val="auto"/>
              </w:rPr>
              <w:t>August 31,</w:t>
            </w: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November 30,</w:t>
            </w:r>
          </w:p>
        </w:tc>
      </w:tr>
      <w:tr>
        <w:trPr>
          <w:trHeight w:val="223"/>
        </w:trPr>
        <w:tc>
          <w:tcPr>
            <w:tcW w:w="6500" w:type="dxa"/>
            <w:vAlign w:val="bottom"/>
            <w:tcBorders>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Issuance of options under stock option plan</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5,593,412</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1600" w:type="dxa"/>
            <w:vAlign w:val="bottom"/>
          </w:tcPr>
          <w:p>
            <w:pPr>
              <w:jc w:val="right"/>
              <w:spacing w:after="0"/>
              <w:rPr>
                <w:sz w:val="20"/>
                <w:szCs w:val="20"/>
                <w:color w:val="auto"/>
              </w:rPr>
            </w:pPr>
            <w:r>
              <w:rPr>
                <w:rFonts w:ascii="Arial" w:cs="Arial" w:eastAsia="Arial" w:hAnsi="Arial"/>
                <w:sz w:val="18"/>
                <w:szCs w:val="18"/>
                <w:color w:val="auto"/>
              </w:rPr>
              <w:t>2,955,477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3,035,684</w:t>
            </w:r>
          </w:p>
        </w:tc>
        <w:tc>
          <w:tcPr>
            <w:tcW w:w="120" w:type="dxa"/>
            <w:vAlign w:val="bottom"/>
          </w:tcPr>
          <w:p>
            <w:pPr>
              <w:spacing w:after="0"/>
              <w:rPr>
                <w:sz w:val="19"/>
                <w:szCs w:val="19"/>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1,015,184</w:t>
            </w:r>
          </w:p>
        </w:tc>
        <w:tc>
          <w:tcPr>
            <w:tcW w:w="28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120" w:type="dxa"/>
            <w:vAlign w:val="bottom"/>
            <w:shd w:val="clear" w:color="auto" w:fill="CFF0FC"/>
          </w:tcPr>
          <w:p>
            <w:pPr>
              <w:spacing w:after="0"/>
              <w:rPr>
                <w:sz w:val="19"/>
                <w:szCs w:val="19"/>
                <w:color w:val="auto"/>
              </w:rPr>
            </w:pPr>
          </w:p>
        </w:tc>
      </w:tr>
      <w:tr>
        <w:trPr>
          <w:trHeight w:val="223"/>
        </w:trPr>
        <w:tc>
          <w:tcPr>
            <w:tcW w:w="6500" w:type="dxa"/>
            <w:vAlign w:val="bottom"/>
          </w:tcPr>
          <w:p>
            <w:pPr>
              <w:ind w:left="240"/>
              <w:spacing w:after="0"/>
              <w:rPr>
                <w:sz w:val="20"/>
                <w:szCs w:val="20"/>
                <w:color w:val="auto"/>
              </w:rPr>
            </w:pPr>
            <w:r>
              <w:rPr>
                <w:rFonts w:ascii="Arial" w:cs="Arial" w:eastAsia="Arial" w:hAnsi="Arial"/>
                <w:sz w:val="18"/>
                <w:szCs w:val="18"/>
                <w:color w:val="auto"/>
              </w:rPr>
              <w:t>Total common stock reserved for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9,564,073</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8,153,546</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July 2020, the Company’s board of directors approved, and the Company adopted the 2020 Equity Incentive Plan (the 2020 Plan). The 2020 Plan became effective on July 22, 2020. The 2020 Plan provides for the granting of stock options, stock appreciation rights (SARs), restricted stock awards (RSAs), restricted stock units (RSUs), performance awards and stock bonus awards to employees, directors, consultants, independent contractors and advisors of the Company. Under the 2020 Plan,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w:t>
      </w:r>
    </w:p>
    <w:p>
      <w:pPr>
        <w:spacing w:after="0" w:line="57"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Following the effectiveness of the 2020 Plan, the Company ceased making grants under the 2012 Equity Incentive Plan (the 2012 Plan). However, the 2012 Plan continues to govern the terms and conditions of the outstanding awards granted under it. Shares of common stock subject to awards granted under the 2012 Plan that cease to be subject to such awards by forfeiture or otherwise after the termination of the 2012 Plan will be available for issuance under the 2020 Plan.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August 31, 2021, there were 2,955,477 shares of common stock reserved for future issuance pursuant to the 2020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2012, the Company’s board of directors approved, and the Company adopted the 2012 Plan. The 2012 Plan provides for the granting of stock options, SARs, RSAs, and RSUs to employees, directors, consultants and advisors of the Company. Options granted under the 2012 Plan generally vest over four years. Options granted under the 2012 Plan may, but need not, be exercisable immediately, with any shares issued on exercise being subject to the Company’s right of repurchase.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August 31, 2021, there were no shares of common stock reserved for issuance pursuant to the 2012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bookmarkStart w:id="21" w:name="page22"/>
    <w:bookmarkEnd w:id="21"/>
    <w:p>
      <w:pPr>
        <w:ind w:right="260" w:firstLine="510"/>
        <w:spacing w:after="0" w:line="277" w:lineRule="auto"/>
        <w:rPr>
          <w:sz w:val="20"/>
          <w:szCs w:val="20"/>
          <w:color w:val="auto"/>
        </w:rPr>
      </w:pPr>
      <w:r>
        <w:rPr>
          <w:rFonts w:ascii="Arial" w:cs="Arial" w:eastAsia="Arial" w:hAnsi="Arial"/>
          <w:sz w:val="18"/>
          <w:szCs w:val="18"/>
          <w:color w:val="auto"/>
        </w:rPr>
        <w:t>Activity under the 2020 Plan and 2012 Plan is set forth below and has been adjusted for the 1-for-3 reverse stock split (in thousands, except share and per share data):</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price</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November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1,825,917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(414,239)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Options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(206,128)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August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5,593,412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as of August 31,</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5,619,587</w:t>
            </w: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18.05</w:t>
            </w:r>
          </w:p>
        </w:tc>
        <w:tc>
          <w:tcPr>
            <w:tcW w:w="220" w:type="dxa"/>
            <w:vAlign w:val="bottom"/>
            <w:tcBorders>
              <w:bottom w:val="single" w:sz="8" w:color="CFF0FC"/>
            </w:tcBorders>
          </w:tcPr>
          <w:p>
            <w:pPr>
              <w:spacing w:after="0"/>
              <w:rPr>
                <w:sz w:val="23"/>
                <w:szCs w:val="23"/>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August 31, 2021</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2,836,837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20" w:hanging="492"/>
        <w:spacing w:after="0" w:line="198"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The aggregate intrinsic values were calculated as the pre-tax difference between the exercise price of stock options and the quoted market price of the Company’s common stock on August 31, 2021 for all in-the-money stock options.</w:t>
      </w:r>
    </w:p>
    <w:p>
      <w:pPr>
        <w:spacing w:after="0" w:line="94" w:lineRule="exact"/>
        <w:rPr>
          <w:rFonts w:ascii="Arial" w:cs="Arial" w:eastAsia="Arial" w:hAnsi="Arial"/>
          <w:sz w:val="29"/>
          <w:szCs w:val="29"/>
          <w:color w:val="auto"/>
          <w:vertAlign w:val="superscript"/>
        </w:rPr>
      </w:pPr>
    </w:p>
    <w:p>
      <w:pPr>
        <w:ind w:left="500" w:hanging="492"/>
        <w:spacing w:after="0" w:line="229"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condensed consolidated balance sheets and reclassified into equity as the options vest. As of August 31, 2021, a total of 76,175 shares of common stock were subject to repurchase by the Company at the lower of (i) the fair market value of such shares on the date of repurchase, or (ii) the original exercise price of such shares. The corresponding exercise value of $0.4 million as of August 31, 2021 is recorded in share-based compensation liability.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July 2020, the Company’s board of directors adopted the 2020 Employee Stock Purchase Plan (the 2020 ESPP) that became effective upon the date of the IPO in order to enable eligible employees to purchase shares of common stock with accumulated payroll deductions. The 2020 ESPP is intended to qualify under Section 423 of the Internal Revenue Code, as amended. Under the 2020 ESPP, eligible employees are offered the option to purchase shares of common stock at a discount over a series of offering periods. Each offering period may consist of one or more purchase periods. The purchase price for shares of common stock purchased under the 2020 ESPP will be 85% of the lesser of the fair market value of the Company’s common stock on (i) the first trading day of the applicable offering period or (ii) the last trading day of each purchase period in the applicable offering period.</w:t>
      </w:r>
    </w:p>
    <w:p>
      <w:pPr>
        <w:spacing w:after="0" w:line="5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August 31, 2021, there were 1,015,184 shares of common stock reserved for issuance pursuant to the 2020 ESPP. The first offering period commenced as of July 23, 2020, the date on which the Company’s registration statement on Form S-1 relating to its IPO of common stock became effective and ended on February 15, 2021. The first purchase period was the same as the first offering period and the first purchase date was the last trading day of the purchase period, which was February 12,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following table sets forth stock-based compensation expense related to stock options and the 2020 ESPP that is included in the Company’s condensed consolidated statements of operations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Three Months Ended August 31,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9"/>
              </w:rPr>
              <w:t>Nine Months Ended August 31,</w:t>
            </w:r>
          </w:p>
        </w:tc>
        <w:tc>
          <w:tcPr>
            <w:tcW w:w="100" w:type="dxa"/>
            <w:vAlign w:val="bottom"/>
          </w:tcPr>
          <w:p>
            <w:pPr>
              <w:spacing w:after="0"/>
              <w:rPr>
                <w:sz w:val="14"/>
                <w:szCs w:val="14"/>
                <w:color w:val="auto"/>
              </w:rPr>
            </w:pPr>
          </w:p>
        </w:tc>
      </w:tr>
      <w:tr>
        <w:trPr>
          <w:trHeight w:val="223"/>
        </w:trPr>
        <w:tc>
          <w:tcPr>
            <w:tcW w:w="33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2,212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4,313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As of August 31, 2021, the total compensation cost related to stock-based awards not yet recognized was $54.9 million, which is expected to be amortized on a straight-line basis over the weighted-average remaining vesting period of approximately 3.2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Contribution Plan</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has made contributions to the 401(k) Plan and recorded contribution expense of $0.1 million during both the three months ended August 31, 2021 and 2020 and $0.5 million and $0.3 million during the nine months ended August 31, 2021 and 2020,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Income tax was a benefit of $0.1 million and an expense of $0.1 million for the three and nine months ended August 31, 2021, respectively. Income tax benefit was $0 and $20.6 million for the three and nine months ended August 31, 2020,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August 31, 2021 and November 30, 2020 due to the uncertainty of realizing future tax benefits from its net operating loss (NOL) carryforwards and other deferred tax assets.</w:t>
      </w:r>
    </w:p>
    <w:p>
      <w:pPr>
        <w:spacing w:after="0" w:line="87" w:lineRule="exact"/>
        <w:rPr>
          <w:sz w:val="20"/>
          <w:szCs w:val="20"/>
          <w:color w:val="auto"/>
        </w:rPr>
      </w:pPr>
    </w:p>
    <w:p>
      <w:pPr>
        <w:ind w:right="240" w:firstLine="510"/>
        <w:spacing w:after="0" w:line="300"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the COVID-19 pandemic. The CARES Act, among other things, allows NOLs incurred in taxable years 2018, 2019, and 2020 to be carried back to each of the five preceding taxable years to generate a refund of previously paid income taxes. The fiscal 2020 tax benefit was primarily due to the carryback of NOLs to prior taxable years as allowed under the CARES Act. In fiscal 2020, the Company filed refund claims of $19.6 million to carryback NOLs generated in fiscal years ended November 30, 2018 and 2019. These refund claims were approved by Congressional Joint Committee on Taxation during the three months ended August 31, 2021. As of August 31, 2021, the Company has received the full amount of these refund claims.</w:t>
      </w:r>
    </w:p>
    <w:p>
      <w:pPr>
        <w:spacing w:after="0" w:line="51"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In February 2018, the Internal Revenue Service (IRS) commenced an examination of the Company’s U.S. income tax returns for the tax years ending in 2016, 2017, 2018 and 2019. As of the August 31, 2021, the examination procedures are substantially complete and the Company expects the IRS exam to be formally closed in 2021. Additionally, in January 2019, the California Franchise Tax Board (FTB) initiated an examination of the Company’s California tax return for the years ending in 2015, 2016, 2017, and 2018. During the three months ended August 31, 2021, the FTB issued a proposed audit assessment related to revenue sourcing that would result in additional income tax expense and interest for a cash liability of approximately $0.6</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million. The Company does not agree with the FTB position and intends to challenge the assessment. Pursuant to a measurement analysis, the Company has not recorded an unrecognized tax benefit related to the FTB’s sourcing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right="20" w:firstLine="749"/>
        <w:spacing w:after="0" w:line="308"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August 31,</w:t>
            </w:r>
          </w:p>
        </w:tc>
        <w:tc>
          <w:tcPr>
            <w:tcW w:w="220" w:type="dxa"/>
            <w:vAlign w:val="bottom"/>
          </w:tcPr>
          <w:p>
            <w:pPr>
              <w:spacing w:after="0"/>
              <w:rPr>
                <w:sz w:val="14"/>
                <w:szCs w:val="14"/>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Nine Months Ended August 31,</w:t>
            </w:r>
          </w:p>
        </w:tc>
      </w:tr>
      <w:tr>
        <w:trPr>
          <w:trHeight w:val="223"/>
        </w:trPr>
        <w:tc>
          <w:tcPr>
            <w:tcW w:w="4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(28,835)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(18,517)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(79,492)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(23,328)</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420" w:type="dxa"/>
            <w:vAlign w:val="bottom"/>
          </w:tcPr>
          <w:p>
            <w:pPr>
              <w:ind w:left="120"/>
              <w:spacing w:after="0"/>
              <w:rPr>
                <w:sz w:val="20"/>
                <w:szCs w:val="20"/>
                <w:color w:val="auto"/>
              </w:rPr>
            </w:pPr>
            <w:r>
              <w:rPr>
                <w:rFonts w:ascii="Arial" w:cs="Arial" w:eastAsia="Arial" w:hAnsi="Arial"/>
                <w:sz w:val="18"/>
                <w:szCs w:val="18"/>
                <w:color w:val="auto"/>
              </w:rPr>
              <w:t>Weighted-average number of shares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outstanding, basic and diluted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44,374,389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16,937,934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42,344,420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8,052,905</w:t>
            </w:r>
          </w:p>
        </w:tc>
        <w:tc>
          <w:tcPr>
            <w:tcW w:w="100" w:type="dxa"/>
            <w:vAlign w:val="bottom"/>
          </w:tcPr>
          <w:p>
            <w:pPr>
              <w:spacing w:after="0"/>
              <w:rPr>
                <w:sz w:val="20"/>
                <w:szCs w:val="20"/>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Q3 2020 Revision of Net Loss per Share</w:t>
      </w:r>
    </w:p>
    <w:p>
      <w:pPr>
        <w:spacing w:after="0" w:line="102" w:lineRule="exact"/>
        <w:rPr>
          <w:rFonts w:ascii="Arial" w:cs="Arial" w:eastAsia="Arial" w:hAnsi="Arial"/>
          <w:sz w:val="18"/>
          <w:szCs w:val="18"/>
          <w:b w:val="1"/>
          <w:bCs w:val="1"/>
          <w:color w:val="auto"/>
        </w:rPr>
      </w:pPr>
    </w:p>
    <w:p>
      <w:pPr>
        <w:ind w:left="4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the fourth quarter of 2020, the Company identified an error in the computation and disclosure of the basic and diluted weighted-average number of shares outstanding and the basic and diluted net loss per share for the three and nine months ended August 31, 2020 included in its Quarterly Report on Form 10-Q for the period ended August 31, 2020. The error primarily resulted from the inclusion of the absolute number of shares converted from redeemable convertible preferred stock into common stock rather than the weighted-average number of shares converted from redeemable convertible preferred stock into common stock as a result of the closing of the IPO. The Company evaluated the materiality of the error in accordance with SEC Staff Accounting Bulletin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ASC 250, </w:t>
      </w:r>
      <w:r>
        <w:rPr>
          <w:rFonts w:ascii="Arial" w:cs="Arial" w:eastAsia="Arial" w:hAnsi="Arial"/>
          <w:sz w:val="16"/>
          <w:szCs w:val="16"/>
          <w:i w:val="1"/>
          <w:iCs w:val="1"/>
          <w:color w:val="auto"/>
        </w:rPr>
        <w:t>Accounting for Changes and Error Corrections</w:t>
      </w:r>
      <w:r>
        <w:rPr>
          <w:rFonts w:ascii="Arial" w:cs="Arial" w:eastAsia="Arial" w:hAnsi="Arial"/>
          <w:sz w:val="16"/>
          <w:szCs w:val="16"/>
          <w:color w:val="auto"/>
        </w:rPr>
        <w:t>, and concluded the error was not material to the previously issued condensed consolidated financial statements. However, the Company has revised its previously reported basic and diluted weighted-average number of shares outstanding and basic and diluted net loss per share, which decreased the weighted-average number of shares outstanding from 31,383,936 to 16,937,934 and increased the basic and diluted net loss per share from $0.59 to $1.09 for the three months ended August 31, 2020. It also decreased the weighted-average number of shares outstanding from 27,688,972 to 8,052,905 and increased the basic and diluted net loss per share from $0.84 to $2.90 for the nine months ended August 31, 2020.</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3" w:name="page24"/>
    <w:bookmarkEnd w:id="23"/>
    <w:p>
      <w:pPr>
        <w:ind w:firstLine="510"/>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income (loss) per share of common stock for the periods presented because their effect would have been anti-dilutive:</w:t>
      </w:r>
    </w:p>
    <w:p>
      <w:pPr>
        <w:spacing w:after="0" w:line="243"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Three and Nine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408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200" w:type="dxa"/>
            <w:vAlign w:val="bottom"/>
            <w:gridSpan w:val="2"/>
          </w:tcPr>
          <w:p>
            <w:pPr>
              <w:ind w:left="6920"/>
              <w:spacing w:after="0"/>
              <w:rPr>
                <w:sz w:val="20"/>
                <w:szCs w:val="20"/>
                <w:color w:val="auto"/>
              </w:rPr>
            </w:pPr>
            <w:r>
              <w:rPr>
                <w:rFonts w:ascii="Arial" w:cs="Arial" w:eastAsia="Arial" w:hAnsi="Arial"/>
                <w:sz w:val="14"/>
                <w:szCs w:val="14"/>
                <w:b w:val="1"/>
                <w:bCs w:val="1"/>
                <w:color w:val="auto"/>
                <w:w w:val="83"/>
              </w:rPr>
              <w:t>2021</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5,593,412</w:t>
            </w:r>
          </w:p>
        </w:tc>
        <w:tc>
          <w:tcPr>
            <w:tcW w:w="2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3,460,677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Options early exercised subject to vesting</w:t>
            </w:r>
          </w:p>
        </w:tc>
        <w:tc>
          <w:tcPr>
            <w:tcW w:w="740" w:type="dxa"/>
            <w:vAlign w:val="bottom"/>
          </w:tcPr>
          <w:p>
            <w:pPr>
              <w:jc w:val="right"/>
              <w:spacing w:after="0"/>
              <w:rPr>
                <w:sz w:val="20"/>
                <w:szCs w:val="20"/>
                <w:color w:val="auto"/>
              </w:rPr>
            </w:pPr>
            <w:r>
              <w:rPr>
                <w:rFonts w:ascii="Arial" w:cs="Arial" w:eastAsia="Arial" w:hAnsi="Arial"/>
                <w:sz w:val="18"/>
                <w:szCs w:val="18"/>
                <w:color w:val="auto"/>
              </w:rPr>
              <w:t>76,175</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164,892</w:t>
            </w:r>
          </w:p>
        </w:tc>
        <w:tc>
          <w:tcPr>
            <w:tcW w:w="120" w:type="dxa"/>
            <w:vAlign w:val="bottom"/>
          </w:tcPr>
          <w:p>
            <w:pPr>
              <w:spacing w:after="0"/>
              <w:rPr>
                <w:sz w:val="19"/>
                <w:szCs w:val="19"/>
                <w:color w:val="auto"/>
              </w:rPr>
            </w:pPr>
          </w:p>
        </w:tc>
      </w:tr>
      <w:tr>
        <w:trPr>
          <w:trHeight w:val="215"/>
        </w:trPr>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expected to be purchased under</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employee stock purchase plan</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43,274</w:t>
            </w: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62,104</w:t>
            </w:r>
          </w:p>
        </w:tc>
        <w:tc>
          <w:tcPr>
            <w:tcW w:w="120" w:type="dxa"/>
            <w:vAlign w:val="bottom"/>
            <w:shd w:val="clear" w:color="auto" w:fill="CFF0FC"/>
          </w:tcPr>
          <w:p>
            <w:pPr>
              <w:spacing w:after="0"/>
              <w:rPr>
                <w:sz w:val="20"/>
                <w:szCs w:val="20"/>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5,732,861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3,687,673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right="20" w:firstLine="552"/>
        <w:spacing w:after="0" w:line="259" w:lineRule="auto"/>
        <w:rPr>
          <w:sz w:val="20"/>
          <w:szCs w:val="20"/>
          <w:color w:val="auto"/>
        </w:rPr>
      </w:pPr>
      <w:r>
        <w:rPr>
          <w:rFonts w:ascii="Arial" w:cs="Arial" w:eastAsia="Arial" w:hAnsi="Arial"/>
          <w:sz w:val="18"/>
          <w:szCs w:val="18"/>
          <w:color w:val="auto"/>
        </w:rPr>
        <w:t>The Company’s Chief Financial Officer is a trustee for the Company’s healthcare plan provider. Expenses related to the healthcare plan premiums were $0.7 million and $0.4 million for the three months ended August 31, 2021 and 2020, respectively, and $1.8 million and $1.2 million for the nine months ended August 31, 2021 and 2020, respectively. As of August 31, 2021 and November 30, 2020, $0 was recorded in accrued liabilities and accounts payable in connection with this healthcare plan provider.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10-Q and (2) the audited consolidated financial statements and related notes and management’s discussion and analysis of financial condition and results of operations for the fiscal year ended November 30, 2020 included in our Annual Report on Form 10-K filed on February 16, 2021 (2020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are a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targeted protein degraders of Bruton’s tyrosine kinase (BTK), a B-cell signaling protein, and inhibitors of Casitas B-lineage lymphoma proto-oncogene B (CBL-B), an E3 ligase that regulates T cell activation. Our lead drug candidate from our protein degradation portfolio, NX-2127, is an orally bioavailable BTK degrader for the treatment of relapsed or refractory B-cell malignancies. We filed an investigational new drug application (IND) for NX-2127 in December 2020 and received clearance by the U.S. Food and Drug Administration (FDA) to initiate human clinical trials. Clinical sites are actively recruiting patients for our Phase 1 clinical trial of NX-2127. Our second drug candidate from our protein degradation portfolio, NX-5948, is also an orally bioavailable BTK degrader for the treatment of relapsed or refractory B-cell malignancies and potentially autoimmune diseases. We anticipate commencing a Phase 1 trial for NX-5948 in the second half of 2021. Our lead drug candidate from our E3 ligase inhibitor portfolio, NX-1607, is an orally bioavailable CBL-B inhibitor for immuno-oncology indications. We expect to commence a Phase 1 clinical trial in the second half of 2021. We are also advancing the development of a CBL-B inhibitor, NX-0255, for ex vivo use to enhance adoptive T-cell therapy. We anticipate commencing a Phase 1 clinical trial for our first cell therapy candidate, DeTIL-0255, in the second half of 2021. All expected Phase 1 clinical trial commencements are based on calendar years. Beyond these clinical candidates, we are advancing additional wholly owned, preclinical programs that may expand our therapeutic areas beyond oncology to autoimmune disease and viral diseases, including COVID-19. Our therapeutic areas may be further expanded through our established strategic collaborations with Sanofi S.A. (Sanofi), and Gilead Sciences, Inc. (Gilead).</w:t>
      </w:r>
    </w:p>
    <w:p>
      <w:pPr>
        <w:spacing w:after="0" w:line="63"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(Celgene) and the issuance and sale of common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70"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Since inception, we have generally incurred significant losses and negative cash flows from operations. During the nine months ended August 31, 2021 and 2020, we incurred net losses of $79.5 million and $23.3 million, respectively. As of August 31, 2021, we had an accumulated deficit of $183.2 million. These losses have resulted primarily from costs incurred in connection with research and development activities and general and administrative costs associated with our operations.</w:t>
      </w:r>
    </w:p>
    <w:p>
      <w:pPr>
        <w:spacing w:after="0" w:line="7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We expect our expenses will increase substantially as we advance our drug candidates through preclinical and into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ind w:right="20" w:firstLine="510"/>
        <w:spacing w:after="0" w:line="259" w:lineRule="auto"/>
        <w:rPr>
          <w:sz w:val="20"/>
          <w:szCs w:val="20"/>
          <w:color w:val="auto"/>
        </w:rPr>
      </w:pPr>
      <w:r>
        <w:rPr>
          <w:rFonts w:ascii="Arial" w:cs="Arial" w:eastAsia="Arial" w:hAnsi="Arial"/>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As of August 31, 2021, we had $465.4 million in cash, cash equivalents and investments. In July 2020, we closed our initial public offering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 We expect that our existing cash, cash equivalents and investments are sufficient to fund our operations for at least the next 12 months. See the section titled “—Liquidity and Capital Resources” for more information. We will need to raise substantial additional capital to complete the development and commercialization of our drug candidates and pursue our long-term business plan.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6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are subject to risks and uncertainties as a result of the current coronavirus (COVID-19) pandemic. The COVID-19 pandemic, which is impacting worldwide economic activity,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the extent to which the COVID-19 pandemic will impact our business, financial condition, liquidity and results of operations in the future will depend on future developments that are highly uncertain and cannot be predicted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5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Upon signing the Gilead Agreement, Gilead paid us an upfront payment of $45.0 million plus $3.0 million in additional fees. Since the signing of the Gilead Agreement, we have received payments of $13.5 million for research milestones and additional payments, including $2.5 million which was received in the third quarter of 2021. Additionally, in August 2021, we recognized a research milestone, resulting in a $5.0 million additional payment, which will be received in the fourth quarter of 2021. As of August 31, 2021,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70"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recognized collaboration revenue from the Gilead Agreement of $6.1 million and $12.5 million during the three and nine months ended August 31, 2021, respectively, and $2.1 million and $6.9 million during the three and nine months ended August 31, 2020, respectively. As of August 31, 2021, there was $39.1 million of deferred revenue related to payments received by us under the Gilead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80" w:firstLine="514"/>
        <w:spacing w:after="0" w:line="272"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$22.0 million to exercise its option to expand the number of targets in the collaboration agreement from three to a total of five targets. Over time and subject to certain limitations, Sanofi may elect to replace the drug targets with other reserved targets. We also entered into the First Sanofi Amendment to the collaboration agreement with Sanofi in January 2021 to modify the research term on all targets.</w:t>
      </w:r>
    </w:p>
    <w:p>
      <w:pPr>
        <w:spacing w:after="0" w:line="69" w:lineRule="exact"/>
        <w:rPr>
          <w:sz w:val="20"/>
          <w:szCs w:val="20"/>
          <w:color w:val="auto"/>
        </w:rPr>
      </w:pPr>
    </w:p>
    <w:p>
      <w:pPr>
        <w:ind w:right="40" w:firstLine="514"/>
        <w:spacing w:after="0" w:line="257"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160" w:firstLine="514"/>
        <w:spacing w:after="0" w:line="254" w:lineRule="auto"/>
        <w:rPr>
          <w:sz w:val="20"/>
          <w:szCs w:val="20"/>
          <w:color w:val="auto"/>
        </w:rPr>
      </w:pPr>
      <w:r>
        <w:rPr>
          <w:rFonts w:ascii="Arial" w:cs="Arial" w:eastAsia="Arial" w:hAnsi="Arial"/>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84" w:lineRule="exact"/>
        <w:rPr>
          <w:sz w:val="20"/>
          <w:szCs w:val="20"/>
          <w:color w:val="auto"/>
        </w:rPr>
      </w:pPr>
    </w:p>
    <w:p>
      <w:pPr>
        <w:ind w:right="40" w:firstLine="514"/>
        <w:spacing w:after="0" w:line="295" w:lineRule="auto"/>
        <w:rPr>
          <w:sz w:val="20"/>
          <w:szCs w:val="20"/>
          <w:color w:val="auto"/>
        </w:rPr>
      </w:pPr>
      <w:r>
        <w:rPr>
          <w:rFonts w:ascii="Arial" w:cs="Arial" w:eastAsia="Arial" w:hAnsi="Arial"/>
          <w:sz w:val="16"/>
          <w:szCs w:val="16"/>
          <w:color w:val="auto"/>
        </w:rPr>
        <w:t>Upon signing the Sanofi Agreement, Sanofi paid us an upfront payment of $55.0 million in January 2020. Subsequently in January 2021, Sanofi paid us an additional $22.0 million to exercise its option to expand the number of targets beyond the initial targets included in the collaboration. We are eligible to receive additional payments if Sanofi exercises an option to extend the license term with respect to a particular target. Since the signing of the Sanofi Agreement, we have received a payment of $1.0 million for research milestones, all of which was received in the third quarter of 2021. As of August 31, 2021,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5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our measure of progress toward complete satisfaction of the performance obligation was recognized as an adjustment to revenue at the date of the contract modification on a cumulative catch-up basis.</w:t>
      </w:r>
    </w:p>
    <w:p>
      <w:pPr>
        <w:spacing w:after="0" w:line="68"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We recognized collaboration revenue from the Sanofi Agreement of $4.2 million and $9.8 million during the three and nine months ended August 31, 2021, respectively, and $2.0 million and $4.2 million during the three and nine months ended August 31, 2020, respectively. As of August 31, 2021, there was $62.5 million of deferred revenue related to payments received by us under the Sanofi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DeCART Therapeutics Inc.</w:t>
      </w:r>
    </w:p>
    <w:p>
      <w:pPr>
        <w:spacing w:after="0" w:line="229"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June 2020, we established DeCART Therapeutics Inc. (DeCART), a wholly owned subsidiary, with an investment of $3.0 million and granted DeCART a license to three of our compounds, including NX-0255, for drug-enhanced isolation of T cells exclusively with respect to three CAR-T therapy targets. DeCART expects to combine our protein modulation technologies with novel CAR-T therapies to address current immunotherapy limitations and improve outcomes for patients with cancer, and subsequently seek equity financing from third parties and become an independent operating entity. DeCART granted to its external founders stock options to purchase shares of DeCART’s common stock equal to 14% of the fully diluted capitalization of DeCART. Following either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third-party funding or the exercise of the stock option grants, DeCART will no longer be a wholly owned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have no products approved for commercial sale and to date have not generated any revenue and do not expect to generate any revenue from the sale of products in the near future.</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76"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Internal research and development costs include:</w:t>
      </w:r>
    </w:p>
    <w:p>
      <w:pPr>
        <w:spacing w:after="0" w:line="117" w:lineRule="exact"/>
        <w:rPr>
          <w:sz w:val="20"/>
          <w:szCs w:val="20"/>
          <w:color w:val="auto"/>
        </w:rPr>
      </w:pPr>
    </w:p>
    <w:p>
      <w:pPr>
        <w:ind w:left="1000" w:right="6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payroll and personnel expenses, including benefits, stock-based compensation and travel expenses, for our research and development functions;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of research and development equipment, allocated overhead and facilities-related expenses.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External research and development expenses consist primarily of costs incurred for the development of our drug candidates and may include:</w:t>
      </w:r>
    </w:p>
    <w:p>
      <w:pPr>
        <w:spacing w:after="0" w:line="129" w:lineRule="exact"/>
        <w:rPr>
          <w:sz w:val="20"/>
          <w:szCs w:val="20"/>
          <w:color w:val="auto"/>
        </w:rPr>
      </w:pPr>
    </w:p>
    <w:p>
      <w:pPr>
        <w:ind w:left="1000" w:right="1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third parties such as consultants, contractors and contract research organizations to conduct our discovery programs, preclinical studies and clinical trials;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acquire, develop and manufacture supplies for preclinical studies and clinical trials, including fees paid to third parties such as contract manufacturing organizations;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4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to advance our drug candidates into and through our preclinical studies and clinical trials, pursue regulatory approval of our drug candidates and expand our drug candidate pipeline. The process of conducting the necessary preclinical and clinical research to obtain regulatory approval is costly and time-consuming. To the extent that our drug candidates advance and continue to advance into clinical trials, our expenses will increase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ind w:right="300"/>
        <w:spacing w:after="0" w:line="342" w:lineRule="auto"/>
        <w:rPr>
          <w:sz w:val="20"/>
          <w:szCs w:val="20"/>
          <w:color w:val="auto"/>
        </w:rPr>
      </w:pPr>
      <w:r>
        <w:rPr>
          <w:rFonts w:ascii="Arial" w:cs="Arial" w:eastAsia="Arial" w:hAnsi="Arial"/>
          <w:sz w:val="16"/>
          <w:szCs w:val="16"/>
          <w:color w:val="auto"/>
        </w:rPr>
        <w:t>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provision for income taxes primarily consists of reserves for unrecognized tax benefits and minimum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August 31, 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August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Nine Months Ended August 31,</w:t>
            </w:r>
          </w:p>
        </w:tc>
        <w:tc>
          <w:tcPr>
            <w:tcW w:w="2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3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Research and development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6"/>
              </w:rPr>
              <w:t>General and administrative</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102,287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w w:val="96"/>
              </w:rPr>
              <w:t>Interest and other income,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(28,958)</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(79,405)</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(43,904)</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w w:val="99"/>
              </w:rPr>
              <w:t>Provision (benefit) for income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(20,576)</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 revenue for the three and nine months ended August 31, 2021 and 2020 is summarized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4"/>
              </w:rPr>
              <w:t>Three Months Ended August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August 31,</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23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Gilead</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Sanofi</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collaboration revenue increased by $6.2 million and $11.2 million during the three and nine months ended August 31, 2021, respectively, compared to the three and nine months ended August 31, 2020. The increase was primarily due to the continued scale up of internal resources and external spending for our collaborations with Sanofi and Gilead as compared to the prior periods, resulting in a higher percentage of completion in the current periods. The increase was also due to partial revenue recognized during the three and nine months ended August 31, 2021 for the achievement of certain preclinical milestones under our collaborations with Gilead and Sanofi.</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for the three and nine months ended August 31, 2021 and 2020 are summarized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6"/>
              </w:rPr>
              <w:t>Three Months Ended August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2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August 31,</w:t>
            </w: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Compensation and related personnel</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9,968</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Supplies and contract research</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Preclinical activities and contract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Clinical costs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Facility and other costs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Our research and development expenses increased by $12.0 million during the three months ended August 31, 2021, compared to the three months ended August 31, 2020. The increase was primarily related to an increase of $4.1 million in compensation and related personnel costs attributable to an increase in headcount. There was also an increase of $1.6 million in non-cash stock-based compensation expense. There was also an increase of $1.9 million in supplies and contract research, an increase of $1.8 million in preclinical activities and contract manufacturing attributable to increases in our preclinical development activities and drug discovery research and an increase of $1.5 million in clinical costs due to ongoing clinical trial startup and patient enrollment.</w:t>
      </w:r>
    </w:p>
    <w:p>
      <w:pPr>
        <w:spacing w:after="0" w:line="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research and development expenses increased by $33.9 million during the nine months ended August 31, 2021, compared to the nine months ended August 31, 2020. The increase was primarily related to an increase of $11.3 million in compensation and related personnel costs attributable to an increase in headcount and an increase of $4.5 million in non-cash stock-based compensation expense. There was also an increase of $9.4 million in supplies and contract research and an increase of $2.7 million in preclinical activities and contract manufacturing attributable to increases in our preclinical development activities and drug discovery research and an increase of $3.3 million in clinical costs due to the start of clinical trial startup and patient enrollment. There was also an increase in facility and other costs of $2.6 million primarily due to expansion of leased premises and other costs associated with a growing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general and administrative expenses increased by $4.0 million during the three months ended August 31, 2021, compared to the three months ended August 31, 2020. The increase was primarily related to an increase of $1.2 million in compensation related expenses attributable to a higher headcount and an increase of $1.6 million in non-cash stock-based compensation expense. There was also an increase of $0.9 million in consultant and other professional service expenses primarily related to becoming a public company.</w:t>
      </w:r>
    </w:p>
    <w:p>
      <w:pPr>
        <w:spacing w:after="0" w:line="79"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general and administrative expenses increased by $12.3 million during the nine months ended August 31, 2021, compared to the nine months ended August 31, 2020. The increase was primarily related to an increase of $3.6 million in compensation related expenses attributable to a higher headcount and an increase of $4.7 million in non-cash stock-based compensation expense. There was also an increase of $3.0 million in consultant and other professional service expenses primarily related to becoming a public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Interest and other income, net was $39 thousand and $0.5 million for the three and nine months ended August 31, 2021, respectively, and $0.7 million and $1.1 million for the three and nine months ended August 31, 2020, respectively, and is primarily related to interest earned on our deposits, money market funds and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An income tax benefit of $0.1 million and an income tax expense of $0.1 million was recognized for the three and nine months ended August 31, 2021, respectively. No income tax was recognized during the three months ended August 31, 2020. For the nine months ended August 31, 2020, an income tax benefit of $20.6 million was recognized related to a discrete tax benefit, which consists of carryback claims and the reversal of the uncertain tax liability related to research and development tax credits as a result of the CARES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initial public offering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our initial public offering were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w:t>
      </w:r>
    </w:p>
    <w:p>
      <w:pPr>
        <w:spacing w:after="0" w:line="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To date, our operations have primarily been funded through the gross proceeds from equity offerings of $546.0 million and proceeds from collaborations of $289.5 million. We do not have any products approved for sale, and we have not generated any revenue from product sales. As of August 31, 2021, we had $465.4 million in cash, cash equivalents and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expect that our existing cash, cash equivalents and investments are sufficient to continue operating activities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6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a shelf registration statement on Form S-3 on file with the SEC. This shelf registration statement, which includes a base prospectus, allows us at any time to offer and sell registered common stock, preferred stock, debt securities, warrants, subscriptions rights and or units or any combination of securities described in the prospectus in one or more offerings. In addition,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As of August 31, 2021, we have not sold any shares of common stock pursuant to the Equity Distribution Agreement and $150.0 million in shares remained available under the Equity Distribution Agreement.</w:t>
      </w:r>
    </w:p>
    <w:p>
      <w:pPr>
        <w:spacing w:after="0" w:line="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Unless otherwise specified in a prospectus supplement accompanying the base prospectus, we would use the net proceeds from the sale of any securities offered pursuant to the shelf registration statement for general corporate purposes, which may include funding for working capital, financing capital expenditures, research and development, clinical trials, marketing and distribution efforts, and if opportunities arise, for acquisitions or strategic alliances. Pending such uses, we may invest the net proceeds in interest-bearing securities. In addition, we may conduct concurrent or other financings at any time.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000" w:right="1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costs and results of our planned Phase 1 clinical trials for our lead drug candidates NX-2127, NX-1607, NX-5948 and DeTIL-0255 and other drug candidates, and any future clinical development of such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ind w:left="1000" w:right="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during the periods indicated:</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Nine Months Ended August 31,</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1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operating activities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(71,728)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(129,841)</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Net cash used in operating activities was $53.5 million for the nine months ended August 31, 2021 and consisted of our net loss of $79.5 million, offset by a decrease in net assets of $11.8 million and non-cash adjustments of $14.2 million. The decrease in net assets consisted primarily of an increase in deferred revenue of $8.1 million, a decrease in income tax receivable of $3.6 million due to refunds received, an increase in accrued and other liabilities of $2.8 million and a decrease in contract assets of $2.5 million due to payments received under the Gilead Agreement, offset by an increase in prepaid expenses and other assets of $6.0 million primarily due to increased prepaid clinical costs. Non-cash adjustments primarily consisted of stock-based compensation expenses of $11.0 million and depreciation and amortization expenses of $2.0 million.</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Net cash provided by operating activities was $20.4 million for the nine months ended August 31, 2020 and consisted of a decrease in net assets of $40.3 million and non-cash adjustments of $3.4 million, offset by our net loss of $23.3 million. The decrease in net assets consisted primarily of an increase in deferred revenue of $47.4 million, offset by an increase in prepaid expenses and other assets of $4.4 million and an increase in income tax receivable of $3.9 million. Non-cash adjustments primarily consisted of stock-based compensation expenses of $1.8 million and depreciation and amortization expenses of $1.5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Net cash used in investing activities was $71.7 million for the nine months ended August 31, 2021 and consisted of the purchase of investments of $257.8 million and the purchase of property and equipment of $4.8 million, offset by the sale of investments of $7.0 million and the maturity of investments of $183.9 million.</w:t>
      </w:r>
    </w:p>
    <w:p>
      <w:pPr>
        <w:spacing w:after="0" w:line="7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Net cash used in investing activities was $129.8 million for the nine months ended August 31, 2020 and consisted of the purchase of investments of $141.1 million and the purchase of property and equipment of $3.6 million, offset by the maturity of investments of $14.9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financing activities was $153.4 million for the nine months ended August 31, 2021 and consisted primarily of proceeds from the issuance of common stock from the follow-on offering in March 2021.</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Net cash provided by financing activities was $340.2 million for the nine months ended August 31, 2020 and consisted primarily of net proceeds from the issuance of common stock related to our initial public offering in July 2020 and the sale of our Series D redeemable convertible preferred stock in March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August 31,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3"/>
              </w:rPr>
              <w:t>1 to 3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3 to 5 years</w:t>
            </w:r>
          </w:p>
        </w:tc>
        <w:tc>
          <w:tcPr>
            <w:tcW w:w="16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5 years</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Status</w:t>
      </w:r>
    </w:p>
    <w:p>
      <w:pPr>
        <w:spacing w:after="0" w:line="121"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We are an “emerging growth company” (EGC), as defined in the Jumpstart Our Business Startups Act of 2012, as amended (the JOBS Act). We will remain an EGC until the earliest of: (i) the last day of the fiscal year in which we have total annual gross revenues of $1.07 billion or more; (ii) the last day of the fiscal year following the fifth anniversary of the completion of our initial public offering; (iii) the date on which we have issued more than</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8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w:t>
      </w:r>
    </w:p>
    <w:p>
      <w:pPr>
        <w:spacing w:after="0" w:line="2" w:lineRule="exact"/>
        <w:rPr>
          <w:sz w:val="20"/>
          <w:szCs w:val="20"/>
          <w:color w:val="auto"/>
        </w:rPr>
      </w:pPr>
    </w:p>
    <w:p>
      <w:pPr>
        <w:ind w:right="260" w:firstLine="8"/>
        <w:spacing w:after="0" w:line="290"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53"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As of November 30, 2021, we will lose our status as an EGC and will no longer be able to take advantage of the exemptions from various reporting requirements beginning with our annual report for the fiscal year ending November 30, 2021 to be filed in 2022.</w:t>
      </w:r>
    </w:p>
    <w:p>
      <w:pPr>
        <w:spacing w:after="0" w:line="8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May 31 and our annual revenue is less than $100.0 million during the most recently completed fiscal year. We may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right="80"/>
        <w:spacing w:after="0" w:line="259" w:lineRule="auto"/>
        <w:rPr>
          <w:sz w:val="20"/>
          <w:szCs w:val="20"/>
          <w:color w:val="auto"/>
        </w:rPr>
      </w:pPr>
      <w:r>
        <w:rPr>
          <w:rFonts w:ascii="Arial" w:cs="Arial" w:eastAsia="Arial" w:hAnsi="Arial"/>
          <w:sz w:val="18"/>
          <w:szCs w:val="18"/>
          <w:color w:val="auto"/>
        </w:rPr>
        <w:t>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2020 Form 10-K. Other than the updated policy on revenue recognition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condensed consolidated financial statements included elsewhere in this Quarterly Report on Form 10-Q, there have been no significant changes to these policies for the three and nine months ended August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(the Exchange Act), we are not required to provide this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August 31, 2021.</w:t>
      </w:r>
    </w:p>
    <w:p>
      <w:pPr>
        <w:spacing w:after="0" w:line="7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August 31, 2021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 in Internal Control over Financial Reporting</w:t>
      </w:r>
    </w:p>
    <w:p>
      <w:pPr>
        <w:spacing w:after="0" w:line="117"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As disclosed in the section titled “Risk Factors” in Part II, Item 1A of this Quarterly Report on Form 10-Q, we previously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This material weakness resulted in the revision to the basic and diluted weighted-average number of shares outstanding and basic and diluted net loss per share calculations for the three- and nine-month periods ended August 31, 2020. In addition, this material weakness also resulted in the revision to the diluted weighted-average number of shares outstanding and basic and diluted net income per share calculations for the three-month period ended May 31, 2020. Additionally, this material weakness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17" w:lineRule="exact"/>
        <w:rPr>
          <w:sz w:val="20"/>
          <w:szCs w:val="20"/>
          <w:color w:val="auto"/>
        </w:rPr>
      </w:pPr>
    </w:p>
    <w:p>
      <w:pPr>
        <w:ind w:right="40" w:firstLine="584"/>
        <w:spacing w:after="0" w:line="342" w:lineRule="auto"/>
        <w:rPr>
          <w:sz w:val="20"/>
          <w:szCs w:val="20"/>
          <w:color w:val="auto"/>
        </w:rPr>
      </w:pPr>
      <w:r>
        <w:rPr>
          <w:rFonts w:ascii="Arial" w:cs="Arial" w:eastAsia="Arial" w:hAnsi="Arial"/>
          <w:sz w:val="16"/>
          <w:szCs w:val="16"/>
          <w:color w:val="auto"/>
        </w:rPr>
        <w:t>To address our material weakness, we are in the process of implementing new financial systems and controls. We intend to continue to take steps to remediate the material weakness through formalizing documentation of policies and procedures and further evolving our accounting processes.</w:t>
      </w:r>
    </w:p>
    <w:p>
      <w:pPr>
        <w:spacing w:after="0" w:line="16" w:lineRule="exact"/>
        <w:rPr>
          <w:sz w:val="20"/>
          <w:szCs w:val="20"/>
          <w:color w:val="auto"/>
        </w:rPr>
      </w:pPr>
    </w:p>
    <w:p>
      <w:pPr>
        <w:ind w:right="20" w:firstLine="584"/>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As part of our remediation plan discussed above, we continued formalizing documentation of policies and procedures and evaluating the implementation of new and existing controls during the quarter ended August 31, 2021. Such remediation actions were changes in our internal control over financial reporting identified in connection with the evaluation required by Rule 13a-15(d) and 15d-15(d) of the Exchange Act that occurred during the three months ended August 31, 2021 that have materially affected, or are reasonably likely to materially affect, our internal control over financial reporting.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If any of these events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risks discussed at-length below. These risks include, among others, the following:</w:t>
      </w:r>
    </w:p>
    <w:p>
      <w:pPr>
        <w:spacing w:after="0" w:line="62" w:lineRule="exact"/>
        <w:rPr>
          <w:sz w:val="20"/>
          <w:szCs w:val="20"/>
          <w:color w:val="auto"/>
        </w:rPr>
      </w:pPr>
    </w:p>
    <w:p>
      <w:pPr>
        <w:ind w:left="1000" w:right="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at least the next several years and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rFonts w:ascii="Arial" w:cs="Arial" w:eastAsia="Arial" w:hAnsi="Arial"/>
          <w:sz w:val="18"/>
          <w:szCs w:val="18"/>
          <w:color w:val="auto"/>
        </w:rPr>
      </w:pPr>
    </w:p>
    <w:p>
      <w:pPr>
        <w:ind w:left="1000" w:right="140" w:hanging="493"/>
        <w:spacing w:after="0" w:line="31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very early in our development efforts. We only recently initiated clinical development of our first two drug candidates and all of our other drug candidates are in preclinical development. If we are unable to advance to clinical development, develop, obtain regulatory approval for and commercialize our drug candidates or experience significant delays in doing so, our business may be materially harmed.</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2"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only recently initiated testing of our two lead drug candidates in clinical trials,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75"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75" w:lineRule="exact"/>
        <w:rPr>
          <w:rFonts w:ascii="Arial" w:cs="Arial" w:eastAsia="Arial" w:hAnsi="Arial"/>
          <w:sz w:val="18"/>
          <w:szCs w:val="18"/>
          <w:color w:val="auto"/>
        </w:rPr>
      </w:pPr>
    </w:p>
    <w:p>
      <w:pPr>
        <w:ind w:left="1000" w:right="80" w:hanging="493"/>
        <w:spacing w:after="0" w:line="279"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rely on clinical manufacturing organizations (CMOs)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3" w:lineRule="exact"/>
        <w:rPr>
          <w:rFonts w:ascii="Arial" w:cs="Arial" w:eastAsia="Arial" w:hAnsi="Arial"/>
          <w:sz w:val="17"/>
          <w:szCs w:val="17"/>
          <w:color w:val="auto"/>
        </w:rPr>
      </w:pPr>
    </w:p>
    <w:p>
      <w:pPr>
        <w:ind w:left="100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 success and ability to effectively compete in the market depends, in part, upon our ability and the ability of our collaborators to obtain and maintain adequate patent protection for our technology, current drug candidates and any future drug candidates that we may develop and our ability to develop, manufacture, market and sell our drug candidates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6" w:name="page37"/>
    <w:bookmarkEnd w:id="36"/>
    <w:p>
      <w:pPr>
        <w:ind w:left="1000" w:right="220"/>
        <w:spacing w:after="0" w:line="277" w:lineRule="auto"/>
        <w:rPr>
          <w:sz w:val="20"/>
          <w:szCs w:val="20"/>
          <w:color w:val="auto"/>
        </w:rPr>
      </w:pPr>
      <w:r>
        <w:rPr>
          <w:rFonts w:ascii="Arial" w:cs="Arial" w:eastAsia="Arial" w:hAnsi="Arial"/>
          <w:sz w:val="18"/>
          <w:szCs w:val="18"/>
          <w:color w:val="auto"/>
        </w:rPr>
        <w:t>and future drug candidates and use our proprietary technologies without infringing, misappropriating or otherwise violating the intellectual property of others.</w:t>
      </w:r>
    </w:p>
    <w:p>
      <w:pPr>
        <w:spacing w:after="0" w:line="62" w:lineRule="exact"/>
        <w:rPr>
          <w:sz w:val="20"/>
          <w:szCs w:val="20"/>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net loss was $43.2 million for the fiscal year ended November 30, 2020 and $79.5 million for the nine months ended August 31, 2021. As of August 31, 2021, we had an accumulated deficit of $183.2 million. To date, we have not generated any revenue from product sales and have financed our operations primarily through our collaborations and sales of our equity interests. We are in the early stages of development of our drug candidates. We filed an IND for NX-2127 in December 2020 and received clearance by the FDA to initiate human clinical trials. Clinical sites are actively recruiting patients for our Phase 1 clinical trials of NX-2127 and NX-1607 and we expect our other two most advanced drug candidates to enter clinical trials in 2021. We expect to continue to incur significant expenses and increasing operating losses for at least the next several years. We anticipate that our operating expenses and capital expenditure requirements will increase substantially if and as we:</w:t>
      </w:r>
    </w:p>
    <w:p>
      <w:pPr>
        <w:spacing w:after="0" w:line="69"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enrollment in the ongoing Phase 1 clinical trials of our drug candidates NX-2127 and NX-1607;</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clinical trials of our other drug candidates NX-5948, DeTIL-0255 and other drug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advanced clinical development and scale up external manufacturing capabilities to supply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capabilities of our DELigase platform and apply our DELigase platform to advance additional drug candidates into preclinical and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process development for manufacturing of our DeTIL cell therapy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any drug candidates that successfully complete clinical trials;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regulatory, manufacturing, quality assurance and scientific personnel; and</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70"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only recently commenced clinical development of our drug candidates NX-2127 and NX-1607, and we currently are preparing to initiate clinical development of our other most advanced drug candidates.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color w:val="auto"/>
        </w:rPr>
        <w:t>supplies of our drug candidates, obtaining marketing approval for our drug candidates and manufacturing, marketing, selling and obtaining reimbursement for any products for which we may obtain marketing approval.</w:t>
      </w:r>
    </w:p>
    <w:p>
      <w:pPr>
        <w:spacing w:after="0" w:line="170"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trials of NX-2127 and NX-1607, and work to prepare for IND submissions and initiate planned Phase 1 clinical trials of our other lead drug candidates NX-5948 and DeTIL-0255 and other drug candidates,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166"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had cash, cash equivalents and investments of $465.4 million as of August 31, 2021.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4" w:lineRule="exact"/>
        <w:rPr>
          <w:sz w:val="20"/>
          <w:szCs w:val="20"/>
          <w:color w:val="auto"/>
        </w:rPr>
      </w:pPr>
    </w:p>
    <w:p>
      <w:pPr>
        <w:ind w:left="1000" w:right="280" w:hanging="493"/>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progress, costs and results of our Phase 1 clinical trials for NX-2127 and NX-1607 and our planned Phase 1 clinical trials for our other drug candidates NX-5948, DeTIL-0255 and other drug candidates, and any future clinical development of such drug candidates;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of, and costs associated with, future preclinical development of our DeTIL cell therapy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and establishing arrangements with third parties for the manufacture of initial quantities of our drug candidates. All of our drug candidates are either in preclinical development or have only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9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Drug Candidates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are very early in our development efforts. All of our drug candidates are either in preclinical development or have only recently entered clinical development. If we are unable to advance to clinical development, develop, obtain regulatory approval for and commercialize our drug candidates or experience significant delays in doing so, our business may be materially harmed.</w:t>
      </w:r>
    </w:p>
    <w:p>
      <w:pPr>
        <w:spacing w:after="0" w:line="5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very early in our development efforts. All of our drug candidates are either in preclinical development or have only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4"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drug candidates’ intended indications;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a profile following approval;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29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3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believe that our CTM drug candidates may offer an improved therapeutic approach by removing the disease-causing proteins instead of simply inhibiting their activities. However, the scientific research that forms the basis of our efforts to develop our CTM drug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78"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We only recently initiated clinical development of NX-2127 and we have limited safety data of NX-2127 in humans. Although some of our drug candidates have produced observable results in animal studies, there is a limited safety data set for their effects in animals.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15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CTM drug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Advancing our CTM products creates significant challenges for us, including:</w:t>
      </w:r>
    </w:p>
    <w:p>
      <w:pPr>
        <w:spacing w:after="0" w:line="87" w:lineRule="exact"/>
        <w:rPr>
          <w:sz w:val="20"/>
          <w:szCs w:val="20"/>
          <w:color w:val="auto"/>
        </w:rPr>
      </w:pPr>
    </w:p>
    <w:p>
      <w:pPr>
        <w:ind w:left="1000" w:right="6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efficacy and safety benefits, as well as the challenges, of incorporating our drug candidates, if approved, into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to gain market acceptance, if approved.</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Any of these factors may prevent us from completing our preclinical studies or any clinical trials that we may initiate, or from commercializing any CTM drug candidates we may develop on a timely or profitable basis, if at all.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All of our drug candidates are either in preclinical development or have only recently entered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For example, the FDA has notified us that the IND for our planned Phase 1 trial of DeTIL-0255 was placed on clinical hold pending receipt of additional chemistry, manufacturing and controls (CMC) information relating to a reagent used in the drug candidate’s manufacturing process. We have submitted our complete response letter to the FDA regarding this CMC matter and currently expect to be in a position to initiate our Phase 1 trial of DeTIL-0255 in the second half of 2021. However, if the additional information we provided to the FDA is not satisfactory, the initiation of the DeTIL-0255 trial may be delayed.</w:t>
      </w:r>
    </w:p>
    <w:p>
      <w:pPr>
        <w:spacing w:after="0" w:line="179"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 consensus with regulators on trial design;</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75"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regulators or IRB may not authorize us or our investigators to commence a clinical trial or conduct a clinical trial at a prospective trial site;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selection of certain clinical endpoints may require prolonged periods of clinical observation or analysis of the resulting data;</w:t>
      </w:r>
    </w:p>
    <w:p>
      <w:pPr>
        <w:spacing w:after="0" w:line="117"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 to suspend or terminate the trials;</w:t>
      </w:r>
    </w:p>
    <w:p>
      <w:pPr>
        <w:spacing w:after="0" w:line="62"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left="1000" w:right="1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IRB may require that we or our investigators suspend or terminate clinical trials for various reasons, including noncompliance with regulatory requirements;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drug candidates, or such requirements may not be as we anticipate;</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 and</w:t>
      </w:r>
    </w:p>
    <w:p>
      <w:pPr>
        <w:spacing w:after="0" w:line="62"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17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1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planned clinical trials for our drug candidates NX-2127, NX-1607, NX-5948 and DeTIL-0255 will be with patients who have received one or more prior treatments. Subsequently, for those products that prove to be sufficiently beneficial, if any, we would expect to seek approval potentially as a first-line therapy, but any drug candidates we develop, even if approved, may not be approved for first-line therapy, and, prior to any such approvals, we may have to conduct additional clinical trials.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have not evaluated any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DeTIL-0255 in animals and our drug candidates have not been tested on humans at all.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16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planned or future clinical studies. There also is the potential risk of delayed adverse events following treatment with our drug candidates.</w:t>
      </w:r>
    </w:p>
    <w:p>
      <w:pPr>
        <w:spacing w:after="0" w:line="18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drug candidates. This may prevent us from advancing them into clinical trials, delay these trials or limit the extent of these trials. For example, in pre-clinical GLP toxicity studies for our drug candidate NX-1607, one instance of severe uveitis was noted at the highest dose level consistent with ophthalmological effects noted in other immune checkpoint inhibitors. In addition,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Clinical sites are actively recruiting patients for our clinical trials for NX-2127 and NX-1607. The results of preclinical studies and early-stage clinical trials may not be predictive of future results. Initial success in clinical trials may not be indicative of results obtained when these trials are completed or in later-stage trials.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trials for NX-2127 and NX-1607 and of our planned Phase 1 clinical trials of our other drug candidates NX-5948 and DeTIL-0255 and other drug candidates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28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5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clinical sites are actively recruiting patients for our Phase 1 clinical trial for NX-2127 in patients with CLL and other B-cell malignancies and for NX-1607 in patients with a variety of oncology indications. We cannot predict how difficult it will be to enroll patients for trials in these indications. Therefore, our ability to identify and enroll eligible patients for our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are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for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physicians’ attitudes and practices with respect to clinical trial enrollment;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on patients due to inconvenient procedures;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170"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drugs is complex and we and our third-party manufacturers are early in our manufacturing efforts.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established manufacturing relationships with a limited number of suppliers to manufacture raw materials and the drug substance of any drug candidate for which we now are pursuing, or may in the future pursue, preclinical or clinical development. Our current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29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62"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drug candidates.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9"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drug candidates;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drug candidates may not be effective in treating their targeted diseases.</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the breadth of our DELigase platform.</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ind w:right="1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are aware of several biotechnology companies focused on developing small molecules that degrade target proteins including Arvinas, Inc., BioTheryX, Inc., C4 Therapeutics, Inc., Cullgen Inc., Foghorn Therapeutics Inc., Kymera Therapeutics, Inc. and Monte Rosa Therapeutics, all of which currently are in preclinical or clinical development. Further, several large pharmaceutical companies have disclosed preclinical investments in this field, including Amgen Inc., AstraZeneca plc, Bayer AG, Bristol-Myers Squibb Company, Genentech, Inc., GlaxoSmithKline plc and Novartis International AG.</w:t>
      </w:r>
    </w:p>
    <w:p>
      <w:pPr>
        <w:spacing w:after="0" w:line="15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3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200"/>
        <w:spacing w:after="0" w:line="277" w:lineRule="auto"/>
        <w:rPr>
          <w:sz w:val="20"/>
          <w:szCs w:val="20"/>
          <w:color w:val="auto"/>
        </w:rPr>
      </w:pPr>
      <w:r>
        <w:rPr>
          <w:rFonts w:ascii="Arial" w:cs="Arial" w:eastAsia="Arial" w:hAnsi="Arial"/>
          <w:sz w:val="18"/>
          <w:szCs w:val="18"/>
          <w:color w:val="auto"/>
        </w:rPr>
        <w:t>assumptions based on that data, our actual market may be more limited than we estimate it to be. In addition, these inaccuracies or errors may cause us to misallocate capital and other critical business resources,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Collaborations involving our research programs or any drug candidates we may develop, including our collaborations with Sanofi and Gilead, pose the following risks to us:</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jc w:val="both"/>
        <w:ind w:left="1000" w:right="280" w:hanging="493"/>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40" w:lineRule="exact"/>
        <w:rPr>
          <w:rFonts w:ascii="Arial" w:cs="Arial" w:eastAsia="Arial" w:hAnsi="Arial"/>
          <w:sz w:val="16"/>
          <w:szCs w:val="16"/>
          <w:color w:val="auto"/>
        </w:rPr>
      </w:pPr>
    </w:p>
    <w:p>
      <w:pPr>
        <w:jc w:val="both"/>
        <w:ind w:left="1000" w:right="2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75" w:lineRule="exact"/>
        <w:rPr>
          <w:rFonts w:ascii="Arial" w:cs="Arial" w:eastAsia="Arial" w:hAnsi="Arial"/>
          <w:sz w:val="18"/>
          <w:szCs w:val="18"/>
          <w:color w:val="auto"/>
        </w:rPr>
      </w:pPr>
    </w:p>
    <w:p>
      <w:pPr>
        <w:ind w:left="1000" w:right="660" w:hanging="493"/>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38" w:lineRule="exact"/>
        <w:rPr>
          <w:rFonts w:ascii="Arial" w:cs="Arial" w:eastAsia="Arial" w:hAnsi="Arial"/>
          <w:sz w:val="17"/>
          <w:szCs w:val="17"/>
          <w:color w:val="auto"/>
        </w:rPr>
      </w:pPr>
    </w:p>
    <w:p>
      <w:pPr>
        <w:ind w:left="1000" w:right="1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00" w:right="140" w:hanging="493"/>
        <w:spacing w:after="0" w:line="29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3" w:lineRule="exact"/>
        <w:rPr>
          <w:rFonts w:ascii="Arial" w:cs="Arial" w:eastAsia="Arial" w:hAnsi="Arial"/>
          <w:sz w:val="16"/>
          <w:szCs w:val="16"/>
          <w:color w:val="auto"/>
        </w:rPr>
      </w:pPr>
    </w:p>
    <w:p>
      <w:pPr>
        <w:ind w:left="1000" w:right="40" w:hanging="493"/>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2" w:lineRule="exact"/>
        <w:rPr>
          <w:rFonts w:ascii="Arial" w:cs="Arial" w:eastAsia="Arial" w:hAnsi="Arial"/>
          <w:sz w:val="18"/>
          <w:szCs w:val="18"/>
          <w:color w:val="auto"/>
        </w:rPr>
      </w:pPr>
    </w:p>
    <w:p>
      <w:pPr>
        <w:ind w:left="1000" w:right="20" w:hanging="493"/>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left="1000" w:right="240" w:hanging="493"/>
        <w:spacing w:after="0" w:line="28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9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8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14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28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rely on third-party clinical research organizations (CROs) to conduct our Phase 1 clinical trial programs for NX-2127 and NX-1607, and we will rely on third-party CMOs to conduct our planned Phase 1 clinical trial programs for NX-5948 and DeTIL-0255, and any other clinical trials for other drug candidates. We currently do not plan to conduct any clinical trials independently.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right="620"/>
        <w:spacing w:after="0" w:line="277" w:lineRule="auto"/>
        <w:rPr>
          <w:sz w:val="20"/>
          <w:szCs w:val="20"/>
          <w:color w:val="auto"/>
        </w:rPr>
      </w:pPr>
      <w:r>
        <w:rPr>
          <w:rFonts w:ascii="Arial" w:cs="Arial" w:eastAsia="Arial" w:hAnsi="Arial"/>
          <w:sz w:val="18"/>
          <w:szCs w:val="18"/>
          <w:color w:val="auto"/>
        </w:rPr>
        <w:t>Agreements with these CROs might terminate for a variety of reasons, including for their failure to perform. Entry into alternative arrangements, if necessary, could significantly delay our product development activities.</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8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2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rely on third-party contract manufacturing organizations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3"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15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them entails additional risks, including:</w:t>
      </w:r>
    </w:p>
    <w:p>
      <w:pPr>
        <w:spacing w:after="0" w:line="62"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CMO for regulatory, compliance and quality assurance;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CMO;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CMO at a time that is costly or inconvenient for us.</w:t>
      </w:r>
    </w:p>
    <w:p>
      <w:pPr>
        <w:spacing w:after="0" w:line="22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the European Medicines Agency (EMA) pursuant to inspections that will be conducted after we submit our NDA to the FDA or our marketing authorization application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200" w:firstLine="510"/>
        <w:spacing w:after="0" w:line="263" w:lineRule="auto"/>
        <w:rPr>
          <w:sz w:val="20"/>
          <w:szCs w:val="20"/>
          <w:color w:val="auto"/>
        </w:rPr>
      </w:pPr>
      <w:r>
        <w:rPr>
          <w:rFonts w:ascii="Arial" w:cs="Arial" w:eastAsia="Arial" w:hAnsi="Arial"/>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176"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a drug candidate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any of our drug candidates receive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8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6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6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30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16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1" w:name="page52"/>
    <w:bookmarkEnd w:id="51"/>
    <w:p>
      <w:pPr>
        <w:ind w:right="320"/>
        <w:spacing w:after="0" w:line="254" w:lineRule="auto"/>
        <w:rPr>
          <w:sz w:val="20"/>
          <w:szCs w:val="20"/>
          <w:color w:val="auto"/>
        </w:rPr>
      </w:pPr>
      <w:r>
        <w:rPr>
          <w:rFonts w:ascii="Arial" w:cs="Arial" w:eastAsia="Arial" w:hAnsi="Arial"/>
          <w:sz w:val="18"/>
          <w:szCs w:val="18"/>
          <w:color w:val="auto"/>
        </w:rPr>
        <w:t>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successfully commercialize our technology and drug candidates may be impaired, and we may not be able to compete effectively in our market.</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However, the portfolio covering our drug candidates is at an early stage and comprised only of patent applications and we do not currently own or license any issued patents covering our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7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16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spacing w:after="0" w:line="268" w:lineRule="auto"/>
        <w:rPr>
          <w:sz w:val="20"/>
          <w:szCs w:val="20"/>
          <w:color w:val="auto"/>
        </w:rPr>
      </w:pPr>
      <w:r>
        <w:rPr>
          <w:rFonts w:ascii="Arial" w:cs="Arial" w:eastAsia="Arial" w:hAnsi="Arial"/>
          <w:sz w:val="17"/>
          <w:szCs w:val="17"/>
          <w:color w:val="auto"/>
        </w:rPr>
        <w:t xml:space="preserve">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8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18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w:t>
      </w:r>
    </w:p>
    <w:p>
      <w:pPr>
        <w:spacing w:after="0" w:line="1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obtain in the future. Any of the foregoing, including any similar adverse changes in the patent laws of other jurisdictions, could also have a material adverse effect on our business, financial condition, results of operations and prospects.</w:t>
      </w:r>
    </w:p>
    <w:p>
      <w:pPr>
        <w:spacing w:after="0" w:line="2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5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71"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184"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color w:val="auto"/>
        </w:rPr>
        <w:t>of our technologies infringe patent claims or other intellectual property rights held by them or that we are employing their proprietary technology without authorization.</w:t>
      </w:r>
    </w:p>
    <w:p>
      <w:pPr>
        <w:spacing w:after="0" w:line="170"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CTMs. This patent may be alleged to cover one or more of our CTM drug candidates, including our NX-2127 drug candidate. While we believe that we have valid defenses against any assertion of such patent against us, such defenses may be unsuccessful. If we are unsuccessful and any of our CTM drug candidates is found to infringe this patent, we could be required to obtain a license to such patent or forced to permanently cease developing, manufacturing, marketing and commercializing the infringing CTM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7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7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7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80" w:firstLine="510"/>
        <w:spacing w:after="0" w:line="291"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6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287"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7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7" w:name="page58"/>
    <w:bookmarkEnd w:id="57"/>
    <w:p>
      <w:pPr>
        <w:ind w:right="20"/>
        <w:spacing w:after="0" w:line="269" w:lineRule="auto"/>
        <w:rPr>
          <w:sz w:val="20"/>
          <w:szCs w:val="20"/>
          <w:color w:val="auto"/>
        </w:rPr>
      </w:pPr>
      <w:r>
        <w:rPr>
          <w:rFonts w:ascii="Arial" w:cs="Arial" w:eastAsia="Arial" w:hAnsi="Arial"/>
          <w:sz w:val="17"/>
          <w:szCs w:val="17"/>
          <w:color w:val="auto"/>
        </w:rPr>
        <w:t>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17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340"/>
        <w:spacing w:after="0" w:line="277" w:lineRule="auto"/>
        <w:rPr>
          <w:sz w:val="20"/>
          <w:szCs w:val="20"/>
          <w:color w:val="auto"/>
        </w:rPr>
      </w:pPr>
      <w:r>
        <w:rPr>
          <w:rFonts w:ascii="Arial" w:cs="Arial" w:eastAsia="Arial" w:hAnsi="Arial"/>
          <w:sz w:val="18"/>
          <w:szCs w:val="18"/>
          <w:color w:val="auto"/>
        </w:rPr>
        <w:t>but enforcement is not as strong as that in the United States. These products may compete with our drug candidates and our patents or other intellectual property rights may not be effective or sufficient to prevent them from competing.</w:t>
      </w:r>
    </w:p>
    <w:p>
      <w:pPr>
        <w:spacing w:after="0" w:line="170"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26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18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440"/>
        <w:spacing w:after="0" w:line="277" w:lineRule="auto"/>
        <w:rPr>
          <w:sz w:val="20"/>
          <w:szCs w:val="20"/>
          <w:color w:val="auto"/>
        </w:rPr>
      </w:pPr>
      <w:r>
        <w:rPr>
          <w:rFonts w:ascii="Arial" w:cs="Arial" w:eastAsia="Arial" w:hAnsi="Arial"/>
          <w:sz w:val="18"/>
          <w:szCs w:val="18"/>
          <w:color w:val="auto"/>
        </w:rPr>
        <w:t>compete with us. If any of our trade secrets were to be disclosed to or independently developed by a competitor or other third parties, our competitive position would be harmed.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00" w:right="3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 is possible that our pending owned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1000" w:right="720" w:hanging="493"/>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Drug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planned clinical trials;</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drug candidate is safe and effective for its proposed indication;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for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our drug candidates’ clinical and other benefits outweigh their safety risks;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left="1000" w:right="2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23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19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may submit an NDA for one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As described in the “Government Regulation” section,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184"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18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Even if FDA reviews an NDA seeking accelerated approval, there can be no assurance that approval will be granted on a timely basis, or at all.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ind w:right="80" w:firstLine="749"/>
        <w:spacing w:after="0" w:line="255" w:lineRule="auto"/>
        <w:rPr>
          <w:sz w:val="20"/>
          <w:szCs w:val="20"/>
          <w:color w:val="auto"/>
        </w:rPr>
      </w:pPr>
      <w:r>
        <w:rPr>
          <w:rFonts w:ascii="Arial" w:cs="Arial" w:eastAsia="Arial" w:hAnsi="Arial"/>
          <w:sz w:val="18"/>
          <w:szCs w:val="18"/>
          <w:color w:val="auto"/>
        </w:rPr>
        <w:t>Even if we receive approval for one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192"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Any delay in obtaining, or inability to obtain, approval through the Accelerated Approval Program would delay or prevent commercialization of our products, and would materially adversely affect our business, financial condition, results of operations, cash flows and prospects.</w:t>
      </w:r>
    </w:p>
    <w:p>
      <w:pPr>
        <w:spacing w:after="0" w:line="25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as a company, have limited experience in filing for and obtaining regulatory approval to initiate a clinical trial and we do not have experience in manufacturing or in quality assurance in order to market a new drug in the United States or in any other jurisdiction.</w:t>
      </w:r>
    </w:p>
    <w:p>
      <w:pPr>
        <w:spacing w:after="0" w:line="3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As a company, we have limited experience in filing for or obtaining regulatory approval to initiate clinical trials and we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85"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 xml:space="preserve">The United Kingdom’s exit from the European Union (EU) continues to create political and economic uncertainty, particularly in the United Kingdom and the EU.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good manufacturing practice (GMP)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to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As companies now need to comply with a separate UK regulatory legal framework in order to commercialize medicinal products in Great Britain (namely, England, Wales and Scotland, as EU law continues to apply in Northern Ireland). The UK government is currently trying to renegotiate fundamental aspects of the Northern Ireland Protocol so this is an unpredictable area for companies in the near future. </w:t>
      </w:r>
      <w:r>
        <w:rPr>
          <w:rFonts w:ascii="Arial" w:cs="Arial" w:eastAsia="Arial" w:hAnsi="Arial"/>
          <w:sz w:val="17"/>
          <w:szCs w:val="17"/>
          <w:color w:val="0F1C44"/>
        </w:rPr>
        <w:t>The TCA allows for future deviation from the current regulatory framework and it is not</w:t>
      </w:r>
      <w:r>
        <w:rPr>
          <w:rFonts w:ascii="Arial" w:cs="Arial" w:eastAsia="Arial" w:hAnsi="Arial"/>
          <w:sz w:val="17"/>
          <w:szCs w:val="17"/>
          <w:color w:val="auto"/>
        </w:rPr>
        <w:t xml:space="preserve"> </w:t>
      </w:r>
      <w:r>
        <w:rPr>
          <w:rFonts w:ascii="Arial" w:cs="Arial" w:eastAsia="Arial" w:hAnsi="Arial"/>
          <w:sz w:val="17"/>
          <w:szCs w:val="17"/>
          <w:color w:val="0F1C44"/>
        </w:rPr>
        <w:t xml:space="preserve">known if and/or when any deviations may occur, which may have an impact on development, manufacture, </w:t>
      </w:r>
      <w:r>
        <w:rPr>
          <w:rFonts w:ascii="Arial" w:cs="Arial" w:eastAsia="Arial" w:hAnsi="Arial"/>
          <w:sz w:val="17"/>
          <w:szCs w:val="17"/>
          <w:color w:val="000000"/>
        </w:rPr>
        <w:t>marketing authorization, commercial sales and</w:t>
      </w:r>
      <w:r>
        <w:rPr>
          <w:rFonts w:ascii="Arial" w:cs="Arial" w:eastAsia="Arial" w:hAnsi="Arial"/>
          <w:sz w:val="17"/>
          <w:szCs w:val="17"/>
          <w:color w:val="0F1C44"/>
        </w:rPr>
        <w:t xml:space="preserve"> </w:t>
      </w:r>
      <w:r>
        <w:rPr>
          <w:rFonts w:ascii="Arial" w:cs="Arial" w:eastAsia="Arial" w:hAnsi="Arial"/>
          <w:sz w:val="17"/>
          <w:szCs w:val="17"/>
          <w:color w:val="000000"/>
        </w:rPr>
        <w:t>distribution of pharmaceutical products. It is also important to note that obtaining a marketing authorization is not sufficient to gain effective access to the market in the EU and in the UK;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100"/>
        <w:spacing w:after="0" w:line="254" w:lineRule="auto"/>
        <w:rPr>
          <w:sz w:val="20"/>
          <w:szCs w:val="20"/>
          <w:color w:val="auto"/>
        </w:rPr>
      </w:pPr>
      <w:r>
        <w:rPr>
          <w:rFonts w:ascii="Arial" w:cs="Arial" w:eastAsia="Arial" w:hAnsi="Arial"/>
          <w:sz w:val="18"/>
          <w:szCs w:val="18"/>
          <w:color w:val="auto"/>
        </w:rPr>
        <w:t>companies still need to agree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below).If we fail to comply with the regulatory requirements in international markets and thus receive applicable marketing approvals, our target market will be reduced, our ability to realize the full market potential of our drug candidates will be harmed and our business will be adversely affected. We may not obtain foreign regulatory approvals on a timely basis, if at all. Our failure to obtain approval of any of our drug candidates by regulatory authorities in another country may significantly diminish the commercial prospects of that drug candidate and our business prospects could decline.</w:t>
      </w:r>
    </w:p>
    <w:p>
      <w:pPr>
        <w:spacing w:after="0" w:line="30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18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8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9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(such as the MHRA, the UK regulatory authority).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 and trace,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a risk evaluation and mitigation strategy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8" w:lineRule="exact"/>
        <w:rPr>
          <w:sz w:val="20"/>
          <w:szCs w:val="20"/>
          <w:color w:val="auto"/>
        </w:rPr>
      </w:pPr>
    </w:p>
    <w:p>
      <w:pPr>
        <w:ind w:left="5540" w:right="4420" w:hanging="5033"/>
        <w:spacing w:after="0" w:line="527" w:lineRule="auto"/>
        <w:tabs>
          <w:tab w:leader="none" w:pos="10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drug or seize the drug;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left="1000" w:right="2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drug, change the way the drug is administered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drug;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may become less competitive in the marketplace;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3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66"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5" w:right="459" w:bottom="1440" w:gutter="0" w:footer="0" w:header="0"/>
        </w:sectPr>
      </w:pPr>
    </w:p>
    <w:bookmarkStart w:id="64" w:name="page65"/>
    <w:bookmarkEnd w:id="64"/>
    <w:p>
      <w:pPr>
        <w:ind w:right="380" w:firstLine="510"/>
        <w:spacing w:after="0" w:line="259"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18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24"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may seek Orphan Drug Designation for one or more of our current or future product candidates. Regulatory authorities in some jurisdictions, including the United States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product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19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may seek Orphan Drug Designation for our product candidates in additional orphan indications in which there is a medically plausible basis for the use of these product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w:t>
      </w:r>
    </w:p>
    <w:p>
      <w:pPr>
        <w:spacing w:after="0" w:line="19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184" w:lineRule="exact"/>
        <w:rPr>
          <w:sz w:val="20"/>
          <w:szCs w:val="20"/>
          <w:color w:val="auto"/>
        </w:rPr>
      </w:pPr>
    </w:p>
    <w:p>
      <w:pPr>
        <w:ind w:firstLine="619"/>
        <w:spacing w:after="0" w:line="291" w:lineRule="auto"/>
        <w:rPr>
          <w:sz w:val="20"/>
          <w:szCs w:val="20"/>
          <w:color w:val="auto"/>
        </w:rPr>
      </w:pPr>
      <w:r>
        <w:rPr>
          <w:rFonts w:ascii="Arial" w:cs="Arial" w:eastAsia="Arial" w:hAnsi="Arial"/>
          <w:sz w:val="16"/>
          <w:szCs w:val="16"/>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color w:val="auto"/>
        </w:rPr>
        <w:t>generally able to offer them at lower prices. Thus, following the introduction of a generic drug, a significant percentage of the sales of any branded product or reference-listed drug is typically lost to the generic drug.</w:t>
      </w:r>
    </w:p>
    <w:p>
      <w:pPr>
        <w:spacing w:after="0" w:line="170" w:lineRule="exact"/>
        <w:rPr>
          <w:sz w:val="20"/>
          <w:szCs w:val="20"/>
          <w:color w:val="auto"/>
        </w:rPr>
      </w:pPr>
    </w:p>
    <w:p>
      <w:pPr>
        <w:ind w:firstLine="619"/>
        <w:spacing w:after="0" w:line="268" w:lineRule="auto"/>
        <w:rPr>
          <w:sz w:val="20"/>
          <w:szCs w:val="20"/>
          <w:color w:val="auto"/>
        </w:rPr>
      </w:pPr>
      <w:r>
        <w:rPr>
          <w:rFonts w:ascii="Arial" w:cs="Arial" w:eastAsia="Arial" w:hAnsi="Arial"/>
          <w:sz w:val="17"/>
          <w:szCs w:val="17"/>
          <w:color w:val="auto"/>
        </w:rPr>
        <w:t>The FDA may not approve an ANDA for a generic drug until any applicable period of non-patent exclusivity for the reference-listed drug has expired. The Federal Food, Drug, and Cosmetic Act (FDCA), provides a period of five years of non-patent exclusivity for a new drug containing a new chemical entity (NCE).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exclusivity covers only the conditions associated with the new clinical investigations and does not prohibit the FDA from approving ANDAs for product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186" w:lineRule="exact"/>
        <w:rPr>
          <w:sz w:val="20"/>
          <w:szCs w:val="20"/>
          <w:color w:val="auto"/>
        </w:rPr>
      </w:pPr>
    </w:p>
    <w:p>
      <w:pPr>
        <w:ind w:right="60" w:firstLine="619"/>
        <w:spacing w:after="0" w:line="290" w:lineRule="auto"/>
        <w:rPr>
          <w:sz w:val="20"/>
          <w:szCs w:val="20"/>
          <w:color w:val="auto"/>
        </w:rPr>
      </w:pPr>
      <w:r>
        <w:rPr>
          <w:rFonts w:ascii="Arial" w:cs="Arial" w:eastAsia="Arial" w:hAnsi="Arial"/>
          <w:sz w:val="16"/>
          <w:szCs w:val="16"/>
          <w:color w:val="auto"/>
        </w:rPr>
        <w:t>In the European Union and the UK, innovative medicinal products are authorized based on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(and where applicable the result of the pediatric studies unless a waiver or a deferral has been obtained – as described further below). In the EU, these applications must be made pursuant to either Directive 2001/83/EC (for the decentralised procedure or the mutual recognition procedure) or Regulation 726/2004(for the centralised procedure). In the UK, there are various procedures available under the new regulatory legal framework to pharmaceutical products, including the possibility to recognized assessment conducted by the European authorities under certain circumstance or by applying directly to the UK regulatory authority (the MHRA).</w:t>
      </w:r>
    </w:p>
    <w:p>
      <w:pPr>
        <w:spacing w:after="0" w:line="165" w:lineRule="exact"/>
        <w:rPr>
          <w:sz w:val="20"/>
          <w:szCs w:val="20"/>
          <w:color w:val="auto"/>
        </w:rPr>
      </w:pPr>
    </w:p>
    <w:p>
      <w:pPr>
        <w:ind w:right="20" w:firstLine="619"/>
        <w:spacing w:after="0" w:line="285" w:lineRule="auto"/>
        <w:rPr>
          <w:sz w:val="20"/>
          <w:szCs w:val="20"/>
          <w:color w:val="auto"/>
        </w:rPr>
      </w:pPr>
      <w:r>
        <w:rPr>
          <w:rFonts w:ascii="Arial" w:cs="Arial" w:eastAsia="Arial" w:hAnsi="Arial"/>
          <w:sz w:val="16"/>
          <w:szCs w:val="16"/>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EEA). During this period, applicants for approval of generics or biosimilars cannot rely on data contained in the marketing authorization dossier submitted for the already authorized, or reference, medicinal product to support their application. After expiry of the eight 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European Union market, but a generic or biosimilar marketing authorization application can be submitted to the competent regulatory authorities in the European Union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176" w:lineRule="exact"/>
        <w:rPr>
          <w:sz w:val="20"/>
          <w:szCs w:val="20"/>
          <w:color w:val="auto"/>
        </w:rPr>
      </w:pPr>
    </w:p>
    <w:p>
      <w:pPr>
        <w:ind w:right="40" w:firstLine="619"/>
        <w:spacing w:after="0" w:line="291" w:lineRule="auto"/>
        <w:rPr>
          <w:sz w:val="20"/>
          <w:szCs w:val="20"/>
          <w:color w:val="auto"/>
        </w:rPr>
      </w:pPr>
      <w:r>
        <w:rPr>
          <w:rFonts w:ascii="Arial" w:cs="Arial" w:eastAsia="Arial" w:hAnsi="Arial"/>
          <w:sz w:val="16"/>
          <w:szCs w:val="16"/>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route of administration (where product is protected by an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740"/>
        <w:spacing w:after="0" w:line="277" w:lineRule="auto"/>
        <w:rPr>
          <w:sz w:val="20"/>
          <w:szCs w:val="20"/>
          <w:color w:val="auto"/>
        </w:rPr>
      </w:pPr>
      <w:r>
        <w:rPr>
          <w:rFonts w:ascii="Arial" w:cs="Arial" w:eastAsia="Arial" w:hAnsi="Arial"/>
          <w:sz w:val="18"/>
          <w:szCs w:val="18"/>
          <w:color w:val="auto"/>
        </w:rPr>
        <w:t>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70" w:lineRule="exact"/>
        <w:rPr>
          <w:sz w:val="20"/>
          <w:szCs w:val="20"/>
          <w:color w:val="auto"/>
        </w:rPr>
      </w:pPr>
    </w:p>
    <w:p>
      <w:pPr>
        <w:ind w:right="240" w:firstLine="619"/>
        <w:spacing w:after="0" w:line="271" w:lineRule="auto"/>
        <w:rPr>
          <w:sz w:val="20"/>
          <w:szCs w:val="20"/>
          <w:color w:val="auto"/>
        </w:rPr>
      </w:pPr>
      <w:r>
        <w:rPr>
          <w:rFonts w:ascii="Arial" w:cs="Arial" w:eastAsia="Arial" w:hAnsi="Arial"/>
          <w:sz w:val="17"/>
          <w:szCs w:val="17"/>
          <w:color w:val="auto"/>
        </w:rPr>
        <w:t>Products receiving orphan designation in the European Union may receive 10 years of orphan market exclusivity.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orphan market exclusivity. During this 10-year period, the competent authorities of the European Union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178" w:lineRule="exact"/>
        <w:rPr>
          <w:sz w:val="20"/>
          <w:szCs w:val="20"/>
          <w:color w:val="auto"/>
        </w:rPr>
      </w:pPr>
    </w:p>
    <w:p>
      <w:pPr>
        <w:ind w:right="120" w:firstLine="619"/>
        <w:spacing w:after="0" w:line="277" w:lineRule="auto"/>
        <w:rPr>
          <w:sz w:val="20"/>
          <w:szCs w:val="20"/>
          <w:color w:val="auto"/>
        </w:rPr>
      </w:pPr>
      <w:r>
        <w:rPr>
          <w:rFonts w:ascii="Arial" w:cs="Arial" w:eastAsia="Arial" w:hAnsi="Arial"/>
          <w:sz w:val="18"/>
          <w:szCs w:val="18"/>
          <w:color w:val="auto"/>
        </w:rPr>
        <w:t>There are also three exceptions to the orphan market exclusivity principle. Marketing authorization may be granted to a similar medicinal product for the same orphan therapeutic indication if:</w:t>
      </w:r>
    </w:p>
    <w:p>
      <w:pPr>
        <w:spacing w:after="0" w:line="62" w:lineRule="exact"/>
        <w:rPr>
          <w:sz w:val="20"/>
          <w:szCs w:val="20"/>
          <w:color w:val="auto"/>
        </w:rPr>
      </w:pPr>
    </w:p>
    <w:p>
      <w:pPr>
        <w:ind w:left="1000" w:right="4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20" w:firstLine="619"/>
        <w:spacing w:after="0" w:line="259" w:lineRule="auto"/>
        <w:rPr>
          <w:sz w:val="20"/>
          <w:szCs w:val="20"/>
          <w:color w:val="auto"/>
        </w:rPr>
      </w:pPr>
      <w:r>
        <w:rPr>
          <w:rFonts w:ascii="Arial" w:cs="Arial" w:eastAsia="Arial" w:hAnsi="Arial"/>
          <w:sz w:val="18"/>
          <w:szCs w:val="18"/>
          <w:color w:val="auto"/>
        </w:rPr>
        <w:t>An orphan product can also obtain an additional two years of orphan market exclusivity in the European Union if the marketing authorization application contains the results of all pediatric studies conducted in accordance with and agreed pediatric investigation plan. The 10 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87" w:lineRule="exact"/>
        <w:rPr>
          <w:sz w:val="20"/>
          <w:szCs w:val="20"/>
          <w:color w:val="auto"/>
        </w:rPr>
      </w:pPr>
    </w:p>
    <w:p>
      <w:pPr>
        <w:ind w:right="460" w:firstLine="619"/>
        <w:spacing w:after="0" w:line="277" w:lineRule="auto"/>
        <w:rPr>
          <w:sz w:val="20"/>
          <w:szCs w:val="20"/>
          <w:color w:val="auto"/>
        </w:rPr>
      </w:pPr>
      <w:r>
        <w:rPr>
          <w:rFonts w:ascii="Arial" w:cs="Arial" w:eastAsia="Arial" w:hAnsi="Arial"/>
          <w:sz w:val="18"/>
          <w:szCs w:val="18"/>
          <w:color w:val="auto"/>
        </w:rPr>
        <w:t>The UK’s regulatory legal framework provides for similar periods of protection (namely regulatory data protection, marketing protection and market exclusivity).</w:t>
      </w:r>
    </w:p>
    <w:p>
      <w:pPr>
        <w:spacing w:after="0" w:line="1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29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4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Applicable U.S. federal and state healthcare laws and regulations include the following:</w:t>
      </w:r>
    </w:p>
    <w:p>
      <w:pPr>
        <w:spacing w:after="0" w:line="117" w:lineRule="exact"/>
        <w:rPr>
          <w:sz w:val="20"/>
          <w:szCs w:val="20"/>
          <w:color w:val="auto"/>
        </w:rPr>
      </w:pPr>
    </w:p>
    <w:p>
      <w:pPr>
        <w:ind w:left="1000" w:hanging="493"/>
        <w:spacing w:after="0" w:line="25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left="1000" w:right="600"/>
        <w:spacing w:after="0" w:line="277" w:lineRule="auto"/>
        <w:rPr>
          <w:sz w:val="20"/>
          <w:szCs w:val="20"/>
          <w:color w:val="auto"/>
        </w:rPr>
      </w:pPr>
      <w:r>
        <w:rPr>
          <w:rFonts w:ascii="Arial" w:cs="Arial" w:eastAsia="Arial" w:hAnsi="Arial"/>
          <w:sz w:val="18"/>
          <w:szCs w:val="18"/>
          <w:color w:val="auto"/>
        </w:rPr>
        <w:t>significant civil monetary penalties and criminal fines, as well as imprisonment and exclusion from participation in federal healthcare programs;</w:t>
      </w:r>
    </w:p>
    <w:p>
      <w:pPr>
        <w:spacing w:after="0" w:line="62" w:lineRule="exact"/>
        <w:rPr>
          <w:sz w:val="20"/>
          <w:szCs w:val="20"/>
          <w:color w:val="auto"/>
        </w:rPr>
      </w:pPr>
    </w:p>
    <w:p>
      <w:pPr>
        <w:ind w:left="1000" w:right="60" w:hanging="493"/>
        <w:spacing w:after="0" w:line="254"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3" w:lineRule="exact"/>
        <w:rPr>
          <w:rFonts w:ascii="Arial" w:cs="Arial" w:eastAsia="Arial" w:hAnsi="Arial"/>
          <w:sz w:val="18"/>
          <w:szCs w:val="18"/>
          <w:color w:val="auto"/>
        </w:rPr>
      </w:pPr>
    </w:p>
    <w:p>
      <w:pPr>
        <w:ind w:left="1000" w:right="100" w:hanging="493"/>
        <w:spacing w:after="0" w:line="275"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8" w:lineRule="exact"/>
        <w:rPr>
          <w:rFonts w:ascii="Arial" w:cs="Arial" w:eastAsia="Arial" w:hAnsi="Arial"/>
          <w:sz w:val="17"/>
          <w:szCs w:val="17"/>
          <w:color w:val="auto"/>
        </w:rPr>
      </w:pPr>
    </w:p>
    <w:p>
      <w:pPr>
        <w:jc w:val="both"/>
        <w:ind w:left="1000" w:right="28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criminal statutes created by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8"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000" w:right="640" w:hanging="493"/>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Food, Drug, and Cosmetic Act which among other things, strictly regulates drug marketing, prohibits manufacturers from marketing such products for off-label use or misbranding or adulterating their products, and regulates the distribution of samples;</w:t>
      </w:r>
    </w:p>
    <w:p>
      <w:pPr>
        <w:spacing w:after="0" w:line="15" w:lineRule="exact"/>
        <w:rPr>
          <w:rFonts w:ascii="Arial" w:cs="Arial" w:eastAsia="Arial" w:hAnsi="Arial"/>
          <w:sz w:val="16"/>
          <w:szCs w:val="16"/>
          <w:color w:val="auto"/>
        </w:rPr>
      </w:pPr>
    </w:p>
    <w:p>
      <w:pPr>
        <w:jc w:val="both"/>
        <w:ind w:left="1000" w:right="12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and state laws that require pharmaceutical manufacturers to report certain calculated product prices to the government or provide certain discounts or rebates to government authorities or private entities, often as a condition of product coverage and reimbursement under federal healthcare programs</w:t>
      </w:r>
    </w:p>
    <w:p>
      <w:pPr>
        <w:spacing w:after="0" w:line="75" w:lineRule="exact"/>
        <w:rPr>
          <w:rFonts w:ascii="Arial" w:cs="Arial" w:eastAsia="Arial" w:hAnsi="Arial"/>
          <w:sz w:val="18"/>
          <w:szCs w:val="18"/>
          <w:color w:val="auto"/>
        </w:rPr>
      </w:pPr>
    </w:p>
    <w:p>
      <w:pPr>
        <w:ind w:left="1000" w:right="60" w:hanging="493"/>
        <w:spacing w:after="0" w:line="296"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and certified nurse-midwives as well as certain ownership and investment interests held by physicians and their immediate families;</w:t>
      </w:r>
    </w:p>
    <w:p>
      <w:pPr>
        <w:spacing w:after="0" w:line="53"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w:t>
      </w:r>
    </w:p>
    <w:p>
      <w:pPr>
        <w:spacing w:after="0" w:line="62" w:lineRule="exact"/>
        <w:rPr>
          <w:rFonts w:ascii="Arial" w:cs="Arial" w:eastAsia="Arial" w:hAnsi="Arial"/>
          <w:sz w:val="18"/>
          <w:szCs w:val="18"/>
          <w:color w:val="auto"/>
        </w:rPr>
      </w:pPr>
    </w:p>
    <w:p>
      <w:pPr>
        <w:ind w:left="100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57"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spacing w:after="0" w:line="271" w:lineRule="auto"/>
        <w:rPr>
          <w:sz w:val="20"/>
          <w:szCs w:val="20"/>
          <w:color w:val="auto"/>
        </w:rPr>
      </w:pPr>
      <w:r>
        <w:rPr>
          <w:rFonts w:ascii="Arial" w:cs="Arial" w:eastAsia="Arial" w:hAnsi="Arial"/>
          <w:sz w:val="17"/>
          <w:szCs w:val="17"/>
          <w:color w:val="auto"/>
        </w:rPr>
        <w:t>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62"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1"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both Congress and the new Biden administration have each indicated that it will continue to seek new legislative and/or administrative measures to address prescription drug costs. For example,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 prices, including by allowing Medicare to negotiate drug prices, by imposing inflation caps, and through other related reforms.” In response to the Executive Order,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Congress has also continued to conduct inquiries into the prescription drug industry’s pricing practices.</w:t>
      </w:r>
    </w:p>
    <w:p>
      <w:pPr>
        <w:spacing w:after="0" w:line="17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ind w:right="220"/>
        <w:spacing w:after="0" w:line="263" w:lineRule="auto"/>
        <w:rPr>
          <w:sz w:val="20"/>
          <w:szCs w:val="20"/>
          <w:color w:val="auto"/>
        </w:rPr>
      </w:pPr>
      <w:r>
        <w:rPr>
          <w:rFonts w:ascii="Arial" w:cs="Arial" w:eastAsia="Arial" w:hAnsi="Arial"/>
          <w:sz w:val="18"/>
          <w:szCs w:val="18"/>
          <w:color w:val="auto"/>
        </w:rPr>
        <w:t>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5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 Health Technology Appraisal (HTA) to assess the cost-effectiveness of the product (in the UK that HTA assessment is conducted by NICE) which may significantly affect effective access to the market. If reimbursement of our drugs is unavailable or limited in scope or amount, or if pricing is set at unsatisfactory levels, our business could be materially harmed.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 Managing our Growth and Other Legal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may adversely affect our business and the market price of our common stock.</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ongoing global pandemic of COVID-19, including the resurgence of cases relating to the spread of the Delta variant,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It is unclear how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2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severity of the virus and the actions taken to contain its impact. See also the section titled “—Risks Related to Dependence on Third Parties.”</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our Chief Scientific Officer, Gwenn Hansen, Ph.D. The loss of the services of Drs. Sands and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71"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66"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for NX-2127 in December 2020 and received clearance by the FDA to initiate human clinical trials. Clinical sites are actively recruiting patients for our Phase 1 clinical trials of NX-2127 and NX-1607 and we expect our other two most advanced drug candidates to enter clinical trials in 2021.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right="7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2" w:lineRule="exact"/>
        <w:rPr>
          <w:sz w:val="20"/>
          <w:szCs w:val="20"/>
          <w:color w:val="auto"/>
        </w:rPr>
      </w:pPr>
    </w:p>
    <w:p>
      <w:pPr>
        <w:ind w:left="1000" w:right="4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to us of unauthorized activities that violate the regulations of the FDA or similar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healthcare fraud and abuse in violation of U.S. and foreign laws and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violations of U.S. federal securities laws relating to trading in our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28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9"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9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7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t>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litigation based on a variety of laws and legal duties, such as the California Consumer Privacy Act (the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28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92"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320"/>
        <w:spacing w:after="0" w:line="277" w:lineRule="auto"/>
        <w:rPr>
          <w:sz w:val="20"/>
          <w:szCs w:val="20"/>
          <w:color w:val="auto"/>
        </w:rPr>
      </w:pPr>
      <w:r>
        <w:rPr>
          <w:rFonts w:ascii="Arial" w:cs="Arial" w:eastAsia="Arial" w:hAnsi="Arial"/>
          <w:sz w:val="18"/>
          <w:szCs w:val="18"/>
          <w:color w:val="auto"/>
        </w:rPr>
        <w:t>contractual liabilities, our ongoing efforts to comply with evolving laws and regulations at the federal and state level may be costly and require ongoing modifications to our policies, procedures and systems.</w:t>
      </w:r>
    </w:p>
    <w:p>
      <w:pPr>
        <w:spacing w:after="0" w:line="170"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174"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The CCPA has prompted a number of proposals for new federal and state-level privacy legislation. Additional states have passed privacy laws, such as the Virginia Consumer Data Protection Act and the Colorado Privacy Act, both of which are similar to the CCPA.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166"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addition, in May 2018, the EU General Data Protection Regulation (the EU GDPR) took effect in the European Economic Area (EEA). The EU GDPR governs the collection, use, disclosure, transfer or other processing of personal data, replacing data protection laws issued by each EU member state based on the Directive 95/46/EC (the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located in the EEA to the United States and other jurisdictions that the European Commission does not recognize as having “adequate” data protection laws. In particular, on July 16, 2020, the Court of Justice of the EU (the Court of Justice)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in June 2021 which place onerous obligations on the parties.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The GDPR imposes substantial fines for breaches and violations (up to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440"/>
        <w:spacing w:after="0" w:line="277" w:lineRule="auto"/>
        <w:rPr>
          <w:sz w:val="20"/>
          <w:szCs w:val="20"/>
          <w:color w:val="auto"/>
        </w:rPr>
      </w:pPr>
      <w:r>
        <w:rPr>
          <w:rFonts w:ascii="Arial" w:cs="Arial" w:eastAsia="Arial" w:hAnsi="Arial"/>
          <w:sz w:val="18"/>
          <w:szCs w:val="18"/>
          <w:color w:val="auto"/>
        </w:rPr>
        <w:t>greater of €20 million or 4% of our global turnover). The GDPR allows data subjects and consumer associations to lodge complaints with supervisory authorities, seek judicial remedies and obtain compensation for damages resulting from violations of the GDPR.</w:t>
      </w:r>
    </w:p>
    <w:p>
      <w:pPr>
        <w:spacing w:after="0" w:line="170"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 xml:space="preserve">Further, following the end of the Brexit Transition Period (on 31 December 2020) the EU GDPR has been implemented in the United Kingdom (as the UK GDPR) - non-compliance with which may lead to similar compliance and operational costs as the EU GDPR with potential fines of up to £17 million or 4% of global turnover. The UK GDPR site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However, the UK has not formally acknowledged the new EU Standard Contractual Clauses and on August 11, 2020, the UK Information Commissioner’s Office launched a public consultation on consulting on its own form of Standard Contractual Clauses and issuing a UK addendum that can be used with the EU Standard Contractual Clauses. The ICO is also consulting on its own form of UK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data transfer assessment. These developments may in turn, require us to develop separate approaches to international transfer from the EEA and the UK.</w:t>
      </w:r>
    </w:p>
    <w:p>
      <w:pPr>
        <w:spacing w:after="0" w:line="16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Some countries also are considering or have passed legislation requiring local storage and processing of data, or similar requirements, which could increase the cost and complexity of delivering our products and services.</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December 2017, U.S. federal tax legislation commonly referred to as the TCJA was signed into law, significantly reforming the Internal Revenue Code of 1986, as amended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7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149"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164"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40"/>
        <w:spacing w:after="0" w:line="277" w:lineRule="auto"/>
        <w:rPr>
          <w:sz w:val="20"/>
          <w:szCs w:val="20"/>
          <w:color w:val="auto"/>
        </w:rPr>
      </w:pPr>
      <w:r>
        <w:rPr>
          <w:rFonts w:ascii="Arial" w:cs="Arial" w:eastAsia="Arial" w:hAnsi="Arial"/>
          <w:sz w:val="18"/>
          <w:szCs w:val="18"/>
          <w:color w:val="auto"/>
        </w:rPr>
        <w:t>our ability to utilize tax benefits such as carryforwards or tax credits, or a deviation from other tax-related assumptions could have a material adverse effect on our business, results of operations, or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2020, we had federal and state net operating loss (NOL) carryforwards of approximately $55.7 million and $153.3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8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0"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jc w:val="both"/>
        <w:ind w:right="20" w:firstLine="510"/>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8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we may not realize the expected value of out-licensing, joint ventures, spin outs or other strategic transactions. For example, in July 2020, we established DeCART, a wholly owned subsidiary, with an investment of $3.0 million and granted DeCART a license to three of our compounds, including NX-0255, for drug-enhanced isolation of T cells nonexclusively with respect to one CAR-T therapy target and exclusively with respect to three novel CAR-T therapy targets. Over time, we intend for DeCART to seek equity financing from third parties and to become an independent operating entity. However, we cannot assure you that DeCART will be able to obtain financing on attractive terms or at all. We may lose all or part of our investment in DeCART. Our license agreement to DeCART does not require DeCART to pay any milestone payments or royalties or other payments to us, and to the extent that DeCART is successful, we would benefit exclusively through our ownership of shares of DeCART’s capital stock. If DeCART raises additional funds through further issuances of equity or convertible debt securities, including to its service providers pursuant to its equity incentive plan, our ownership interest could be significantly diluted, and any new equity securities issued by DeCART may have rights, preferences, and privileges superior to ours. We cannot assure you that we will retain significant influence over the management of DeCART, and the directors or management of DeCART may make decisions or take actions that we disagree with. Conflicts of interest may arise from time to time in connection with this transaction, DeCART may not successfully develop CAR-T or any other therapies and we may not realize the expected value from this strategy.</w:t>
      </w:r>
    </w:p>
    <w:p>
      <w:pPr>
        <w:spacing w:after="0" w:line="2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operations are subject to anti-corruption laws, including the Foreign Corrupt Practices Act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also are subject to other laws and regulations governing our international operations, including regulations administered by the governments of the United States, United Kingdom and authorities in the EU, including applicable export control regulations, economic sanctions on countries and persons, customs requirements and currency exchange regulations, which we collectively refer to as Trade Control Laws.</w:t>
      </w:r>
    </w:p>
    <w:p>
      <w:pPr>
        <w:spacing w:after="0" w:line="16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2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right="100" w:firstLine="510"/>
        <w:spacing w:after="0" w:line="273"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recent volatility associated with the COVID-19 outbreak has caused significant instability and disruptions in the capital and credit markets.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286" w:lineRule="exact"/>
        <w:rPr>
          <w:sz w:val="20"/>
          <w:szCs w:val="20"/>
          <w:color w:val="auto"/>
        </w:rPr>
      </w:pPr>
    </w:p>
    <w:p>
      <w:pPr>
        <w:ind w:right="940"/>
        <w:spacing w:after="0" w:line="375" w:lineRule="auto"/>
        <w:rPr>
          <w:sz w:val="20"/>
          <w:szCs w:val="20"/>
          <w:color w:val="auto"/>
        </w:rPr>
      </w:pPr>
      <w:r>
        <w:rPr>
          <w:rFonts w:ascii="Arial" w:cs="Arial" w:eastAsia="Arial" w:hAnsi="Arial"/>
          <w:sz w:val="15"/>
          <w:szCs w:val="15"/>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right="8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drug candidates, DELigase platform, DeTIL or future development programs;</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preclinical and clinical trials, or the addition or termination of clinical trials or funding support by us or by existing or future collaborators or licensing partners;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of our drug candidates receives regulatory approval, the terms of such approval and market acceptance and demand for such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affecting our drug candidates or those of our competitors;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57"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drug candidates, or those of our competitors or our existing or future collaborators;</w:t>
      </w:r>
    </w:p>
    <w:p>
      <w:pPr>
        <w:spacing w:after="0" w:line="128" w:lineRule="exact"/>
        <w:rPr>
          <w:rFonts w:ascii="Arial" w:cs="Arial" w:eastAsia="Arial" w:hAnsi="Arial"/>
          <w:sz w:val="17"/>
          <w:szCs w:val="17"/>
          <w:color w:val="auto"/>
        </w:rPr>
      </w:pPr>
    </w:p>
    <w:p>
      <w:pPr>
        <w:ind w:left="1000" w:right="2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drug candidates, clinical studies, manufacturing process or sales and marketing terms;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in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drug candidates;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our current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drug candidates and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9" w:name="page80"/>
    <w:bookmarkEnd w:id="79"/>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Based on the beneficial ownership of our common stock as of August 31, 2021, our executive officers, directors and affiliates beneficially owned a substantial percentage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connection with our follow-on offering in March 2021, each of our officers, directors and their affiliates entered into lock-up agreements with the underwriters that restrict their ability to sell or transfer their shares, subject to certain exceptions. These lock-up agreements expired on May 3, 2021, at which point the shares subject to the lock-up agreements became eligible for sale in the public market.</w:t>
      </w:r>
    </w:p>
    <w:p>
      <w:pPr>
        <w:spacing w:after="0" w:line="176"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6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an “emerging growth company” (EGC) as defined in the JOBS Act. For as long as we continue to be an EGC, we may take advantage of exemptions from various reporting requirements applicable to other public companies that are not EGCs, including (i) not being required to comply with the auditor attestation requirements of Section 404 of the Sarbanes-Oxley Act of 2002 (the Sarbanes-Oxley Act), (ii) reduced disclosure obligations regarding executive compensation in our periodic reports, registration statements and proxy statements, and (iii) exemptions from the requirements of holding nonbinding advisory stockholder votes on executive compensation and stockholder approval of any golden parachute payments not approved previously. We could be an EGC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 $1.07 billion or more during any fiscal year before that time, in which cases we no longer would be an EGC as of the following November 30, or if we issue more than $1.0 billion in non-convertible debt during the prior three-year period before that time, in which case we no longer would be an EGC immediately. Even after we no longer qualify as an EGC, we still may qualify as a “smaller reporting company,” as such term is defined in Rule 12b-2 under the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6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Under the JOBS Act, EGCs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1" w:name="page82"/>
    <w:bookmarkEnd w:id="81"/>
    <w:p>
      <w:pPr>
        <w:ind w:right="20" w:firstLine="510"/>
        <w:spacing w:after="0" w:line="254" w:lineRule="auto"/>
        <w:rPr>
          <w:sz w:val="20"/>
          <w:szCs w:val="20"/>
          <w:color w:val="auto"/>
        </w:rPr>
      </w:pPr>
      <w:r>
        <w:rPr>
          <w:rFonts w:ascii="Arial" w:cs="Arial" w:eastAsia="Arial" w:hAnsi="Arial"/>
          <w:sz w:val="18"/>
          <w:szCs w:val="18"/>
          <w:color w:val="auto"/>
        </w:rPr>
        <w:t>We also are a “smaller reporting company,” and may continue to be a smaller reporting company if either (i)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303"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76"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our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with the approval of two-thirds of our stockholders;</w:t>
      </w:r>
    </w:p>
    <w:p>
      <w:pPr>
        <w:spacing w:after="0" w:line="117" w:lineRule="exact"/>
        <w:rPr>
          <w:rFonts w:ascii="Arial" w:cs="Arial" w:eastAsia="Arial" w:hAnsi="Arial"/>
          <w:sz w:val="18"/>
          <w:szCs w:val="18"/>
          <w:color w:val="auto"/>
        </w:rPr>
      </w:pPr>
    </w:p>
    <w:p>
      <w:pPr>
        <w:ind w:left="1000" w:right="720" w:hanging="493"/>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29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1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2" w:name="page83"/>
    <w:bookmarkEnd w:id="82"/>
    <w:p>
      <w:pPr>
        <w:spacing w:after="0" w:line="263" w:lineRule="auto"/>
        <w:rPr>
          <w:sz w:val="20"/>
          <w:szCs w:val="20"/>
          <w:color w:val="auto"/>
        </w:rPr>
      </w:pPr>
      <w:r>
        <w:rPr>
          <w:rFonts w:ascii="Arial" w:cs="Arial" w:eastAsia="Arial" w:hAnsi="Arial"/>
          <w:sz w:val="18"/>
          <w:szCs w:val="18"/>
          <w:color w:val="auto"/>
        </w:rPr>
        <w:t>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As a public company, and particularly after we no longer are an EGC, we will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6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The existing material weakness resulted in a revision to the basic and diluted weighted-average number of shares outstanding and basic and diluted net loss per share calculations for the three- and nine-month periods ended August 31, 2020. In addition, this material weakness also resulted in the revision to the diluted weighted-average number of shares outstanding and basic and diluted net income per share calculations for the three-month period ended May 31, 2020. The material weakness has not been remediated as of August 31, 2021 and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20" w:firstLine="510"/>
        <w:spacing w:after="0" w:line="271"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60" w:firstLine="674"/>
        <w:spacing w:after="0" w:line="277" w:lineRule="auto"/>
        <w:rPr>
          <w:sz w:val="20"/>
          <w:szCs w:val="20"/>
          <w:color w:val="auto"/>
        </w:rPr>
      </w:pPr>
      <w:r>
        <w:rPr>
          <w:rFonts w:ascii="Arial" w:cs="Arial" w:eastAsia="Arial" w:hAnsi="Arial"/>
          <w:sz w:val="18"/>
          <w:szCs w:val="18"/>
          <w:color w:val="auto"/>
        </w:rPr>
        <w:t>On July 23, 2020, our registration statement on Form S-1, as amended (File No. 333-239651), was declared effective by the SEC in connection with the IPO of our common stock.</w:t>
      </w:r>
    </w:p>
    <w:p>
      <w:pPr>
        <w:spacing w:after="0" w:line="62" w:lineRule="exact"/>
        <w:rPr>
          <w:sz w:val="20"/>
          <w:szCs w:val="20"/>
          <w:color w:val="auto"/>
        </w:rPr>
      </w:pPr>
    </w:p>
    <w:p>
      <w:pPr>
        <w:ind w:firstLine="67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July 24,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Issuers and Affiliated Purchasers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140"/>
          </w:cols>
          <w:pgMar w:left="320" w:top="337" w:right="43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3"/>
        </w:trPr>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9"/>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9"/>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5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Employment Agreement, dated June 10, 2021, by and between the Registrant</w:t>
              </w:r>
            </w:hyperlink>
          </w:p>
        </w:tc>
        <w:tc>
          <w:tcPr>
            <w:tcW w:w="1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and Stefani Wolff</w:t>
              </w:r>
            </w:hyperlink>
          </w:p>
        </w:tc>
        <w:tc>
          <w:tcPr>
            <w:tcW w:w="444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Lease Agreement, dated as of June 21, 2021, between ARE-San Francisco No.</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19 LLC and the Registrant</w:t>
              </w:r>
            </w:hyperlink>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5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Certification of Principal Executive Officer Pursuant to Rules 13a-14(a) and</w:t>
              </w:r>
            </w:hyperlink>
          </w:p>
        </w:tc>
        <w:tc>
          <w:tcPr>
            <w:tcW w:w="22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15d-14(a) under the Securities Exchange Act of 1934, as Adopted Pursuant to</w:t>
              </w:r>
            </w:hyperlink>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Section 302 of the Sarbanes-Oxley Act of 2002</w:t>
              </w:r>
            </w:hyperlink>
          </w:p>
        </w:tc>
        <w:tc>
          <w:tcPr>
            <w:tcW w:w="23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Certification of Principal Financial Officer Pursuant to Rules 13a-14(a) and</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15d-14(a) under the Securities Exchange Act of 1934, as Adopted Pursuant to</w:t>
              </w:r>
            </w:hyperlink>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Section 302 of the Sarbanes-Oxley Act of 2002</w:t>
              </w:r>
            </w:hyperlink>
          </w:p>
        </w:tc>
        <w:tc>
          <w:tcPr>
            <w:tcW w:w="23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Certification of Principal Executive Officer and Principal Financial and</w:t>
              </w:r>
            </w:hyperlink>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gridSpan w:val="11"/>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Accounting Officer Pursuant to 18 U.S.C. Section 1350, as Adopted Pursuant</w:t>
              </w:r>
            </w:hyperlink>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to Section 906 of the Sarbanes-Oxley Act of 2002</w:t>
              </w:r>
            </w:hyperlink>
          </w:p>
        </w:tc>
        <w:tc>
          <w:tcPr>
            <w:tcW w:w="14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w w:val="93"/>
              </w:rPr>
              <w:t>Inline XBRL Instance Document - the Instance Document does not appear in</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w w:val="98"/>
              </w:rPr>
              <w:t>the Interactive Data File because its XBRL tags are embedded within the</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document</w:t>
            </w: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right="4040" w:hanging="872"/>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951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20" w:hanging="29"/>
        <w:spacing w:after="0" w:line="271" w:lineRule="auto"/>
        <w:rPr>
          <w:sz w:val="20"/>
          <w:szCs w:val="20"/>
          <w:color w:val="auto"/>
        </w:rPr>
      </w:pPr>
      <w:r>
        <w:rPr>
          <w:rFonts w:ascii="Arial" w:cs="Arial" w:eastAsia="Arial" w:hAnsi="Arial"/>
          <w:sz w:val="13"/>
          <w:szCs w:val="13"/>
          <w:b w:val="1"/>
          <w:bCs w:val="1"/>
          <w:color w:val="auto"/>
        </w:rPr>
        <w:t>Furnished Herewith</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427" w:lineRule="exact"/>
        <w:rPr>
          <w:sz w:val="20"/>
          <w:szCs w:val="20"/>
          <w:color w:val="auto"/>
        </w:rPr>
      </w:pPr>
    </w:p>
    <w:p>
      <w:pPr>
        <w:sectPr>
          <w:pgSz w:w="11900" w:h="16838" w:orient="portrait"/>
          <w:cols w:equalWidth="0" w:num="2">
            <w:col w:w="10420" w:space="100"/>
            <w:col w:w="620"/>
          </w:cols>
          <w:pgMar w:left="320" w:top="337" w:right="439" w:bottom="1440" w:gutter="0" w:footer="0" w:header="0"/>
          <w:type w:val="continuous"/>
        </w:sectPr>
      </w:pPr>
    </w:p>
    <w:p>
      <w:pPr>
        <w:ind w:left="500" w:right="4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060"/>
              <w:spacing w:after="0"/>
              <w:rPr>
                <w:sz w:val="20"/>
                <w:szCs w:val="20"/>
                <w:color w:val="auto"/>
              </w:rPr>
            </w:pPr>
            <w:r>
              <w:rPr>
                <w:rFonts w:ascii="Arial" w:cs="Arial" w:eastAsia="Arial" w:hAnsi="Arial"/>
                <w:sz w:val="18"/>
                <w:szCs w:val="18"/>
                <w:b w:val="1"/>
                <w:bCs w:val="1"/>
                <w:color w:val="auto"/>
              </w:rPr>
              <w:t>NURIX THERAPEUTICS, INC.</w:t>
            </w:r>
          </w:p>
        </w:tc>
      </w:tr>
      <w:tr>
        <w:trPr>
          <w:trHeight w:val="378"/>
        </w:trPr>
        <w:tc>
          <w:tcPr>
            <w:tcW w:w="3760" w:type="dxa"/>
            <w:vAlign w:val="bottom"/>
          </w:tcPr>
          <w:p>
            <w:pPr>
              <w:spacing w:after="0"/>
              <w:rPr>
                <w:sz w:val="20"/>
                <w:szCs w:val="20"/>
                <w:color w:val="auto"/>
              </w:rPr>
            </w:pPr>
            <w:r>
              <w:rPr>
                <w:rFonts w:ascii="Arial" w:cs="Arial" w:eastAsia="Arial" w:hAnsi="Arial"/>
                <w:sz w:val="18"/>
                <w:szCs w:val="18"/>
                <w:color w:val="auto"/>
              </w:rPr>
              <w:t>Date: October 14, 2021</w:t>
            </w:r>
          </w:p>
        </w:tc>
        <w:tc>
          <w:tcPr>
            <w:tcW w:w="244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w:t>
            </w:r>
            <w:r>
              <w:rPr>
                <w:rFonts w:ascii="Arial" w:cs="Arial" w:eastAsia="Arial" w:hAnsi="Arial"/>
                <w:sz w:val="12"/>
                <w:szCs w:val="12"/>
                <w:color w:val="auto"/>
                <w:w w:val="95"/>
              </w:rPr>
              <w:t>RTHUR</w:t>
            </w:r>
            <w:r>
              <w:rPr>
                <w:rFonts w:ascii="Arial" w:cs="Arial" w:eastAsia="Arial" w:hAnsi="Arial"/>
                <w:sz w:val="18"/>
                <w:szCs w:val="18"/>
                <w:color w:val="auto"/>
                <w:w w:val="95"/>
              </w:rPr>
              <w:t xml:space="preserve"> T. S</w:t>
            </w:r>
            <w:r>
              <w:rPr>
                <w:rFonts w:ascii="Arial" w:cs="Arial" w:eastAsia="Arial" w:hAnsi="Arial"/>
                <w:sz w:val="12"/>
                <w:szCs w:val="12"/>
                <w:color w:val="auto"/>
                <w:w w:val="95"/>
              </w:rPr>
              <w:t>ANDS</w:t>
            </w:r>
          </w:p>
        </w:tc>
      </w:tr>
      <w:tr>
        <w:trPr>
          <w:trHeight w:val="222"/>
        </w:trPr>
        <w:tc>
          <w:tcPr>
            <w:tcW w:w="37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Arthur T. Sands, M.D., Ph.D.</w:t>
            </w:r>
          </w:p>
        </w:tc>
      </w:tr>
      <w:tr>
        <w:trPr>
          <w:trHeight w:val="216"/>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94"/>
        </w:trPr>
        <w:tc>
          <w:tcPr>
            <w:tcW w:w="3760" w:type="dxa"/>
            <w:vAlign w:val="bottom"/>
          </w:tcPr>
          <w:p>
            <w:pPr>
              <w:spacing w:after="0"/>
              <w:rPr>
                <w:sz w:val="20"/>
                <w:szCs w:val="20"/>
                <w:color w:val="auto"/>
              </w:rPr>
            </w:pPr>
            <w:r>
              <w:rPr>
                <w:rFonts w:ascii="Arial" w:cs="Arial" w:eastAsia="Arial" w:hAnsi="Arial"/>
                <w:sz w:val="18"/>
                <w:szCs w:val="18"/>
                <w:color w:val="auto"/>
              </w:rPr>
              <w:t>Date: October 14, 2021</w:t>
            </w:r>
          </w:p>
        </w:tc>
        <w:tc>
          <w:tcPr>
            <w:tcW w:w="244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H</w:t>
            </w:r>
            <w:r>
              <w:rPr>
                <w:rFonts w:ascii="Arial" w:cs="Arial" w:eastAsia="Arial" w:hAnsi="Arial"/>
                <w:sz w:val="12"/>
                <w:szCs w:val="12"/>
                <w:color w:val="auto"/>
                <w:w w:val="97"/>
              </w:rPr>
              <w:t>ANS VAN</w:t>
            </w:r>
            <w:r>
              <w:rPr>
                <w:rFonts w:ascii="Arial" w:cs="Arial" w:eastAsia="Arial" w:hAnsi="Arial"/>
                <w:sz w:val="18"/>
                <w:szCs w:val="18"/>
                <w:color w:val="auto"/>
                <w:w w:val="97"/>
              </w:rPr>
              <w:t xml:space="preserve"> H</w:t>
            </w:r>
            <w:r>
              <w:rPr>
                <w:rFonts w:ascii="Arial" w:cs="Arial" w:eastAsia="Arial" w:hAnsi="Arial"/>
                <w:sz w:val="12"/>
                <w:szCs w:val="12"/>
                <w:color w:val="auto"/>
                <w:w w:val="97"/>
              </w:rPr>
              <w:t>OUTE</w:t>
            </w:r>
          </w:p>
        </w:tc>
      </w:tr>
      <w:tr>
        <w:trPr>
          <w:trHeight w:val="224"/>
        </w:trPr>
        <w:tc>
          <w:tcPr>
            <w:tcW w:w="37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Hans van Houte</w:t>
            </w:r>
          </w:p>
        </w:tc>
      </w:tr>
    </w:tbl>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553" w:right="339" w:bottom="1440" w:gutter="0" w:footer="0" w:header="0"/>
        </w:sectPr>
      </w:pPr>
    </w:p>
    <w:bookmarkStart w:id="87" w:name="page88"/>
    <w:bookmarkEnd w:id="87"/>
    <w:p>
      <w:pPr>
        <w:ind w:left="9600"/>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142240</wp:posOffset>
            </wp:positionV>
            <wp:extent cx="916940" cy="556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69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Via DocuSign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June 1, 2021</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Stefani Wolff</w:t>
      </w:r>
    </w:p>
    <w:p>
      <w:pPr>
        <w:spacing w:after="0" w:line="193"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Offer of Employment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Dear Stefani:</w:t>
      </w:r>
    </w:p>
    <w:p>
      <w:pPr>
        <w:spacing w:after="0" w:line="19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On behalf of Nurix Therapeutics (the “Company”), I am pleased to invite you to join the Company as Chief Operating Officer and Executive Vice President of Product Development, reporting to Arthur T. Sands, Chief Executive Officer.</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 we have discussed many aspects of this position, I will attempt to summarize your initial primary areas of responsibility only briefly with respect to drug development: 1) program and portfolio management, supervising clinical and preclinical development Program Team Leads and Project Managers; 2) product planning and pre-commercial strategy; 3) clinical operations; 4) regulatory affairs; 5) CMC; 6) toxicology; 7) quality assurance; and 8) medical communications. Your general management responsibilities will include membership on the Executive Management Team and chairing our Asset Teams for each of our development candidate programs. You will also participate regularly in relevant sections of the board of directors meetings as well as other internal drug discovery and clinical development meetings as may be required or helpful. Externally, you will participate from time to time in investor meetings and conferences as well as key medical conferences, advisory board meetings, and meetings with regulatory authorities. As your role evolves, we would anticipate you playing a key role in Nurix’s subsidiary strategy, operations and growth planning with increasing responsibilities for our operations at our San Francisco site. We believe Nurix represents an extraordinary opportunity, and we look forward to you joining our Company.</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Below are details of the compensation and benefits program we are offering as part of your employment with Nurix, as well as other terms of your employment. We believe that we have put together a very strong offer that we hope conveys the excitement we feel about your candidacy. Should you have any questions regarding any part of this offer, or wish to receive additional details, please let us know.</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Should you accept this offer, your annualized base salary rate between June 14, 2021 and August 15, 2021 will be $142,500 less all required deductions and withholdings, paid according to our regular pay periods. When you begin full time work on August 16, 2021, your annualized salary will increase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110490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118"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9"/>
          <w:szCs w:val="19"/>
          <w:color w:val="auto"/>
        </w:rPr>
        <w:t>$475,000 and your bonus target for 2021 will be 40% of your base salary, prorated to your full time start date. In future years, your bonus target will be a minimum of 40% of your base salary. You will receive any bonus you are eligible to receive with the same timing of such paid to other members of the executive team. Because payment of a bonus is based on a combination of corporate and individual performance as related to Nurix’s corporate goals and your individual performance goals, Nurix cannot guarantee that a bonus will be paid in any given year. Formal performance appraisals occur once per year and you shall be entitled to a salary review every calendar year. You are also eligible to participate during your employment in the Company’s Severance and Change in Control Plan, a copy of which is annexed hereto.</w:t>
      </w:r>
    </w:p>
    <w:p>
      <w:pPr>
        <w:spacing w:after="0" w:line="138"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You also will receive a one-time sign on bonus of $150,000, payable upon your full time start date of August 16, 2021. You agree that if you voluntarily resign your position without Good Reason (as defined in the aforementioned Severance and Change in Control Plan) with Nurix within the first year of employment, you will repay the full amount of that bonus within thirty days of your resignation.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 important component of your compensation includes the opportunity for ownership in the Company. After you commence employment, and subject to approval by our Board of Directors (the “Board”), Nurix will grant you an option to purchase 443,865 shares (equivalent to 1% of common shares outstanding of 44,386,462) of the Company's common stock at the fair market value determined by the Board as of the date of grant (the “Option”, the date of which is in accordance with our current practice which is the 2</w:t>
      </w:r>
      <w:r>
        <w:rPr>
          <w:rFonts w:ascii="Arial" w:cs="Arial" w:eastAsia="Arial" w:hAnsi="Arial"/>
          <w:sz w:val="16"/>
          <w:szCs w:val="16"/>
          <w:color w:val="auto"/>
        </w:rPr>
        <w:t>nd</w:t>
      </w:r>
      <w:r>
        <w:rPr>
          <w:rFonts w:ascii="Arial" w:cs="Arial" w:eastAsia="Arial" w:hAnsi="Arial"/>
          <w:sz w:val="19"/>
          <w:szCs w:val="19"/>
          <w:color w:val="auto"/>
        </w:rPr>
        <w:t xml:space="preserve"> Tuesday the following month after the first day of employment with vesting to commence upon the first day of full time employment). The Option will be subject to the terms and conditions of the Company's Equity Incentive Plan (the “Plan”) and your grant agreement. Your grant agreement will reflect a four-year vesting schedule conditioned on your continuous service with the Company as a full-time employee, under which 25% of your Option will vest after 12 months and 1/48th of the total will vest at the end of each month thereafter, until either the Option is fully vested or your employment ends, whichever occurs first.</w:t>
      </w:r>
    </w:p>
    <w:p>
      <w:pPr>
        <w:spacing w:after="0" w:line="134" w:lineRule="exact"/>
        <w:rPr>
          <w:sz w:val="20"/>
          <w:szCs w:val="20"/>
          <w:color w:val="auto"/>
        </w:rPr>
      </w:pPr>
    </w:p>
    <w:p>
      <w:pPr>
        <w:jc w:val="both"/>
        <w:ind w:right="40"/>
        <w:spacing w:after="0" w:line="274" w:lineRule="auto"/>
        <w:rPr>
          <w:sz w:val="20"/>
          <w:szCs w:val="20"/>
          <w:color w:val="auto"/>
        </w:rPr>
      </w:pPr>
      <w:r>
        <w:rPr>
          <w:rFonts w:ascii="Arial" w:cs="Arial" w:eastAsia="Arial" w:hAnsi="Arial"/>
          <w:sz w:val="19"/>
          <w:szCs w:val="19"/>
          <w:color w:val="auto"/>
        </w:rPr>
        <w:t>As a full-time employee, you will be eligible for benefits, including 20 paid days off per year (sick days and vacation), in accordance with our policies for similarly-situated employees. You also will be eligible to participate in Nurix’s employee benefit plans, in accordance with the terms and eligibility requirements of those plans. Currently, Nurix maintains group health insurance, vision and dental plans, a long-term disability plan, a group Life Insurance and AD&amp;D plan, and a 401(k) savings plan. Currently, Nurix contributes one-half of an employee’s contribution to the 401(k) plan, up to a maximum annual contribution of $3,500. We have attached an electronic copy of our 2021 benefits plan. You will also be entitled to indemnification by the Company under its Directors and Officers Liability Policy covering your acts or failures to act on behalf of the Company. Your benefits begin the first day of the month after your first day of fulltime employment. The Company may change compensation and benefits from time to time in its discretion.</w:t>
      </w:r>
    </w:p>
    <w:p>
      <w:pPr>
        <w:spacing w:after="0" w:line="163" w:lineRule="exact"/>
        <w:rPr>
          <w:sz w:val="20"/>
          <w:szCs w:val="20"/>
          <w:color w:val="auto"/>
        </w:rPr>
      </w:pPr>
    </w:p>
    <w:p>
      <w:pPr>
        <w:ind w:left="105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357505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334" w:right="339" w:bottom="1440" w:gutter="0" w:footer="0" w:header="0"/>
        </w:sectPr>
      </w:pPr>
    </w:p>
    <w:bookmarkStart w:id="89" w:name="page90"/>
    <w:bookmarkEnd w:id="89"/>
    <w:p>
      <w:pPr>
        <w:jc w:val="both"/>
        <w:spacing w:after="0"/>
        <w:rPr>
          <w:sz w:val="20"/>
          <w:szCs w:val="20"/>
          <w:color w:val="auto"/>
        </w:rPr>
      </w:pPr>
      <w:r>
        <w:rPr>
          <w:rFonts w:ascii="Arial" w:cs="Arial" w:eastAsia="Arial" w:hAnsi="Arial"/>
          <w:sz w:val="22"/>
          <w:szCs w:val="22"/>
          <w:color w:val="auto"/>
        </w:rPr>
        <w:t>As a condition of your employment, you will be required to abide by the Company’s policies and procedures. You also agree to read, sign and comply with the Company's Employee Proprietary Information and Inventions Agreement (“Proprietary Information Agreement”).</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your work for the Company, you will be expected not to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otherwise is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130"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As an additional condition of your employment, you agree that for a twelve-month period following the end of your employment (for whatever reason) you will not, directly or indirectly, on your own behalf or on behalf of others, solicit or induce any person employed by Nurix to work in any capacity for your new employer or for any other entity, firm, corporation or individual.</w:t>
      </w:r>
    </w:p>
    <w:p>
      <w:pPr>
        <w:spacing w:after="0" w:line="185"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This offer is contingent upon our verification of your employment and educational history, your professional references, and satisfactory proof of your identity and right to work in the United States as required by law. Any intentional misrepresentation or omission concerning your employment or educational history may result in actions up to and including revocation of this offer or termination of your employment at Nurix.</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Your employment relationship is at-will. Accordingly, you may terminate your employment with the Company at any time and for any reason simply by notifying the Company. Likewise, the Company may terminate your employment at any time and for any reason, with or without cause or advance notice. In addition, the Company retains the discretion to modify your employment terms from time to time.</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5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349250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334" w:right="339" w:bottom="1440" w:gutter="0" w:footer="0" w:header="0"/>
        </w:sectPr>
      </w:pPr>
    </w:p>
    <w:bookmarkStart w:id="90" w:name="page91"/>
    <w:bookmarkEnd w:id="90"/>
    <w:p>
      <w:pPr>
        <w:jc w:val="both"/>
        <w:spacing w:after="0" w:line="297" w:lineRule="auto"/>
        <w:rPr>
          <w:sz w:val="20"/>
          <w:szCs w:val="20"/>
          <w:color w:val="auto"/>
        </w:rPr>
      </w:pPr>
      <w:r>
        <w:rPr>
          <w:rFonts w:ascii="Arial" w:cs="Arial" w:eastAsia="Arial" w:hAnsi="Arial"/>
          <w:sz w:val="19"/>
          <w:szCs w:val="19"/>
          <w:color w:val="auto"/>
        </w:rPr>
        <w:t>If you wish to accept employment at the Company under the terms described above, please sign and date this letter and the Proprietary Information Agreement, and return them to me by no later than June 10, 2021 at which time this offer will expire. If you accept our offer, we will arrange for you to start work part-time hours at 30% on a mutually acceptable date.</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Stefani, Nurix is an ambitious undertaking, and we fully expect our Company to become a major force in developing and commercializing pharmaceutical therapies. To this end, we are assembling a team of uniquely qualified individuals with extraordinary knowledge, skills and drive. We look forward to your arrival and to a productive and enjoyable working relationship.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 Arthur T. Sands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Arthur T. Sands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Understood and Accepted:</w:t>
      </w:r>
    </w:p>
    <w:p>
      <w:pPr>
        <w:sectPr>
          <w:pgSz w:w="11900" w:h="16838" w:orient="portrait"/>
          <w:cols w:equalWidth="0" w:num="1">
            <w:col w:w="10700"/>
          </w:cols>
          <w:pgMar w:left="820" w:top="550" w:right="37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/s/ Stefani Wolff</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June 10, 2021</w:t>
      </w:r>
    </w:p>
    <w:p>
      <w:pPr>
        <w:spacing w:after="0" w:line="200" w:lineRule="exact"/>
        <w:rPr>
          <w:sz w:val="20"/>
          <w:szCs w:val="20"/>
          <w:color w:val="auto"/>
        </w:rPr>
      </w:pPr>
    </w:p>
    <w:p>
      <w:pPr>
        <w:sectPr>
          <w:pgSz w:w="11900" w:h="16838" w:orient="portrait"/>
          <w:cols w:equalWidth="0" w:num="2">
            <w:col w:w="1600" w:space="720"/>
            <w:col w:w="8380"/>
          </w:cols>
          <w:pgMar w:left="820" w:top="550" w:right="37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Stefani Wolff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ectPr>
          <w:pgSz w:w="11900" w:h="16838" w:orient="portrait"/>
          <w:cols w:equalWidth="0" w:num="2">
            <w:col w:w="1160" w:space="700"/>
            <w:col w:w="8840"/>
          </w:cols>
          <w:pgMar w:left="820" w:top="5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00"/>
          </w:cols>
          <w:pgMar w:left="820" w:top="550" w:right="379" w:bottom="1440" w:gutter="0" w:footer="0" w:header="0"/>
          <w:type w:val="continuous"/>
        </w:sectPr>
      </w:pPr>
    </w:p>
    <w:bookmarkStart w:id="91" w:name="page92"/>
    <w:bookmarkEnd w:id="91"/>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LEASE AGREEMENT</w:t>
      </w:r>
    </w:p>
    <w:p>
      <w:pPr>
        <w:spacing w:after="0" w:line="190" w:lineRule="exact"/>
        <w:rPr>
          <w:sz w:val="20"/>
          <w:szCs w:val="20"/>
          <w:color w:val="auto"/>
        </w:rPr>
      </w:pPr>
    </w:p>
    <w:p>
      <w:pPr>
        <w:ind w:right="20" w:firstLine="864"/>
        <w:spacing w:after="0" w:line="271"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this 21</w:t>
      </w:r>
      <w:r>
        <w:rPr>
          <w:rFonts w:ascii="Arial" w:cs="Arial" w:eastAsia="Arial" w:hAnsi="Arial"/>
          <w:sz w:val="15"/>
          <w:szCs w:val="15"/>
          <w:color w:val="auto"/>
        </w:rPr>
        <w:t>st</w:t>
      </w:r>
      <w:r>
        <w:rPr>
          <w:rFonts w:ascii="Arial" w:cs="Arial" w:eastAsia="Arial" w:hAnsi="Arial"/>
          <w:sz w:val="18"/>
          <w:szCs w:val="18"/>
          <w:color w:val="auto"/>
        </w:rPr>
        <w:t xml:space="preserve"> day of June, 2021, between </w:t>
      </w:r>
      <w:r>
        <w:rPr>
          <w:rFonts w:ascii="Arial" w:cs="Arial" w:eastAsia="Arial" w:hAnsi="Arial"/>
          <w:sz w:val="18"/>
          <w:szCs w:val="18"/>
          <w:b w:val="1"/>
          <w:bCs w:val="1"/>
          <w:color w:val="auto"/>
        </w:rPr>
        <w:t>ARE-SAN FRANCISCO NO. 19,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NURIX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8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455 Mission Bay Boulevard South, San Francisco, California</w:t>
            </w:r>
          </w:p>
        </w:tc>
      </w:tr>
      <w:tr>
        <w:trPr>
          <w:trHeight w:val="404"/>
        </w:trPr>
        <w:tc>
          <w:tcPr>
            <w:tcW w:w="178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That portion of the Building commonly known as Suite 493, consisting of the entire fourth floor, and</w:t>
            </w:r>
          </w:p>
        </w:tc>
      </w:tr>
      <w:tr>
        <w:trPr>
          <w:trHeight w:val="217"/>
        </w:trPr>
        <w:tc>
          <w:tcPr>
            <w:tcW w:w="1780" w:type="dxa"/>
            <w:vAlign w:val="bottom"/>
          </w:tcPr>
          <w:p>
            <w:pPr>
              <w:spacing w:after="0"/>
              <w:rPr>
                <w:sz w:val="18"/>
                <w:szCs w:val="18"/>
                <w:color w:val="auto"/>
              </w:rPr>
            </w:pP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containing approximately 19,320 rentable square feet, as determined by Landlord, as shown on Exhibit A.</w:t>
            </w:r>
          </w:p>
        </w:tc>
      </w:tr>
      <w:tr>
        <w:trPr>
          <w:trHeight w:val="382"/>
        </w:trPr>
        <w:tc>
          <w:tcPr>
            <w:tcW w:w="178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The real property on which the Building in which the Premises are located, together with all improvements</w:t>
            </w:r>
          </w:p>
        </w:tc>
      </w:tr>
      <w:tr>
        <w:trPr>
          <w:trHeight w:val="239"/>
        </w:trPr>
        <w:tc>
          <w:tcPr>
            <w:tcW w:w="1780" w:type="dxa"/>
            <w:vAlign w:val="bottom"/>
          </w:tcPr>
          <w:p>
            <w:pPr>
              <w:spacing w:after="0"/>
              <w:rPr>
                <w:sz w:val="20"/>
                <w:szCs w:val="20"/>
                <w:color w:val="auto"/>
              </w:rPr>
            </w:pP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 xml:space="preserve">thereon 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378"/>
        </w:trPr>
        <w:tc>
          <w:tcPr>
            <w:tcW w:w="178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9460" w:type="dxa"/>
            <w:vAlign w:val="bottom"/>
            <w:gridSpan w:val="2"/>
          </w:tcPr>
          <w:p>
            <w:pPr>
              <w:ind w:left="820"/>
              <w:spacing w:after="0"/>
              <w:rPr>
                <w:sz w:val="20"/>
                <w:szCs w:val="20"/>
                <w:color w:val="auto"/>
              </w:rPr>
            </w:pPr>
            <w:r>
              <w:rPr>
                <w:rFonts w:ascii="Arial" w:cs="Arial" w:eastAsia="Arial" w:hAnsi="Arial"/>
                <w:sz w:val="18"/>
                <w:szCs w:val="18"/>
                <w:color w:val="auto"/>
              </w:rPr>
              <w:t>$6.00 per rentable square foot of the Premises per month, subject to adjustment pursuant to Section 4</w:t>
            </w:r>
          </w:p>
        </w:tc>
      </w:tr>
      <w:tr>
        <w:trPr>
          <w:trHeight w:val="223"/>
        </w:trPr>
        <w:tc>
          <w:tcPr>
            <w:tcW w:w="1780" w:type="dxa"/>
            <w:vAlign w:val="bottom"/>
          </w:tcPr>
          <w:p>
            <w:pPr>
              <w:spacing w:after="0"/>
              <w:rPr>
                <w:sz w:val="19"/>
                <w:szCs w:val="19"/>
                <w:color w:val="auto"/>
              </w:rPr>
            </w:pPr>
          </w:p>
        </w:tc>
        <w:tc>
          <w:tcPr>
            <w:tcW w:w="8680" w:type="dxa"/>
            <w:vAlign w:val="bottom"/>
          </w:tcPr>
          <w:p>
            <w:pPr>
              <w:ind w:left="820"/>
              <w:spacing w:after="0"/>
              <w:rPr>
                <w:sz w:val="20"/>
                <w:szCs w:val="20"/>
                <w:color w:val="auto"/>
              </w:rPr>
            </w:pPr>
            <w:r>
              <w:rPr>
                <w:rFonts w:ascii="Arial" w:cs="Arial" w:eastAsia="Arial" w:hAnsi="Arial"/>
                <w:sz w:val="18"/>
                <w:szCs w:val="18"/>
                <w:color w:val="auto"/>
              </w:rPr>
              <w:t>hereof.</w:t>
            </w:r>
          </w:p>
        </w:tc>
        <w:tc>
          <w:tcPr>
            <w:tcW w:w="780" w:type="dxa"/>
            <w:vAlign w:val="bottom"/>
            <w:tcBorders>
              <w:top w:val="single" w:sz="8" w:color="auto"/>
            </w:tcBorders>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19,320 sq. 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210,000 sq. 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Tenant’s Share of Operating Expenses: </w:t>
      </w:r>
      <w:r>
        <w:rPr>
          <w:rFonts w:ascii="Arial" w:cs="Arial" w:eastAsia="Arial" w:hAnsi="Arial"/>
          <w:sz w:val="18"/>
          <w:szCs w:val="18"/>
          <w:color w:val="auto"/>
        </w:rPr>
        <w:t>9.20%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$115,920.00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December 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760" w:type="dxa"/>
            <w:vAlign w:val="bottom"/>
            <w:gridSpan w:val="3"/>
          </w:tcPr>
          <w:p>
            <w:pPr>
              <w:ind w:left="140"/>
              <w:spacing w:after="0"/>
              <w:rPr>
                <w:sz w:val="20"/>
                <w:szCs w:val="20"/>
                <w:color w:val="auto"/>
              </w:rPr>
            </w:pPr>
            <w:r>
              <w:rPr>
                <w:rFonts w:ascii="Arial" w:cs="Arial" w:eastAsia="Arial" w:hAnsi="Arial"/>
                <w:sz w:val="18"/>
                <w:szCs w:val="18"/>
                <w:color w:val="auto"/>
              </w:rPr>
              <w:t>Beginning on the Commencement Date and ending on June 30, 2024</w:t>
            </w:r>
            <w:r>
              <w:rPr>
                <w:rFonts w:ascii="Arial" w:cs="Arial" w:eastAsia="Arial" w:hAnsi="Arial"/>
                <w:sz w:val="18"/>
                <w:szCs w:val="18"/>
                <w:b w:val="1"/>
                <w:bCs w:val="1"/>
                <w:color w:val="auto"/>
              </w:rPr>
              <w:t>.</w:t>
            </w:r>
          </w:p>
        </w:tc>
      </w:tr>
      <w:tr>
        <w:trPr>
          <w:trHeight w:val="404"/>
        </w:trPr>
        <w:tc>
          <w:tcPr>
            <w:tcW w:w="2460" w:type="dxa"/>
            <w:vAlign w:val="bottom"/>
          </w:tcPr>
          <w:p>
            <w:pPr>
              <w:spacing w:after="0"/>
              <w:rPr>
                <w:sz w:val="20"/>
                <w:szCs w:val="20"/>
                <w:color w:val="auto"/>
              </w:rPr>
            </w:pPr>
            <w:r>
              <w:rPr>
                <w:rFonts w:ascii="Arial" w:cs="Arial" w:eastAsia="Arial" w:hAnsi="Arial"/>
                <w:sz w:val="18"/>
                <w:szCs w:val="18"/>
                <w:b w:val="1"/>
                <w:bCs w:val="1"/>
                <w:color w:val="auto"/>
              </w:rPr>
              <w:t>Permitted Use:</w:t>
            </w:r>
          </w:p>
        </w:tc>
        <w:tc>
          <w:tcPr>
            <w:tcW w:w="876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 laboratory, related office and other related uses consistent with the character of</w:t>
            </w:r>
          </w:p>
        </w:tc>
      </w:tr>
      <w:tr>
        <w:trPr>
          <w:trHeight w:val="176"/>
        </w:trPr>
        <w:tc>
          <w:tcPr>
            <w:tcW w:w="2460" w:type="dxa"/>
            <w:vAlign w:val="bottom"/>
          </w:tcPr>
          <w:p>
            <w:pPr>
              <w:spacing w:after="0"/>
              <w:rPr>
                <w:sz w:val="15"/>
                <w:szCs w:val="15"/>
                <w:color w:val="auto"/>
              </w:rPr>
            </w:pPr>
          </w:p>
        </w:tc>
        <w:tc>
          <w:tcPr>
            <w:tcW w:w="87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the Project and otherwise in compliance with the provisions of Section 7 hereof.</w:t>
            </w:r>
          </w:p>
        </w:tc>
      </w:tr>
      <w:tr>
        <w:trPr>
          <w:trHeight w:val="20"/>
        </w:trPr>
        <w:tc>
          <w:tcPr>
            <w:tcW w:w="24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857"/>
        </w:trPr>
        <w:tc>
          <w:tcPr>
            <w:tcW w:w="2460" w:type="dxa"/>
            <w:vAlign w:val="bottom"/>
          </w:tcPr>
          <w:p>
            <w:pPr>
              <w:spacing w:after="0"/>
              <w:rPr>
                <w:sz w:val="20"/>
                <w:szCs w:val="20"/>
                <w:color w:val="auto"/>
              </w:rPr>
            </w:pPr>
            <w:r>
              <w:rPr>
                <w:rFonts w:ascii="Arial" w:cs="Arial" w:eastAsia="Arial" w:hAnsi="Arial"/>
                <w:sz w:val="18"/>
                <w:szCs w:val="18"/>
                <w:b w:val="1"/>
                <w:bCs w:val="1"/>
                <w:color w:val="auto"/>
              </w:rPr>
              <w:t>Address for Rent Payment:</w:t>
            </w:r>
          </w:p>
        </w:tc>
        <w:tc>
          <w:tcPr>
            <w:tcW w:w="8760" w:type="dxa"/>
            <w:vAlign w:val="bottom"/>
            <w:gridSpan w:val="3"/>
          </w:tcPr>
          <w:p>
            <w:pPr>
              <w:ind w:left="3760"/>
              <w:spacing w:after="0"/>
              <w:rPr>
                <w:sz w:val="20"/>
                <w:szCs w:val="20"/>
                <w:color w:val="auto"/>
              </w:rPr>
            </w:pPr>
            <w:r>
              <w:rPr>
                <w:rFonts w:ascii="Arial" w:cs="Arial" w:eastAsia="Arial" w:hAnsi="Arial"/>
                <w:sz w:val="18"/>
                <w:szCs w:val="18"/>
                <w:b w:val="1"/>
                <w:bCs w:val="1"/>
                <w:color w:val="auto"/>
              </w:rPr>
              <w:t>Landlord’s Notice Address:</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P.O. Box 31001-2384</w:t>
            </w:r>
          </w:p>
        </w:tc>
        <w:tc>
          <w:tcPr>
            <w:tcW w:w="8760" w:type="dxa"/>
            <w:vAlign w:val="bottom"/>
            <w:gridSpan w:val="3"/>
          </w:tcPr>
          <w:p>
            <w:pPr>
              <w:ind w:left="3140"/>
              <w:spacing w:after="0" w:line="202" w:lineRule="exact"/>
              <w:rPr>
                <w:sz w:val="20"/>
                <w:szCs w:val="20"/>
                <w:color w:val="auto"/>
              </w:rPr>
            </w:pPr>
            <w:r>
              <w:rPr>
                <w:rFonts w:ascii="Arial" w:cs="Arial" w:eastAsia="Arial" w:hAnsi="Arial"/>
                <w:sz w:val="18"/>
                <w:szCs w:val="18"/>
                <w:color w:val="auto"/>
              </w:rPr>
              <w:t>26 North Euclid Avenue</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Pasadena, CA 91101-2384</w:t>
            </w:r>
          </w:p>
        </w:tc>
        <w:tc>
          <w:tcPr>
            <w:tcW w:w="8760" w:type="dxa"/>
            <w:vAlign w:val="bottom"/>
            <w:gridSpan w:val="3"/>
          </w:tcPr>
          <w:p>
            <w:pPr>
              <w:ind w:left="3600"/>
              <w:spacing w:after="0" w:line="202" w:lineRule="exact"/>
              <w:rPr>
                <w:sz w:val="20"/>
                <w:szCs w:val="20"/>
                <w:color w:val="auto"/>
              </w:rPr>
            </w:pPr>
            <w:r>
              <w:rPr>
                <w:rFonts w:ascii="Arial" w:cs="Arial" w:eastAsia="Arial" w:hAnsi="Arial"/>
                <w:sz w:val="18"/>
                <w:szCs w:val="18"/>
                <w:color w:val="auto"/>
              </w:rPr>
              <w:t>Pasadena, CA 91101</w:t>
            </w:r>
          </w:p>
        </w:tc>
      </w:tr>
      <w:tr>
        <w:trPr>
          <w:trHeight w:val="217"/>
        </w:trPr>
        <w:tc>
          <w:tcPr>
            <w:tcW w:w="2460" w:type="dxa"/>
            <w:vAlign w:val="bottom"/>
          </w:tcPr>
          <w:p>
            <w:pPr>
              <w:spacing w:after="0"/>
              <w:rPr>
                <w:sz w:val="18"/>
                <w:szCs w:val="18"/>
                <w:color w:val="auto"/>
              </w:rPr>
            </w:pPr>
          </w:p>
        </w:tc>
        <w:tc>
          <w:tcPr>
            <w:tcW w:w="8760" w:type="dxa"/>
            <w:vAlign w:val="bottom"/>
            <w:gridSpan w:val="3"/>
          </w:tcPr>
          <w:p>
            <w:pPr>
              <w:ind w:left="2740"/>
              <w:spacing w:after="0"/>
              <w:rPr>
                <w:sz w:val="20"/>
                <w:szCs w:val="20"/>
                <w:color w:val="auto"/>
              </w:rPr>
            </w:pPr>
            <w:r>
              <w:rPr>
                <w:rFonts w:ascii="Arial" w:cs="Arial" w:eastAsia="Arial" w:hAnsi="Arial"/>
                <w:sz w:val="18"/>
                <w:szCs w:val="18"/>
                <w:color w:val="auto"/>
              </w:rPr>
              <w:t>Attention: Corporate Secretary</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1700 Owens Street, Suite 205</w:t>
      </w:r>
    </w:p>
    <w:p>
      <w:pPr>
        <w:spacing w:after="0" w:line="234" w:lineRule="auto"/>
        <w:rPr>
          <w:sz w:val="20"/>
          <w:szCs w:val="20"/>
          <w:color w:val="auto"/>
        </w:rPr>
      </w:pPr>
      <w:r>
        <w:rPr>
          <w:rFonts w:ascii="Arial" w:cs="Arial" w:eastAsia="Arial" w:hAnsi="Arial"/>
          <w:sz w:val="18"/>
          <w:szCs w:val="18"/>
          <w:color w:val="auto"/>
        </w:rPr>
        <w:t>San Francisco, California 94158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p>
        </w:tc>
        <w:tc>
          <w:tcPr>
            <w:tcW w:w="6160" w:type="dxa"/>
            <w:vAlign w:val="bottom"/>
          </w:tcPr>
          <w:p>
            <w:pPr>
              <w:ind w:left="23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 DESCRIPTION OF</w:t>
            </w:r>
          </w:p>
        </w:tc>
      </w:tr>
      <w:tr>
        <w:trPr>
          <w:trHeight w:val="180"/>
        </w:trPr>
        <w:tc>
          <w:tcPr>
            <w:tcW w:w="5100" w:type="dxa"/>
            <w:vAlign w:val="bottom"/>
          </w:tcPr>
          <w:p>
            <w:pPr>
              <w:spacing w:after="0" w:line="181" w:lineRule="exact"/>
              <w:rPr>
                <w:sz w:val="20"/>
                <w:szCs w:val="20"/>
                <w:color w:val="auto"/>
              </w:rPr>
            </w:pPr>
            <w:r>
              <w:rPr>
                <w:rFonts w:ascii="Arial" w:cs="Arial" w:eastAsia="Arial" w:hAnsi="Arial"/>
                <w:sz w:val="18"/>
                <w:szCs w:val="18"/>
                <w:color w:val="auto"/>
              </w:rPr>
              <w:t>PROJECT</w:t>
            </w:r>
          </w:p>
        </w:tc>
        <w:tc>
          <w:tcPr>
            <w:tcW w:w="6160" w:type="dxa"/>
            <w:vAlign w:val="bottom"/>
          </w:tcPr>
          <w:p>
            <w:pPr>
              <w:spacing w:after="0"/>
              <w:rPr>
                <w:sz w:val="15"/>
                <w:szCs w:val="15"/>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OMITTED</w:t>
            </w:r>
          </w:p>
        </w:tc>
        <w:tc>
          <w:tcPr>
            <w:tcW w:w="6160" w:type="dxa"/>
            <w:vAlign w:val="bottom"/>
          </w:tcPr>
          <w:p>
            <w:pPr>
              <w:ind w:left="1000"/>
              <w:spacing w:after="0" w:line="202" w:lineRule="exact"/>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tc>
      </w:tr>
      <w:tr>
        <w:trPr>
          <w:trHeight w:val="225"/>
        </w:trPr>
        <w:tc>
          <w:tcPr>
            <w:tcW w:w="5100" w:type="dxa"/>
            <w:vAlign w:val="bottom"/>
          </w:tcPr>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p>
        </w:tc>
        <w:tc>
          <w:tcPr>
            <w:tcW w:w="6160" w:type="dxa"/>
            <w:vAlign w:val="bottom"/>
          </w:tcPr>
          <w:p>
            <w:pPr>
              <w:ind w:left="25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 TENANT’S PERSONAL</w:t>
            </w:r>
          </w:p>
        </w:tc>
      </w:tr>
      <w:tr>
        <w:trPr>
          <w:trHeight w:val="180"/>
        </w:trPr>
        <w:tc>
          <w:tcPr>
            <w:tcW w:w="5100" w:type="dxa"/>
            <w:vAlign w:val="bottom"/>
          </w:tcPr>
          <w:p>
            <w:pPr>
              <w:spacing w:after="0" w:line="181" w:lineRule="exact"/>
              <w:rPr>
                <w:sz w:val="20"/>
                <w:szCs w:val="20"/>
                <w:color w:val="auto"/>
              </w:rPr>
            </w:pPr>
            <w:r>
              <w:rPr>
                <w:rFonts w:ascii="Arial" w:cs="Arial" w:eastAsia="Arial" w:hAnsi="Arial"/>
                <w:sz w:val="18"/>
                <w:szCs w:val="18"/>
                <w:color w:val="auto"/>
              </w:rPr>
              <w:t>PROPERTY</w:t>
            </w:r>
          </w:p>
        </w:tc>
        <w:tc>
          <w:tcPr>
            <w:tcW w:w="6160" w:type="dxa"/>
            <w:vAlign w:val="bottom"/>
          </w:tcPr>
          <w:p>
            <w:pPr>
              <w:spacing w:after="0"/>
              <w:rPr>
                <w:sz w:val="15"/>
                <w:szCs w:val="15"/>
                <w:color w:val="auto"/>
              </w:rPr>
            </w:pPr>
          </w:p>
        </w:tc>
      </w:tr>
      <w:tr>
        <w:trPr>
          <w:trHeight w:val="239"/>
        </w:trPr>
        <w:tc>
          <w:tcPr>
            <w:tcW w:w="5100" w:type="dxa"/>
            <w:vAlign w:val="bottom"/>
          </w:tcPr>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 MISSION BAY REQUIREMENTS</w:t>
            </w:r>
          </w:p>
        </w:tc>
        <w:tc>
          <w:tcPr>
            <w:tcW w:w="6160" w:type="dxa"/>
            <w:vAlign w:val="bottom"/>
          </w:tcPr>
          <w:p>
            <w:pPr>
              <w:spacing w:after="0"/>
              <w:rPr>
                <w:sz w:val="20"/>
                <w:szCs w:val="20"/>
                <w:color w:val="auto"/>
              </w:rPr>
            </w:pPr>
          </w:p>
        </w:tc>
      </w:tr>
      <w:tr>
        <w:trPr>
          <w:trHeight w:val="533"/>
        </w:trPr>
        <w:tc>
          <w:tcPr>
            <w:tcW w:w="510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2" w:name="page93"/>
    <w:bookmarkEnd w:id="92"/>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w:t>
      </w:r>
    </w:p>
    <w:p>
      <w:pPr>
        <w:spacing w:after="0" w:line="211" w:lineRule="exact"/>
        <w:rPr>
          <w:sz w:val="20"/>
          <w:szCs w:val="20"/>
          <w:color w:val="auto"/>
        </w:rPr>
      </w:pPr>
    </w:p>
    <w:p>
      <w:pPr>
        <w:ind w:right="7080" w:firstLine="8"/>
        <w:spacing w:after="0" w:line="271" w:lineRule="auto"/>
        <w:tabs>
          <w:tab w:leader="none" w:pos="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X ]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 SUCCESSOR PROJECT LABOR AGREEMENT</w:t>
      </w:r>
    </w:p>
    <w:p>
      <w:pPr>
        <w:spacing w:after="0" w:line="153" w:lineRule="exact"/>
        <w:rPr>
          <w:rFonts w:ascii="Arial" w:cs="Arial" w:eastAsia="Arial" w:hAnsi="Arial"/>
          <w:sz w:val="18"/>
          <w:szCs w:val="18"/>
          <w:color w:val="auto"/>
        </w:rPr>
      </w:pPr>
    </w:p>
    <w:p>
      <w:pPr>
        <w:jc w:val="both"/>
        <w:ind w:firstLine="872"/>
        <w:spacing w:after="0" w:line="239" w:lineRule="auto"/>
        <w:tabs>
          <w:tab w:leader="none" w:pos="231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Tenant and Tenant hereby leases the Premises from Landlord. The portions of the Project which are for the non-exclusive use of tenants of the Project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Tenant shall have the non-exclusive use of the Common Areas in common with other tenants of the Project. Landlord reserves the right to modify Common Areas, provided that such modifications do not materially adversely affect Tenant’s use of the Premises for the Permitted Use and provided that such modifications do not materially increase the obligations or decrease the rights of Tenant under this Lease.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83" w:lineRule="exact"/>
        <w:rPr>
          <w:rFonts w:ascii="Arial" w:cs="Arial" w:eastAsia="Arial" w:hAnsi="Arial"/>
          <w:sz w:val="18"/>
          <w:szCs w:val="18"/>
          <w:color w:val="auto"/>
        </w:rPr>
      </w:pPr>
    </w:p>
    <w:p>
      <w:pPr>
        <w:ind w:left="2320" w:hanging="1448"/>
        <w:spacing w:after="0"/>
        <w:tabs>
          <w:tab w:leader="none" w:pos="232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39" w:lineRule="auto"/>
        <w:tabs>
          <w:tab w:leader="none" w:pos="2379"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Delivery</w:t>
      </w:r>
      <w:r>
        <w:rPr>
          <w:rFonts w:ascii="Arial" w:cs="Arial" w:eastAsia="Arial" w:hAnsi="Arial"/>
          <w:sz w:val="18"/>
          <w:szCs w:val="18"/>
          <w:color w:val="auto"/>
        </w:rPr>
        <w:t>. Landlord shall use reasonable efforts to deliver the Premises to Tenant on or before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xml:space="preserve">”). If Landlord fails to timely Deliver the Premises, Landlord shall not be liable to Tenant for any loss or damage resulting therefrom, and this Lease shall not be void or voidable except as provided herein. If Landlord does not Deliver the Premises within 45 days of the Target Commencement Date for any reason other than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delays, this Lease may be terminated by Tenant by written notice to Landlord, and if so terminated by Tenant: (a) the Security Deposit, or any balance thereof (i.e., after deducting therefrom all amounts to which Landlord is entitled under the provisions of this Lease, if any), shall be returned to Tenant, and (b) neither Landlord nor Tenant shall have any further rights, duties or obligations under this Lease, except with respect to provisions which expressly survive termination of this Lease. If Tenant does not elect to void this Lease within 15 business days of the lapse of such 45 day period, such right to void this Lease shall be waived and this Lease shall remain in full force and effect.</w:t>
      </w:r>
    </w:p>
    <w:p>
      <w:pPr>
        <w:spacing w:after="0" w:line="183" w:lineRule="exact"/>
        <w:rPr>
          <w:rFonts w:ascii="Arial" w:cs="Arial" w:eastAsia="Arial" w:hAnsi="Arial"/>
          <w:sz w:val="18"/>
          <w:szCs w:val="18"/>
          <w:color w:val="auto"/>
        </w:rPr>
      </w:pPr>
    </w:p>
    <w:p>
      <w:pPr>
        <w:jc w:val="both"/>
        <w:ind w:firstLine="872"/>
        <w:spacing w:after="0"/>
        <w:tabs>
          <w:tab w:leader="none" w:pos="2379"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Commencement Date; Acceptance of Premises</w:t>
      </w:r>
      <w:r>
        <w:rPr>
          <w:rFonts w:ascii="Arial" w:cs="Arial" w:eastAsia="Arial" w:hAnsi="Arial"/>
          <w:sz w:val="18"/>
          <w:szCs w:val="18"/>
          <w:color w:val="auto"/>
        </w:rPr>
        <w:t>. 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date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Delivers the Premises to Tenant.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shall be the date that is 30 days after the Commencement Date. The period commencing on the Commencement Date through the day immediately preceding the Rent Commencement Date may be referred to herein as the “</w:t>
      </w:r>
      <w:r>
        <w:rPr>
          <w:rFonts w:ascii="Arial" w:cs="Arial" w:eastAsia="Arial" w:hAnsi="Arial"/>
          <w:sz w:val="18"/>
          <w:szCs w:val="18"/>
          <w:b w:val="1"/>
          <w:bCs w:val="1"/>
          <w:color w:val="auto"/>
        </w:rPr>
        <w:t>Abatement Period</w:t>
      </w:r>
      <w:r>
        <w:rPr>
          <w:rFonts w:ascii="Arial" w:cs="Arial" w:eastAsia="Arial" w:hAnsi="Arial"/>
          <w:sz w:val="18"/>
          <w:szCs w:val="18"/>
          <w:color w:val="auto"/>
        </w:rPr>
        <w:t xml:space="preserve">.”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the Extension Term which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w:t>
      </w:r>
    </w:p>
    <w:p>
      <w:pPr>
        <w:spacing w:after="0" w:line="20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Notwithstanding anything herein to the contrary, Landlord shall permit Tenant access to the Premises for a period of 30 days prior to the Commencement Date for Tenant’s installation and setup of furniture, fixtures and equipment (“</w:t>
      </w:r>
      <w:r>
        <w:rPr>
          <w:rFonts w:ascii="Arial" w:cs="Arial" w:eastAsia="Arial" w:hAnsi="Arial"/>
          <w:sz w:val="18"/>
          <w:szCs w:val="18"/>
          <w:b w:val="1"/>
          <w:bCs w:val="1"/>
          <w:color w:val="auto"/>
        </w:rPr>
        <w:t>FF&amp;E Installation</w:t>
      </w:r>
      <w:r>
        <w:rPr>
          <w:rFonts w:ascii="Arial" w:cs="Arial" w:eastAsia="Arial" w:hAnsi="Arial"/>
          <w:sz w:val="18"/>
          <w:szCs w:val="18"/>
          <w:color w:val="auto"/>
        </w:rPr>
        <w:t>”), including Tenant’s IT, telephone and security systems, and construction and installation of the Premises Improvements (“</w:t>
      </w:r>
      <w:r>
        <w:rPr>
          <w:rFonts w:ascii="Arial" w:cs="Arial" w:eastAsia="Arial" w:hAnsi="Arial"/>
          <w:sz w:val="18"/>
          <w:szCs w:val="18"/>
          <w:b w:val="1"/>
          <w:bCs w:val="1"/>
          <w:color w:val="auto"/>
        </w:rPr>
        <w:t>Premises Improvements</w:t>
      </w:r>
      <w:r>
        <w:rPr>
          <w:rFonts w:ascii="Arial" w:cs="Arial" w:eastAsia="Arial" w:hAnsi="Arial"/>
          <w:sz w:val="18"/>
          <w:szCs w:val="18"/>
          <w:color w:val="auto"/>
        </w:rPr>
        <w:t xml:space="preserve"> </w:t>
      </w:r>
      <w:r>
        <w:rPr>
          <w:rFonts w:ascii="Arial" w:cs="Arial" w:eastAsia="Arial" w:hAnsi="Arial"/>
          <w:sz w:val="18"/>
          <w:szCs w:val="18"/>
          <w:b w:val="1"/>
          <w:bCs w:val="1"/>
          <w:color w:val="auto"/>
        </w:rPr>
        <w:t>Installation</w:t>
      </w:r>
      <w:r>
        <w:rPr>
          <w:rFonts w:ascii="Arial" w:cs="Arial" w:eastAsia="Arial" w:hAnsi="Arial"/>
          <w:sz w:val="18"/>
          <w:szCs w:val="18"/>
          <w:color w:val="auto"/>
        </w:rPr>
        <w:t>”), provided that such FF&amp;E Installation and Premises Improvements Installation are coordinated with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complies with this Lease and all other reasonable restrictions and conditions Landlord may impose. All such access shall be during normal business hours. Any access to the Premises by Tenant before the Commencement Date shall be subject to all of the terms and conditions of this Lease, excluding the obligation to pay Base Rent or Operating Expenses.</w:t>
      </w:r>
    </w:p>
    <w:p>
      <w:pPr>
        <w:spacing w:after="0" w:line="203"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Except as otherwise expressly set forth in this Lease, (i) Tenant shall accept the Premises in their condition as of the Commencement Date; (ii) Landlord shall have no obligation for any defects in the Premises; and (iii) Tenant’s taking possession of the Premises shall be conclusive evidence that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For the period of 180 consecutive days after the Commencement Date, Landlord shall, at its sole cost and expense (which shall not constitute an Operating Expense), be responsible for any repairs that are required to be made to the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serving the Premises, unless Tenant or any Tenant Party was responsible for the cause of such repair, in which case Tenant shall pay the cost upon the receipt of invoices therefore.</w:t>
      </w:r>
    </w:p>
    <w:p>
      <w:pPr>
        <w:spacing w:after="0" w:line="205"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83" w:lineRule="exact"/>
        <w:rPr>
          <w:sz w:val="20"/>
          <w:szCs w:val="20"/>
          <w:color w:val="auto"/>
        </w:rPr>
      </w:pPr>
    </w:p>
    <w:p>
      <w:pPr>
        <w:jc w:val="both"/>
        <w:ind w:firstLine="872"/>
        <w:spacing w:after="0" w:line="237" w:lineRule="auto"/>
        <w:tabs>
          <w:tab w:leader="none" w:pos="2369"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Premises Improvements</w:t>
      </w:r>
      <w:r>
        <w:rPr>
          <w:rFonts w:ascii="Arial" w:cs="Arial" w:eastAsia="Arial" w:hAnsi="Arial"/>
          <w:sz w:val="18"/>
          <w:szCs w:val="18"/>
          <w:color w:val="auto"/>
        </w:rPr>
        <w:t>. Landlord shall make available to Tenant a tenant improvement allowance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$25.00 per rentable square foot of the Premises (the “</w:t>
      </w:r>
      <w:r>
        <w:rPr>
          <w:rFonts w:ascii="Arial" w:cs="Arial" w:eastAsia="Arial" w:hAnsi="Arial"/>
          <w:sz w:val="18"/>
          <w:szCs w:val="18"/>
          <w:b w:val="1"/>
          <w:bCs w:val="1"/>
          <w:color w:val="auto"/>
        </w:rPr>
        <w:t>Improvement Allowance</w:t>
      </w:r>
      <w:r>
        <w:rPr>
          <w:rFonts w:ascii="Arial" w:cs="Arial" w:eastAsia="Arial" w:hAnsi="Arial"/>
          <w:sz w:val="18"/>
          <w:szCs w:val="18"/>
          <w:color w:val="auto"/>
        </w:rPr>
        <w:t>”), for the design and construction of fixed and permanent improvements desired by and performed by Tenant and reasonably acceptable to Landlord in the Premises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which Premises Improvements shall be constructed pursuant to a scope of work reasonably acceptable to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 The Improvement Allowance shall be available only for the design and construction of the Premises Improvements. Tenant acknowledges that upon the expiration of the Term of the Lease, the Premises Improvements shall become the property of Landlord and may not be removed by Tenant. Except for the Improvement Allowance, Tenant shall be solely responsible for all of the costs of the Premises Improvements. The Premises Improvements shall be treated as Alterations and shall be undertaken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The contractor for the Premises Improvements shall be selected by Tenant, subject to Landlord’s approval, which approval shall not be unreasonably withheld, conditioned or delayed. Prior to the commencement of the Premises Improvements, Tenant shall deliver to Landlord a copy of any contract with Tenant’s contractors, and certificates of insurance from any contractor performing any part of the Premises Improvements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21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Upon Tenant’s substantial completion of the Premises Improvements, Landlord shall reimburse Tenant for the cost of the Premises Improvements up to the amount of the Improvement Allowance, no later than 30 days following receipt of such draw request with: (i) sworn statements setting forth the names of all contractors and subcontractors who did work on the Premises Improvements and final lien waivers from all such contractors and subcontractors; and (ii) “as built” plans for the Premises Improvements. Notwithstanding the foregoing, if the cost of the Premises Improvements exceeds the Improvement Allowance, Tenant shall be required to pay such excess in full prior to Landlord having any obligation to fund the Improvement Allowance. The Improvement Allowance shall only be available for use by Tenant for the construction of the Premises Improvements commencing on the date of this Lease through the date occurring 12 months after the date of this Lease (the “</w:t>
      </w:r>
      <w:r>
        <w:rPr>
          <w:rFonts w:ascii="Arial" w:cs="Arial" w:eastAsia="Arial" w:hAnsi="Arial"/>
          <w:sz w:val="18"/>
          <w:szCs w:val="18"/>
          <w:b w:val="1"/>
          <w:bCs w:val="1"/>
          <w:color w:val="auto"/>
        </w:rPr>
        <w:t>Outside Improvement Allowance Date</w:t>
      </w:r>
      <w:r>
        <w:rPr>
          <w:rFonts w:ascii="Arial" w:cs="Arial" w:eastAsia="Arial" w:hAnsi="Arial"/>
          <w:sz w:val="18"/>
          <w:szCs w:val="18"/>
          <w:color w:val="auto"/>
        </w:rPr>
        <w:t>”). Any portion of the Improvement Allowance which has not been properly requested by Tenant from Landlord on or before the Outside Improvement Allowance Date shall be forfeited and shall not be available for use by Tenant.</w:t>
      </w:r>
    </w:p>
    <w:p>
      <w:pPr>
        <w:spacing w:after="0" w:line="184" w:lineRule="exact"/>
        <w:rPr>
          <w:sz w:val="20"/>
          <w:szCs w:val="20"/>
          <w:color w:val="auto"/>
        </w:rPr>
      </w:pPr>
    </w:p>
    <w:p>
      <w:pPr>
        <w:ind w:left="2320" w:hanging="1448"/>
        <w:spacing w:after="0"/>
        <w:tabs>
          <w:tab w:leader="none" w:pos="23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4</w:t>
      </w:r>
    </w:p>
    <w:p>
      <w:pPr>
        <w:spacing w:after="0" w:line="200" w:lineRule="exact"/>
        <w:rPr>
          <w:sz w:val="20"/>
          <w:szCs w:val="20"/>
          <w:color w:val="auto"/>
        </w:rPr>
      </w:pPr>
    </w:p>
    <w:p>
      <w:pPr>
        <w:spacing w:after="0" w:line="227" w:lineRule="exact"/>
        <w:rPr>
          <w:sz w:val="20"/>
          <w:szCs w:val="20"/>
          <w:color w:val="auto"/>
        </w:rPr>
      </w:pPr>
    </w:p>
    <w:p>
      <w:pPr>
        <w:jc w:val="both"/>
        <w:ind w:firstLine="872"/>
        <w:spacing w:after="0" w:line="239" w:lineRule="auto"/>
        <w:tabs>
          <w:tab w:leader="none" w:pos="237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for the month in which Rent Commencement Date occurs (or, if the Rent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Commencement Date does not occur on the first day of a calendar month, Base Rent for the first full calendar month following the Rent Commencement Date) and the Security Deposit shall be due and payable concurrently with Tenant’s delivery of an executed copy of this Lease to Landlord.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or via federally insured wire transfer (including ACH) pursuant to the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179" w:lineRule="exact"/>
        <w:rPr>
          <w:rFonts w:ascii="Arial" w:cs="Arial" w:eastAsia="Arial" w:hAnsi="Arial"/>
          <w:sz w:val="18"/>
          <w:szCs w:val="18"/>
          <w:color w:val="auto"/>
        </w:rPr>
      </w:pPr>
    </w:p>
    <w:p>
      <w:pPr>
        <w:ind w:left="2380" w:hanging="1508"/>
        <w:spacing w:after="0"/>
        <w:tabs>
          <w:tab w:leader="none" w:pos="23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w:t>
      </w:r>
    </w:p>
    <w:p>
      <w:pPr>
        <w:spacing w:after="0" w:line="17" w:lineRule="exact"/>
        <w:rPr>
          <w:rFonts w:ascii="Arial" w:cs="Arial" w:eastAsia="Arial" w:hAnsi="Arial"/>
          <w:sz w:val="18"/>
          <w:szCs w:val="18"/>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(i) commencing on the Rent Commencement Date, Tenant’s Share of “Operating Expenses”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83" w:lineRule="exact"/>
        <w:rPr>
          <w:sz w:val="20"/>
          <w:szCs w:val="20"/>
          <w:color w:val="auto"/>
        </w:rPr>
      </w:pPr>
    </w:p>
    <w:p>
      <w:pPr>
        <w:jc w:val="both"/>
        <w:ind w:firstLine="872"/>
        <w:spacing w:after="0" w:line="242" w:lineRule="auto"/>
        <w:tabs>
          <w:tab w:leader="none" w:pos="231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annual anniversary of the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(provided, however, that if the Commencement Date occurs on a day other than the first day of a calendar month, then Base Rent shall be increased on each annual anniversary of the first day of the first full calendar month immediately following the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78" w:lineRule="exact"/>
        <w:rPr>
          <w:rFonts w:ascii="Arial" w:cs="Arial" w:eastAsia="Arial" w:hAnsi="Arial"/>
          <w:sz w:val="18"/>
          <w:szCs w:val="18"/>
          <w:color w:val="auto"/>
        </w:rPr>
      </w:pPr>
    </w:p>
    <w:p>
      <w:pPr>
        <w:jc w:val="both"/>
        <w:ind w:firstLine="872"/>
        <w:spacing w:after="0" w:line="244" w:lineRule="auto"/>
        <w:tabs>
          <w:tab w:leader="none" w:pos="231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3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Project (including, without duplication, (i)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(ii) the cost of enhanced services provided at the Project which are intended to encourage social distancing, promote and protect health and physical well-being and/or intended to limit the spread of communicable diseases and/or viruses of any kind or nature more virulent than the flu (collectively, “</w:t>
      </w:r>
      <w:r>
        <w:rPr>
          <w:rFonts w:ascii="Arial" w:cs="Arial" w:eastAsia="Arial" w:hAnsi="Arial"/>
          <w:sz w:val="18"/>
          <w:szCs w:val="18"/>
          <w:b w:val="1"/>
          <w:bCs w:val="1"/>
          <w:color w:val="auto"/>
        </w:rPr>
        <w:t>Infectious Conditions</w:t>
      </w:r>
      <w:r>
        <w:rPr>
          <w:rFonts w:ascii="Arial" w:cs="Arial" w:eastAsia="Arial" w:hAnsi="Arial"/>
          <w:sz w:val="18"/>
          <w:szCs w:val="18"/>
          <w:color w:val="auto"/>
        </w:rPr>
        <w:t>”), (iii) the cost (including, without limitation, any commercially reasonable subsidies which Landlord may provide in connection with the Project Amenities) of the common area amenities (the “</w:t>
      </w:r>
      <w:r>
        <w:rPr>
          <w:rFonts w:ascii="Arial" w:cs="Arial" w:eastAsia="Arial" w:hAnsi="Arial"/>
          <w:sz w:val="18"/>
          <w:szCs w:val="18"/>
          <w:b w:val="1"/>
          <w:bCs w:val="1"/>
          <w:color w:val="auto"/>
        </w:rPr>
        <w:t>Project Amenities</w:t>
      </w:r>
      <w:r>
        <w:rPr>
          <w:rFonts w:ascii="Arial" w:cs="Arial" w:eastAsia="Arial" w:hAnsi="Arial"/>
          <w:sz w:val="18"/>
          <w:szCs w:val="18"/>
          <w:color w:val="auto"/>
        </w:rPr>
        <w:t xml:space="preserve">”) now or hereafter located at the Project, (iv) transportation services (including the Shuttle Service Costs (as defined in </w:t>
      </w:r>
      <w:r>
        <w:rPr>
          <w:rFonts w:ascii="Arial" w:cs="Arial" w:eastAsia="Arial" w:hAnsi="Arial"/>
          <w:sz w:val="18"/>
          <w:szCs w:val="18"/>
          <w:u w:val="single" w:color="auto"/>
          <w:color w:val="auto"/>
        </w:rPr>
        <w:t>Section 41(q)</w:t>
      </w:r>
      <w:r>
        <w:rPr>
          <w:rFonts w:ascii="Arial" w:cs="Arial" w:eastAsia="Arial" w:hAnsi="Arial"/>
          <w:sz w:val="18"/>
          <w:szCs w:val="18"/>
          <w:color w:val="auto"/>
        </w:rPr>
        <w:t>)), (v) capital repairs, improvements and replacements amortized over the lesser of 10 years and the useful life of such capital repairs, improvements and replacements, and (vi) the costs of Landlord’s third party property manager (not to exceed 3.0% of Base Rent) or, if there is no third party property manager, administration rent in the amount of 3.0% of Base Rent), excluding only:</w:t>
      </w:r>
    </w:p>
    <w:p>
      <w:pPr>
        <w:spacing w:after="0" w:line="202" w:lineRule="exact"/>
        <w:rPr>
          <w:sz w:val="20"/>
          <w:szCs w:val="20"/>
          <w:color w:val="auto"/>
        </w:rPr>
      </w:pPr>
    </w:p>
    <w:p>
      <w:pPr>
        <w:ind w:firstLine="872"/>
        <w:spacing w:after="0" w:line="246" w:lineRule="auto"/>
        <w:tabs>
          <w:tab w:leader="none" w:pos="23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this Lease and costs of correcting defects in such original construction or renovation;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5</w:t>
      </w:r>
    </w:p>
    <w:p>
      <w:pPr>
        <w:spacing w:after="0" w:line="233" w:lineRule="exact"/>
        <w:rPr>
          <w:sz w:val="20"/>
          <w:szCs w:val="20"/>
          <w:color w:val="auto"/>
        </w:rPr>
      </w:pPr>
    </w:p>
    <w:p>
      <w:pPr>
        <w:ind w:left="1508" w:hanging="1508"/>
        <w:spacing w:after="0"/>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211" w:lineRule="exact"/>
        <w:rPr>
          <w:rFonts w:ascii="Arial" w:cs="Arial" w:eastAsia="Arial" w:hAnsi="Arial"/>
          <w:sz w:val="18"/>
          <w:szCs w:val="18"/>
          <w:color w:val="auto"/>
        </w:rPr>
      </w:pPr>
    </w:p>
    <w:p>
      <w:pPr>
        <w:jc w:val="both"/>
        <w:ind w:left="-872" w:firstLine="872"/>
        <w:spacing w:after="0" w:line="253" w:lineRule="auto"/>
        <w:tabs>
          <w:tab w:leader="none" w:pos="14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costs incurred to remove, study, test or remediate, or otherwise related to the presence of Hazardous Materials (as defined in </w:t>
      </w:r>
      <w:r>
        <w:rPr>
          <w:rFonts w:ascii="Arial" w:cs="Arial" w:eastAsia="Arial" w:hAnsi="Arial"/>
          <w:sz w:val="17"/>
          <w:szCs w:val="17"/>
          <w:u w:val="single" w:color="auto"/>
          <w:color w:val="auto"/>
        </w:rPr>
        <w:t>Section 30</w:t>
      </w:r>
      <w:r>
        <w:rPr>
          <w:rFonts w:ascii="Arial" w:cs="Arial" w:eastAsia="Arial" w:hAnsi="Arial"/>
          <w:sz w:val="17"/>
          <w:szCs w:val="17"/>
          <w:color w:val="auto"/>
        </w:rPr>
        <w:t>) on, in, under or about the Building or the Project, which Hazardous Materials Tenant proves (A) existed prior to the Commencement Date, (B) originated from any separately demised tenant space within the Project other than the Premises, or (C) were not brought upon, kept, used stored, handled, treated, generated in, or released or disposed of from the Project by Tenant or any Tenant Party, except to the extent, in any such case, the presence of such Hazardous Materials (1) was the result of a breach of any of Tenant’s obligations under this Lease by Tenant or any Tenant Party, or (2) was caused by, contributed to, or exacerbated by Tenant or any Tenant Party;</w:t>
      </w:r>
    </w:p>
    <w:p>
      <w:pPr>
        <w:spacing w:after="0" w:line="194" w:lineRule="exact"/>
        <w:rPr>
          <w:rFonts w:ascii="Arial" w:cs="Arial" w:eastAsia="Arial" w:hAnsi="Arial"/>
          <w:sz w:val="17"/>
          <w:szCs w:val="17"/>
          <w:color w:val="auto"/>
        </w:rPr>
      </w:pPr>
    </w:p>
    <w:p>
      <w:pPr>
        <w:jc w:val="both"/>
        <w:ind w:left="-872" w:firstLine="872"/>
        <w:spacing w:after="0"/>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or base rent (but not taxes or operating expenses) under any ground lease or other underlying lease of all or any portion of the Project;</w:t>
      </w:r>
    </w:p>
    <w:p>
      <w:pPr>
        <w:spacing w:after="0" w:line="202" w:lineRule="exact"/>
        <w:rPr>
          <w:rFonts w:ascii="Arial" w:cs="Arial" w:eastAsia="Arial" w:hAnsi="Arial"/>
          <w:sz w:val="18"/>
          <w:szCs w:val="18"/>
          <w:color w:val="auto"/>
        </w:rPr>
      </w:pPr>
    </w:p>
    <w:p>
      <w:pPr>
        <w:ind w:left="-872" w:firstLine="872"/>
        <w:spacing w:after="0" w:line="246" w:lineRule="auto"/>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depreciation of the Project and capital reserves (except for capital improvements amortized as set forth above, the cost of which are includable in Operating Expenses);</w:t>
      </w:r>
    </w:p>
    <w:p>
      <w:pPr>
        <w:spacing w:after="0" w:line="196" w:lineRule="exact"/>
        <w:rPr>
          <w:rFonts w:ascii="Arial" w:cs="Arial" w:eastAsia="Arial" w:hAnsi="Arial"/>
          <w:sz w:val="18"/>
          <w:szCs w:val="18"/>
          <w:color w:val="auto"/>
        </w:rPr>
      </w:pPr>
    </w:p>
    <w:p>
      <w:pPr>
        <w:jc w:val="both"/>
        <w:ind w:left="-872" w:firstLine="872"/>
        <w:spacing w:after="0"/>
        <w:tabs>
          <w:tab w:leader="none" w:pos="14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202" w:lineRule="exact"/>
        <w:rPr>
          <w:rFonts w:ascii="Arial" w:cs="Arial" w:eastAsia="Arial" w:hAnsi="Arial"/>
          <w:sz w:val="18"/>
          <w:szCs w:val="18"/>
          <w:color w:val="auto"/>
        </w:rPr>
      </w:pPr>
    </w:p>
    <w:p>
      <w:pPr>
        <w:ind w:left="1508" w:hanging="1508"/>
        <w:spacing w:after="0"/>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11" w:lineRule="exact"/>
        <w:rPr>
          <w:rFonts w:ascii="Arial" w:cs="Arial" w:eastAsia="Arial" w:hAnsi="Arial"/>
          <w:sz w:val="18"/>
          <w:szCs w:val="18"/>
          <w:color w:val="auto"/>
        </w:rPr>
      </w:pPr>
    </w:p>
    <w:p>
      <w:pPr>
        <w:ind w:left="-872" w:firstLine="872"/>
        <w:spacing w:after="0" w:line="246" w:lineRule="auto"/>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196" w:lineRule="exact"/>
        <w:rPr>
          <w:rFonts w:ascii="Arial" w:cs="Arial" w:eastAsia="Arial" w:hAnsi="Arial"/>
          <w:sz w:val="18"/>
          <w:szCs w:val="18"/>
          <w:color w:val="auto"/>
        </w:rPr>
      </w:pPr>
    </w:p>
    <w:p>
      <w:pPr>
        <w:ind w:left="-872" w:firstLine="872"/>
        <w:spacing w:after="0" w:line="246" w:lineRule="auto"/>
        <w:tabs>
          <w:tab w:leader="none" w:pos="14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196" w:lineRule="exact"/>
        <w:rPr>
          <w:rFonts w:ascii="Arial" w:cs="Arial" w:eastAsia="Arial" w:hAnsi="Arial"/>
          <w:sz w:val="18"/>
          <w:szCs w:val="18"/>
          <w:color w:val="auto"/>
        </w:rPr>
      </w:pPr>
    </w:p>
    <w:p>
      <w:pPr>
        <w:ind w:left="-872" w:firstLine="872"/>
        <w:spacing w:after="0" w:line="246" w:lineRule="auto"/>
        <w:tabs>
          <w:tab w:leader="none" w:pos="14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196" w:lineRule="exact"/>
        <w:rPr>
          <w:rFonts w:ascii="Arial" w:cs="Arial" w:eastAsia="Arial" w:hAnsi="Arial"/>
          <w:sz w:val="18"/>
          <w:szCs w:val="18"/>
          <w:color w:val="auto"/>
        </w:rPr>
      </w:pPr>
    </w:p>
    <w:p>
      <w:pPr>
        <w:ind w:left="-872" w:right="20" w:firstLine="872"/>
        <w:spacing w:after="0" w:line="246" w:lineRule="auto"/>
        <w:tabs>
          <w:tab w:leader="none" w:pos="14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96" w:lineRule="exact"/>
        <w:rPr>
          <w:rFonts w:ascii="Arial" w:cs="Arial" w:eastAsia="Arial" w:hAnsi="Arial"/>
          <w:sz w:val="18"/>
          <w:szCs w:val="18"/>
          <w:color w:val="auto"/>
        </w:rPr>
      </w:pPr>
    </w:p>
    <w:p>
      <w:pPr>
        <w:jc w:val="both"/>
        <w:ind w:left="-872" w:firstLine="872"/>
        <w:spacing w:after="0" w:line="238" w:lineRule="auto"/>
        <w:tabs>
          <w:tab w:leader="none" w:pos="14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204" w:lineRule="exact"/>
        <w:rPr>
          <w:rFonts w:ascii="Arial" w:cs="Arial" w:eastAsia="Arial" w:hAnsi="Arial"/>
          <w:sz w:val="18"/>
          <w:szCs w:val="18"/>
          <w:color w:val="auto"/>
        </w:rPr>
      </w:pPr>
    </w:p>
    <w:p>
      <w:pPr>
        <w:ind w:left="-872" w:right="20" w:firstLine="872"/>
        <w:spacing w:after="0" w:line="246" w:lineRule="auto"/>
        <w:tabs>
          <w:tab w:leader="none" w:pos="15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872" w:firstLine="872"/>
        <w:spacing w:after="0"/>
        <w:tabs>
          <w:tab w:leader="none" w:pos="15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321945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96" w:name="page97"/>
    <w:bookmarkEnd w:id="96"/>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6</w:t>
      </w:r>
    </w:p>
    <w:p>
      <w:pPr>
        <w:spacing w:after="0" w:line="233" w:lineRule="exact"/>
        <w:rPr>
          <w:sz w:val="20"/>
          <w:szCs w:val="20"/>
          <w:color w:val="auto"/>
        </w:rPr>
      </w:pPr>
    </w:p>
    <w:p>
      <w:pPr>
        <w:jc w:val="both"/>
        <w:ind w:right="20" w:firstLine="872"/>
        <w:spacing w:after="0"/>
        <w:tabs>
          <w:tab w:leader="none" w:pos="23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02" w:lineRule="exact"/>
        <w:rPr>
          <w:rFonts w:ascii="Arial" w:cs="Arial" w:eastAsia="Arial" w:hAnsi="Arial"/>
          <w:sz w:val="18"/>
          <w:szCs w:val="18"/>
          <w:color w:val="auto"/>
        </w:rPr>
      </w:pPr>
    </w:p>
    <w:p>
      <w:pPr>
        <w:ind w:left="2380" w:hanging="1508"/>
        <w:spacing w:after="0"/>
        <w:tabs>
          <w:tab w:leader="none" w:pos="2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11" w:lineRule="exact"/>
        <w:rPr>
          <w:rFonts w:ascii="Arial" w:cs="Arial" w:eastAsia="Arial" w:hAnsi="Arial"/>
          <w:sz w:val="18"/>
          <w:szCs w:val="18"/>
          <w:color w:val="auto"/>
        </w:rPr>
      </w:pPr>
    </w:p>
    <w:p>
      <w:pPr>
        <w:jc w:val="both"/>
        <w:ind w:firstLine="872"/>
        <w:spacing w:after="0"/>
        <w:tabs>
          <w:tab w:leader="none" w:pos="23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202" w:lineRule="exact"/>
        <w:rPr>
          <w:rFonts w:ascii="Arial" w:cs="Arial" w:eastAsia="Arial" w:hAnsi="Arial"/>
          <w:sz w:val="18"/>
          <w:szCs w:val="18"/>
          <w:color w:val="auto"/>
        </w:rPr>
      </w:pPr>
    </w:p>
    <w:p>
      <w:pPr>
        <w:ind w:left="2340" w:hanging="1468"/>
        <w:spacing w:after="0"/>
        <w:tabs>
          <w:tab w:leader="none" w:pos="2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11" w:lineRule="exact"/>
        <w:rPr>
          <w:rFonts w:ascii="Arial" w:cs="Arial" w:eastAsia="Arial" w:hAnsi="Arial"/>
          <w:sz w:val="18"/>
          <w:szCs w:val="18"/>
          <w:color w:val="auto"/>
        </w:rPr>
      </w:pPr>
    </w:p>
    <w:p>
      <w:pPr>
        <w:ind w:right="20" w:firstLine="872"/>
        <w:spacing w:after="0" w:line="246" w:lineRule="auto"/>
        <w:tabs>
          <w:tab w:leader="none" w:pos="23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96" w:lineRule="exact"/>
        <w:rPr>
          <w:rFonts w:ascii="Arial" w:cs="Arial" w:eastAsia="Arial" w:hAnsi="Arial"/>
          <w:sz w:val="18"/>
          <w:szCs w:val="18"/>
          <w:color w:val="auto"/>
        </w:rPr>
      </w:pPr>
    </w:p>
    <w:p>
      <w:pPr>
        <w:ind w:left="2340" w:hanging="1468"/>
        <w:spacing w:after="0"/>
        <w:tabs>
          <w:tab w:leader="none" w:pos="2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incurred in connection with the operating of any parking concession within the Project;</w:t>
      </w:r>
    </w:p>
    <w:p>
      <w:pPr>
        <w:spacing w:after="0" w:line="211" w:lineRule="exact"/>
        <w:rPr>
          <w:rFonts w:ascii="Arial" w:cs="Arial" w:eastAsia="Arial" w:hAnsi="Arial"/>
          <w:sz w:val="18"/>
          <w:szCs w:val="18"/>
          <w:color w:val="auto"/>
        </w:rPr>
      </w:pPr>
    </w:p>
    <w:p>
      <w:pPr>
        <w:jc w:val="both"/>
        <w:ind w:firstLine="872"/>
        <w:spacing w:after="0" w:line="238" w:lineRule="auto"/>
        <w:tabs>
          <w:tab w:leader="none" w:pos="23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costs incurred in connection with the performance of alterations or modifications to the Common Areas of the Project that are required solely due to the non-compliance of the Common Areas of the Project with Legal Requirements applicable to the Common Areas of the Project as of the Commencement Date, except to the extent such alterations or modifications are triggered by reason of Tenant’s particular use of the Premises or Tenant’s Alterations, in which case Tenant shall be solely responsible subject to </w:t>
      </w:r>
      <w:r>
        <w:rPr>
          <w:rFonts w:ascii="Arial" w:cs="Arial" w:eastAsia="Arial" w:hAnsi="Arial"/>
          <w:sz w:val="18"/>
          <w:szCs w:val="18"/>
          <w:u w:val="single" w:color="auto"/>
          <w:color w:val="auto"/>
        </w:rPr>
        <w:t>Section 7</w:t>
      </w:r>
      <w:r>
        <w:rPr>
          <w:rFonts w:ascii="Arial" w:cs="Arial" w:eastAsia="Arial" w:hAnsi="Arial"/>
          <w:sz w:val="18"/>
          <w:szCs w:val="18"/>
          <w:color w:val="auto"/>
        </w:rPr>
        <w:t>; and</w:t>
      </w:r>
    </w:p>
    <w:p>
      <w:pPr>
        <w:spacing w:after="0" w:line="204" w:lineRule="exact"/>
        <w:rPr>
          <w:rFonts w:ascii="Arial" w:cs="Arial" w:eastAsia="Arial" w:hAnsi="Arial"/>
          <w:sz w:val="18"/>
          <w:szCs w:val="18"/>
          <w:color w:val="auto"/>
        </w:rPr>
      </w:pPr>
    </w:p>
    <w:p>
      <w:pPr>
        <w:ind w:firstLine="872"/>
        <w:spacing w:after="0" w:line="246" w:lineRule="auto"/>
        <w:tabs>
          <w:tab w:leader="none" w:pos="23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9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8"/>
          <w:szCs w:val="18"/>
          <w:b w:val="1"/>
          <w:bCs w:val="1"/>
          <w:color w:val="auto"/>
        </w:rPr>
        <w:t>Energy Savings Costs</w:t>
      </w:r>
      <w:r>
        <w:rPr>
          <w:rFonts w:ascii="Arial" w:cs="Arial" w:eastAsia="Arial" w:hAnsi="Arial"/>
          <w:sz w:val="18"/>
          <w:szCs w:val="18"/>
          <w:color w:val="auto"/>
        </w:rPr>
        <w:t>”) shall be amortized over a period of years equal to the least of (A) 7 years, (B) the useful life of such capital items, or (C) the quotient of (i) the Energy Savings Costs, divided by (ii) the annual amount of Operating Expenses reasonably expected by Landlord to be saved as a result of such capital improvements.</w:t>
      </w:r>
    </w:p>
    <w:p>
      <w:pPr>
        <w:spacing w:after="0" w:line="20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7"/>
          <w:szCs w:val="17"/>
          <w:color w:val="auto"/>
        </w:rPr>
        <w:t>Within 90 days after the end of each calendar year (or such longer period as may be reasonably required),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199"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8"/>
          <w:szCs w:val="18"/>
          <w:color w:val="auto"/>
        </w:rPr>
        <w:t>The Annual Statement shall be final and binding upon Tenant unless Tenant, within 45 days after Tenant’s receipt thereof, shall contest any item therein by giving written notice to Landlord, specifying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7</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item contested and the reason therefor. If, during such 45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Operating Expenses, then Tenant shall have the right to have an independent public accounting firm selected by Tenant from among the 4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9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 Landlord for changes in the physical size of the Premises or the Project occurring thereafter. The rentable area of the Premises shall not be subject to re-measurement by either party during the Term. If Landlord has a reasonable basis for doing so, upon prior written notice to Tenant,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85" w:lineRule="exact"/>
        <w:rPr>
          <w:sz w:val="20"/>
          <w:szCs w:val="20"/>
          <w:color w:val="auto"/>
        </w:rPr>
      </w:pPr>
    </w:p>
    <w:p>
      <w:pPr>
        <w:jc w:val="both"/>
        <w:ind w:firstLine="872"/>
        <w:spacing w:after="0" w:line="237" w:lineRule="auto"/>
        <w:tabs>
          <w:tab w:leader="none" w:pos="231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upon delivery of an executed copy of this Lease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 security deposit (the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8"/>
          <w:szCs w:val="18"/>
          <w:b w:val="1"/>
          <w:bCs w:val="1"/>
          <w:color w:val="auto"/>
        </w:rPr>
        <w:t>Letter of</w:t>
      </w:r>
      <w:r>
        <w:rPr>
          <w:rFonts w:ascii="Arial" w:cs="Arial" w:eastAsia="Arial" w:hAnsi="Arial"/>
          <w:sz w:val="18"/>
          <w:szCs w:val="18"/>
          <w:color w:val="auto"/>
        </w:rPr>
        <w:t xml:space="preserve"> </w:t>
      </w:r>
      <w:r>
        <w:rPr>
          <w:rFonts w:ascii="Arial" w:cs="Arial" w:eastAsia="Arial" w:hAnsi="Arial"/>
          <w:sz w:val="18"/>
          <w:szCs w:val="18"/>
          <w:b w:val="1"/>
          <w:bCs w:val="1"/>
          <w:color w:val="auto"/>
        </w:rPr>
        <w:t>Credit</w:t>
      </w:r>
      <w:r>
        <w:rPr>
          <w:rFonts w:ascii="Arial" w:cs="Arial" w:eastAsia="Arial" w:hAnsi="Arial"/>
          <w:sz w:val="18"/>
          <w:szCs w:val="18"/>
          <w:color w:val="auto"/>
        </w:rPr>
        <w:t>”): (i) in form and substance satisfactory to Landlord, (ii) naming Landlord as beneficiary, (iii) expressly allowing Landlord to draw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 at any time from time to time by delivering to the issuer notice that Landlord is entitled to draw thereunder, (iv) issued by an FDIC-insured financial institution satisfactory to Landlord (Landlord hereby acknowledges that Silicon Valley Bank is a financial institution satisfactory to Landlord), and (v) redeemable by presentation of a sight draft in the state of California.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Landlord may use all or any part of the Security Deposit to pay delinquent payments due under this Lease, future rent damages under California Civil Code Section 1951.2, and the cost of any damage, injury, expense or liability caused by such Default, without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8</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to any other remedy provided herein or provided by law. Landlord’s right to use the Security Deposit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includes the right to use the Security Deposit to pay future rent damages following the termination of this Lease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below.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203"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81" w:lineRule="exact"/>
        <w:rPr>
          <w:sz w:val="20"/>
          <w:szCs w:val="20"/>
          <w:color w:val="auto"/>
        </w:rPr>
      </w:pPr>
    </w:p>
    <w:p>
      <w:pPr>
        <w:jc w:val="both"/>
        <w:ind w:firstLine="872"/>
        <w:spacing w:after="0" w:line="236" w:lineRule="auto"/>
        <w:tabs>
          <w:tab w:leader="none" w:pos="231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the Permitted Use set forth in the basic lease provisions on page 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and in compliance 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(collectively, “</w:t>
      </w:r>
      <w:r>
        <w:rPr>
          <w:rFonts w:ascii="Arial" w:cs="Arial" w:eastAsia="Arial" w:hAnsi="Arial"/>
          <w:sz w:val="18"/>
          <w:szCs w:val="18"/>
          <w:b w:val="1"/>
          <w:bCs w:val="1"/>
          <w:color w:val="auto"/>
        </w:rPr>
        <w:t>Legal</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Tenant shall, upon 5 days’ written notice from Landlord, discontinue any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which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The use that Tenant has disclosed to Landlord that Tenant will be making of the Premises as of the Commencement Date will not, to Tenant’s knowledge, result in the voidance of or an increased insurance risk with respect to the insurance currently being maintained by Landlord. Tenant shall not permit any part of the Premises to be used as a “place of public accommodation”, as defined in the ADA or any similar legal requirement. Tenant shall reimburse Landlord promptly upon written demand (together with applicable invoices or bills)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which will overload the floor in or upon the Premises or transport or move such items through the Common Areas of the Project or in the Project elevators without the prior written consent of Landlord. Tenant shall not, without the prior written consent of Landlord, 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9</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9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Landlord shall be responsible for the compliance of the Common Areas of the Project with Legal Requirements (including the ADA)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of the Premises, the Premises Improvements or Tenant’s Alterations) make any alterations or modifications to the Common Areas or the exterior of the Building that are required by Legal Requirements. Except as provided in the two immediately preceding sentences, Tenant, at its sole expense, shall make any alterations or modifications to the interior of the Premises that are required by Legal Requirements (including, without limitation, compliance of the Premises with the ADA) related to Tenant’s particular use or occupancy of the Premises, the Premises Improvements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Tenant’s failure to comply with Legal Requirements related to Tenant’s particular use or occupancy of the Premises, the Premises Improvements or Tenant’s Alterations, and Tenant shall indemnify, defend, hold and save Landlord harmless from and against any and all Claims arising out of or in connection with any failure of the Premises to comply with any Legal Requirement related to Tenant’s particular use or occupancy of the Premises or Tenant’s Alterations.</w:t>
      </w:r>
    </w:p>
    <w:p>
      <w:pPr>
        <w:spacing w:after="0" w:line="191" w:lineRule="exact"/>
        <w:rPr>
          <w:sz w:val="20"/>
          <w:szCs w:val="20"/>
          <w:color w:val="auto"/>
        </w:rPr>
      </w:pPr>
    </w:p>
    <w:p>
      <w:pPr>
        <w:jc w:val="both"/>
        <w:ind w:firstLine="872"/>
        <w:spacing w:after="0" w:line="237" w:lineRule="auto"/>
        <w:tabs>
          <w:tab w:leader="none" w:pos="231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(i) the monthly rental for the first 90 days of the tenancy at sufferance shall be equal to 150% of the Rent in effect during the last 30 days prior to the expiration or earlier termination of the Lease, and (ii) the monthly rental for any period after the first 90 days of such tenancy at sufferance shall be equal to 200% of Rent in effect during the last 30 days prior to the expiration or earlier termination of the Lease,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85" w:lineRule="exact"/>
        <w:rPr>
          <w:rFonts w:ascii="Arial" w:cs="Arial" w:eastAsia="Arial" w:hAnsi="Arial"/>
          <w:sz w:val="18"/>
          <w:szCs w:val="18"/>
          <w:color w:val="auto"/>
        </w:rPr>
      </w:pPr>
    </w:p>
    <w:p>
      <w:pPr>
        <w:jc w:val="both"/>
        <w:ind w:firstLine="872"/>
        <w:spacing w:after="0"/>
        <w:tabs>
          <w:tab w:leader="none" w:pos="231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charges of any 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10</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herein, Landlord shall only charge Tenant for such assessments as if those assessments were paid by Landlord over the longest possible term which Landlord is permitted to pay for the applicable assessments without additional charge other than interest, if any, provided under the terms of the underlying assessments. Notwithstanding anything to the contrary contained in this Lease, Taxes shall not include any net income taxes, gross receipts tax, estate taxes or inheritance taxes imposed on Landlord except to the extent such net income taxes are in substitution for any Taxes payable hereunder, or any late penalties, interest or fines.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promptly upon written demand.</w:t>
      </w:r>
    </w:p>
    <w:p>
      <w:pPr>
        <w:spacing w:after="0" w:line="191" w:lineRule="exact"/>
        <w:rPr>
          <w:sz w:val="20"/>
          <w:szCs w:val="20"/>
          <w:color w:val="auto"/>
        </w:rPr>
      </w:pPr>
    </w:p>
    <w:p>
      <w:pPr>
        <w:jc w:val="both"/>
        <w:ind w:firstLine="872"/>
        <w:spacing w:after="0" w:line="238" w:lineRule="auto"/>
        <w:tabs>
          <w:tab w:leader="none" w:pos="241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applicable Legal Requirements, Force Majeure, a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by Landlord of its rights hereunder, Tenant shall be allocated and required to pay for 1.4 parking spaces per 1,000 rentable square feet of the Premises then being leased by Tenant, which parking spaces shall be in those areas designated by Landlord for non-reserved parking in that certain parking garage located at 450 South Street, San Francisco, California (which parking garage and the land on which the parking garage is location shall be deemed for purposes of this Lease to be a part of the Project), subject in each case to Landlord’s rules and regulations and payment of $386.96 per month during the Base Term for each parking space (“</w:t>
      </w:r>
      <w:r>
        <w:rPr>
          <w:rFonts w:ascii="Arial" w:cs="Arial" w:eastAsia="Arial" w:hAnsi="Arial"/>
          <w:sz w:val="18"/>
          <w:szCs w:val="18"/>
          <w:b w:val="1"/>
          <w:bCs w:val="1"/>
          <w:color w:val="auto"/>
        </w:rPr>
        <w:t>Parking Charges</w:t>
      </w:r>
      <w:r>
        <w:rPr>
          <w:rFonts w:ascii="Arial" w:cs="Arial" w:eastAsia="Arial" w:hAnsi="Arial"/>
          <w:sz w:val="18"/>
          <w:szCs w:val="18"/>
          <w:color w:val="auto"/>
        </w:rPr>
        <w:t xml:space="preserve">”), as such Parking Charges shall be adjusted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Commencing on the first anniversary of the Commencement Date and continuing thereafter on each annual anniversary of the Commencement Date during the Term (each, a “</w:t>
      </w:r>
      <w:r>
        <w:rPr>
          <w:rFonts w:ascii="Arial" w:cs="Arial" w:eastAsia="Arial" w:hAnsi="Arial"/>
          <w:sz w:val="18"/>
          <w:szCs w:val="18"/>
          <w:b w:val="1"/>
          <w:bCs w:val="1"/>
          <w:color w:val="auto"/>
        </w:rPr>
        <w:t>Parking Charge Adjustment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Parking Charges shall be increased by multiplying the Parking Charges payable immediately before such Parking Charge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Date by 3%, and adding the resulting amount to the Parking Charges payable immediately before such Parking Charge Adjustment Date. Landlord shall not be responsible for enforcing Tenant’s parking rights against any third parties, including without limitation other tenants of the Project.</w:t>
      </w:r>
    </w:p>
    <w:p>
      <w:pPr>
        <w:spacing w:after="0" w:line="18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18"/>
          <w:szCs w:val="18"/>
          <w:color w:val="auto"/>
        </w:rPr>
        <w:t>Tenant shall comply with the requirements and participate in the Transportation Management Association (“</w:t>
      </w:r>
      <w:r>
        <w:rPr>
          <w:rFonts w:ascii="Arial" w:cs="Arial" w:eastAsia="Arial" w:hAnsi="Arial"/>
          <w:sz w:val="18"/>
          <w:szCs w:val="18"/>
          <w:b w:val="1"/>
          <w:bCs w:val="1"/>
          <w:color w:val="auto"/>
        </w:rPr>
        <w:t>TMA</w:t>
      </w:r>
      <w:r>
        <w:rPr>
          <w:rFonts w:ascii="Arial" w:cs="Arial" w:eastAsia="Arial" w:hAnsi="Arial"/>
          <w:sz w:val="18"/>
          <w:szCs w:val="18"/>
          <w:color w:val="auto"/>
        </w:rPr>
        <w:t>”) that was formed to implement and administer the Transportation System Management Plan (“</w:t>
      </w:r>
      <w:r>
        <w:rPr>
          <w:rFonts w:ascii="Arial" w:cs="Arial" w:eastAsia="Arial" w:hAnsi="Arial"/>
          <w:sz w:val="18"/>
          <w:szCs w:val="18"/>
          <w:b w:val="1"/>
          <w:bCs w:val="1"/>
          <w:color w:val="auto"/>
        </w:rPr>
        <w:t>TSMP</w:t>
      </w:r>
      <w:r>
        <w:rPr>
          <w:rFonts w:ascii="Arial" w:cs="Arial" w:eastAsia="Arial" w:hAnsi="Arial"/>
          <w:sz w:val="18"/>
          <w:szCs w:val="18"/>
          <w:color w:val="auto"/>
        </w:rPr>
        <w:t xml:space="preserve">”) for Mission Bay and comply with the requirements set forth in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 setting forth certain requirements relating to parking and transportation demand management which are binding on all tenants in the Project. Tenant acknowledges that Operating Expenses shall include expenses and assessments related to the TMA and TSMP.</w:t>
      </w:r>
    </w:p>
    <w:p>
      <w:pPr>
        <w:spacing w:after="0" w:line="176" w:lineRule="exact"/>
        <w:rPr>
          <w:sz w:val="20"/>
          <w:szCs w:val="20"/>
          <w:color w:val="auto"/>
        </w:rPr>
      </w:pPr>
    </w:p>
    <w:p>
      <w:pPr>
        <w:jc w:val="both"/>
        <w:ind w:firstLine="872"/>
        <w:spacing w:after="0"/>
        <w:tabs>
          <w:tab w:leader="none" w:pos="241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 Landlord shall provide,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water, electricity, heat, light,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sewer, and other utilities (including gas and fire sprinklers to the extent the Project is plumbed for such services), refuse and trash collection and janitorial services (collectively, “</w:t>
      </w:r>
      <w:r>
        <w:rPr>
          <w:rFonts w:ascii="Arial" w:cs="Arial" w:eastAsia="Arial" w:hAnsi="Arial"/>
          <w:sz w:val="18"/>
          <w:szCs w:val="18"/>
          <w:b w:val="1"/>
          <w:bCs w:val="1"/>
          <w:color w:val="auto"/>
        </w:rPr>
        <w:t>Utilities</w:t>
      </w:r>
      <w:r>
        <w:rPr>
          <w:rFonts w:ascii="Arial" w:cs="Arial" w:eastAsia="Arial" w:hAnsi="Arial"/>
          <w:sz w:val="18"/>
          <w:szCs w:val="18"/>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11</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20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to the extent that such Service Interruption is covered by rental interruption insurance carried by Landlord pursuant to this Lease,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and electricity, but in each case only to the extent that Landlord has an obligation to provide same to Tenant under this Lease.</w:t>
      </w:r>
    </w:p>
    <w:p>
      <w:pPr>
        <w:spacing w:after="0" w:line="21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20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180" w:lineRule="exact"/>
        <w:rPr>
          <w:sz w:val="20"/>
          <w:szCs w:val="20"/>
          <w:color w:val="auto"/>
        </w:rPr>
      </w:pPr>
    </w:p>
    <w:p>
      <w:pPr>
        <w:jc w:val="both"/>
        <w:ind w:firstLine="872"/>
        <w:spacing w:after="0" w:line="247" w:lineRule="auto"/>
        <w:tabs>
          <w:tab w:leader="none" w:pos="241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Any alterations, additions, or improvements made to the Premises by or</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12</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shall be subject to Landlord’s prior written consent, which may be given or withheld in Landlord’s sole discretion if any such Alteration affects the structure or Building Systems and shall not be otherwise unreasonably withheld, conditioned or delayed. Tenant may construct nonstructural Alterations in the Premises without Landlord’s prior approval if the aggregate cost of all such work in any 12 month period does not exceed $ 50,000 (a “</w:t>
      </w:r>
      <w:r>
        <w:rPr>
          <w:rFonts w:ascii="Arial" w:cs="Arial" w:eastAsia="Arial" w:hAnsi="Arial"/>
          <w:sz w:val="18"/>
          <w:szCs w:val="18"/>
          <w:b w:val="1"/>
          <w:bCs w:val="1"/>
          <w:color w:val="auto"/>
        </w:rPr>
        <w:t>Notice-Only Alteration</w:t>
      </w:r>
      <w:r>
        <w:rPr>
          <w:rFonts w:ascii="Arial" w:cs="Arial" w:eastAsia="Arial" w:hAnsi="Arial"/>
          <w:sz w:val="18"/>
          <w:szCs w:val="18"/>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written demand an amount equal to 3% of all charges incurred by Tenant or its contractors or agents in connection with any Alteration costing in excess of $50,000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actually incurred by Landlord by reason of faulty work done by Tenant or its contractors or delays caused by such work.</w:t>
      </w:r>
    </w:p>
    <w:p>
      <w:pPr>
        <w:spacing w:after="0" w:line="21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statements setting forth the names of all contractors and subcontractors who did the work and final lien waivers from all such contractors and subcontractors; and (ii) “as built” plans for any such Alteration.</w:t>
      </w:r>
    </w:p>
    <w:p>
      <w:pPr>
        <w:spacing w:after="0" w:line="20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13</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Landlord shall be entitled to be paid as administrative rent a fee of $1,000 per occurrence for its time and effort in preparing and negotiating such a waiver of lien.</w:t>
      </w:r>
    </w:p>
    <w:p>
      <w:pPr>
        <w:spacing w:after="0" w:line="17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 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any personal property or equipment of Tenant that may be removed without material damage to the Premises, and</w:t>
      </w:r>
    </w:p>
    <w:p>
      <w:pPr>
        <w:spacing w:after="0" w:line="1" w:lineRule="exact"/>
        <w:rPr>
          <w:sz w:val="20"/>
          <w:szCs w:val="20"/>
          <w:color w:val="auto"/>
        </w:rPr>
      </w:pPr>
    </w:p>
    <w:p>
      <w:pPr>
        <w:jc w:val="both"/>
        <w:ind w:firstLine="8"/>
        <w:spacing w:after="0" w:line="238" w:lineRule="auto"/>
        <w:tabs>
          <w:tab w:leader="none" w:pos="2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Improvements Allowance,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202" w:lineRule="exact"/>
        <w:rPr>
          <w:sz w:val="20"/>
          <w:szCs w:val="20"/>
          <w:color w:val="auto"/>
        </w:rPr>
      </w:pPr>
    </w:p>
    <w:p>
      <w:pPr>
        <w:ind w:firstLine="864"/>
        <w:spacing w:after="0" w:line="246" w:lineRule="auto"/>
        <w:rPr>
          <w:sz w:val="20"/>
          <w:szCs w:val="20"/>
          <w:color w:val="auto"/>
        </w:rPr>
      </w:pPr>
      <w:r>
        <w:rPr>
          <w:rFonts w:ascii="Arial" w:cs="Arial" w:eastAsia="Arial" w:hAnsi="Arial"/>
          <w:sz w:val="18"/>
          <w:szCs w:val="18"/>
          <w:color w:val="auto"/>
        </w:rPr>
        <w:t>Tenant shall not be required to remove the Premises Improvements at the expiration or earlier termination of the Term nor shall Tenant have the right to remove any of the Premises Improvements at any time.</w:t>
      </w:r>
    </w:p>
    <w:p>
      <w:pPr>
        <w:spacing w:after="0" w:line="175" w:lineRule="exact"/>
        <w:rPr>
          <w:sz w:val="20"/>
          <w:szCs w:val="20"/>
          <w:color w:val="auto"/>
        </w:rPr>
      </w:pPr>
    </w:p>
    <w:p>
      <w:pPr>
        <w:jc w:val="both"/>
        <w:ind w:firstLine="872"/>
        <w:spacing w:after="0" w:line="236" w:lineRule="auto"/>
        <w:tabs>
          <w:tab w:leader="none" w:pos="241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as an Operating Expense (except to the extent the cost thereof is excluded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Operating Expenses pursuant to Section 5 hereof), shall maintain all of the structural, exterior, parking and other Common Areas of the Project, including HVAC,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in good repair, reasonable wear and tear and uninsured losses and damages (unless such losses or damages would have been insured losses or expenses if the insurance Landlord is required to maintain hereunder had been obtained and so long as it would make reasonable business sense to Landlord, bearing in mind the potential amount of the losses and damages and the amount of the applicable deductibles, to submit a claim for such losses and damages to its insurer)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xml:space="preserve">”) excluded. Subject to the provisions of the penultimate paragraph of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losses and damages caused by Tenant or any Tenant Party shall be repaired by Landlord, at Tenant’s sole cost and expense, to the extent not covered by insurance Landlord is required to maintain hereunder (or to the extent such losses or damages would have been covered by insurance Landlord is required to maintain hereunder if such insurance had been maintained and so long as it would make reasonable business sense to Landlord, bearing in mind the potential amount of the losses and damages and the amount of the applicable deductibles, to submit a claim for such losses and damages to its insurer).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Landlord shall, except in case of emergency, make a commercially reasonable effort to give Tenant 48 hours advance notice of any planned stoppage of Building Systems services for routine maintenance, repairs, alterations or improvements. Landlord shall use reasonable efforts to minimize interruption to Tenant’s business during such planned stoppages of Building Systems. Tenant shall promptly give Landlord written notice of any repair required by Landlord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Notwithstanding anything to the contrary contained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14</w:t>
      </w:r>
    </w:p>
    <w:p>
      <w:pPr>
        <w:spacing w:after="0" w:line="211" w:lineRule="exact"/>
        <w:rPr>
          <w:sz w:val="20"/>
          <w:szCs w:val="20"/>
          <w:color w:val="auto"/>
        </w:rPr>
      </w:pPr>
    </w:p>
    <w:p>
      <w:pPr>
        <w:jc w:val="both"/>
        <w:ind w:left="-872" w:firstLine="872"/>
        <w:spacing w:after="0" w:line="239" w:lineRule="auto"/>
        <w:tabs>
          <w:tab w:leader="none" w:pos="153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 maintain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good condition all portions of the Premises, including, without limitation, entries, doors, ceilings, interior windows, interior walls, and the interior side of demising walls.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written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 and any repair that benefits only the Premises.</w:t>
      </w:r>
    </w:p>
    <w:p>
      <w:pPr>
        <w:spacing w:after="0" w:line="183" w:lineRule="exact"/>
        <w:rPr>
          <w:rFonts w:ascii="Arial" w:cs="Arial" w:eastAsia="Arial" w:hAnsi="Arial"/>
          <w:sz w:val="18"/>
          <w:szCs w:val="18"/>
          <w:color w:val="auto"/>
        </w:rPr>
      </w:pPr>
    </w:p>
    <w:p>
      <w:pPr>
        <w:jc w:val="both"/>
        <w:ind w:left="-872" w:firstLine="872"/>
        <w:spacing w:after="0" w:line="238" w:lineRule="auto"/>
        <w:tabs>
          <w:tab w:leader="none" w:pos="153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against the Project for work claimed to have been done for, or materials claimed to have been furnished to, Tenant within 15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85" w:lineRule="exact"/>
        <w:rPr>
          <w:rFonts w:ascii="Arial" w:cs="Arial" w:eastAsia="Arial" w:hAnsi="Arial"/>
          <w:sz w:val="18"/>
          <w:szCs w:val="18"/>
          <w:color w:val="auto"/>
        </w:rPr>
      </w:pPr>
    </w:p>
    <w:p>
      <w:pPr>
        <w:jc w:val="both"/>
        <w:ind w:left="-872" w:firstLine="872"/>
        <w:spacing w:after="0" w:line="238" w:lineRule="auto"/>
        <w:tabs>
          <w:tab w:leader="none" w:pos="153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its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employees, managers, agents, sub-agents, constituent entities and lease signators (collectively, “</w:t>
      </w:r>
      <w:r>
        <w:rPr>
          <w:rFonts w:ascii="Arial" w:cs="Arial" w:eastAsia="Arial" w:hAnsi="Arial"/>
          <w:sz w:val="18"/>
          <w:szCs w:val="18"/>
          <w:b w:val="1"/>
          <w:bCs w:val="1"/>
          <w:color w:val="auto"/>
        </w:rPr>
        <w:t>Landlord Indemnified Parties</w:t>
      </w:r>
      <w:r>
        <w:rPr>
          <w:rFonts w:ascii="Arial" w:cs="Arial" w:eastAsia="Arial" w:hAnsi="Arial"/>
          <w:sz w:val="18"/>
          <w:szCs w:val="18"/>
          <w:color w:val="auto"/>
        </w:rPr>
        <w:t>”) harmless from and against any and all Claims for injury or death to persons or damage to property occurring within or about the Premises or the Project arising directly or indirectly out of use or occupancy of the Premises or the Project by Tenant or any Tenant’s Parties (including, without limitation, any act, omission or neglect by Tenant or any Tenant’s Parties in or about the Premises or at the Project) or a breach or default by Tenant in the performance of any of its obligations hereunder, except to the extent caused by the willful misconduct or gross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w:t>
      </w:r>
    </w:p>
    <w:p>
      <w:pPr>
        <w:spacing w:after="0" w:line="185" w:lineRule="exact"/>
        <w:rPr>
          <w:rFonts w:ascii="Arial" w:cs="Arial" w:eastAsia="Arial" w:hAnsi="Arial"/>
          <w:sz w:val="18"/>
          <w:szCs w:val="18"/>
          <w:color w:val="auto"/>
        </w:rPr>
      </w:pPr>
    </w:p>
    <w:p>
      <w:pPr>
        <w:jc w:val="both"/>
        <w:ind w:left="-872" w:firstLine="872"/>
        <w:spacing w:after="0" w:line="239" w:lineRule="auto"/>
        <w:tabs>
          <w:tab w:leader="none" w:pos="153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replacement 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323850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05" w:name="page106"/>
    <w:bookmarkEnd w:id="105"/>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15</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calculations). Tenant shall also reimburse Landlord for any increased premiums or additional insurance which Landlord reasonably deems necessary as a result of Tenant’s use of the Premises.</w:t>
      </w:r>
    </w:p>
    <w:p>
      <w:pPr>
        <w:spacing w:after="0" w:line="19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policy maintained by Tenant shall name Alexandria Real Estate Equities, Inc., and Landlord, its officers, directors, employees, managers, agents, sub-agents, constituent entities and lease signators (collectively, “</w:t>
      </w:r>
      <w:r>
        <w:rPr>
          <w:rFonts w:ascii="Arial" w:cs="Arial" w:eastAsia="Arial" w:hAnsi="Arial"/>
          <w:sz w:val="18"/>
          <w:szCs w:val="18"/>
          <w:b w:val="1"/>
          <w:bCs w:val="1"/>
          <w:color w:val="auto"/>
        </w:rPr>
        <w:t>Landlord Insured Parties</w:t>
      </w:r>
      <w:r>
        <w:rPr>
          <w:rFonts w:ascii="Arial" w:cs="Arial" w:eastAsia="Arial" w:hAnsi="Arial"/>
          <w:sz w:val="18"/>
          <w:szCs w:val="18"/>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10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21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20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Notwithstanding anything to the contrary contained in this Lease, neither party nor its respective Related Parties shall be liable to the other for loss or damage caused by any risk insured against under property insurance required to be maintained hereunder regardless of the negligence of the party to the Lease receiving the benefit of the waiver,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205"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16</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amounts then being required by institutional owners of similar projects with tenants occupying similar size premises in the geographical area in which the Project is located.</w:t>
      </w:r>
    </w:p>
    <w:p>
      <w:pPr>
        <w:spacing w:after="0" w:line="175" w:lineRule="exact"/>
        <w:rPr>
          <w:sz w:val="20"/>
          <w:szCs w:val="20"/>
          <w:color w:val="auto"/>
        </w:rPr>
      </w:pPr>
    </w:p>
    <w:p>
      <w:pPr>
        <w:jc w:val="both"/>
        <w:ind w:firstLine="872"/>
        <w:spacing w:after="0" w:line="236" w:lineRule="auto"/>
        <w:tabs>
          <w:tab w:leader="none" w:pos="241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casualty, 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9 months (the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notwithstanding Landlord’s election to restore, Tenant may elect to terminate this Lease by written notice to Landlord delivered within 10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an Operating Expense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promptly restore the Premises (including the Premises Improvements but excluding any other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Premises (collectively referred to herein as “</w:t>
      </w:r>
      <w:r>
        <w:rPr>
          <w:rFonts w:ascii="Arial" w:cs="Arial" w:eastAsia="Arial" w:hAnsi="Arial"/>
          <w:sz w:val="18"/>
          <w:szCs w:val="18"/>
          <w:b w:val="1"/>
          <w:bCs w:val="1"/>
          <w:color w:val="auto"/>
        </w:rPr>
        <w:t>Hazardous Materials Clearances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10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21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from Force Majeure events or to obtain Hazardous Material Clearances, all repairs or restoration to the Premises not required to be done by Landlord.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in the Mission Bay area of San Francisco during the period of repair that is suitable, in Tenant’s reasonable discretion,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this Lease by reason of damage or casualty loss.</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17</w:t>
      </w:r>
    </w:p>
    <w:p>
      <w:pPr>
        <w:spacing w:after="0" w:line="211" w:lineRule="exact"/>
        <w:rPr>
          <w:sz w:val="20"/>
          <w:szCs w:val="20"/>
          <w:color w:val="auto"/>
        </w:rPr>
      </w:pPr>
    </w:p>
    <w:p>
      <w:pPr>
        <w:jc w:val="both"/>
        <w:ind w:left="-872" w:firstLine="872"/>
        <w:spacing w:after="0" w:line="237" w:lineRule="auto"/>
        <w:tabs>
          <w:tab w:leader="none" w:pos="153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w:t>
      </w:r>
      <w:r>
        <w:rPr>
          <w:rFonts w:ascii="Arial" w:cs="Arial" w:eastAsia="Arial" w:hAnsi="Arial"/>
          <w:sz w:val="18"/>
          <w:szCs w:val="18"/>
          <w:b w:val="1"/>
          <w:bCs w:val="1"/>
          <w:color w:val="auto"/>
        </w:rPr>
        <w:t xml:space="preserve"> </w:t>
      </w:r>
      <w:r>
        <w:rPr>
          <w:rFonts w:ascii="Arial" w:cs="Arial" w:eastAsia="Arial" w:hAnsi="Arial"/>
          <w:sz w:val="18"/>
          <w:szCs w:val="18"/>
          <w:color w:val="auto"/>
        </w:rPr>
        <w:t>quasi-public use under 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materially interfere with or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to the other,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83" w:lineRule="exact"/>
        <w:rPr>
          <w:rFonts w:ascii="Arial" w:cs="Arial" w:eastAsia="Arial" w:hAnsi="Arial"/>
          <w:sz w:val="18"/>
          <w:szCs w:val="18"/>
          <w:color w:val="auto"/>
        </w:rPr>
      </w:pPr>
    </w:p>
    <w:p>
      <w:pPr>
        <w:ind w:left="1548" w:hanging="1548"/>
        <w:spacing w:after="0"/>
        <w:tabs>
          <w:tab w:leader="none" w:pos="154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12" w:lineRule="exact"/>
        <w:rPr>
          <w:sz w:val="20"/>
          <w:szCs w:val="20"/>
          <w:color w:val="auto"/>
        </w:rPr>
      </w:pPr>
    </w:p>
    <w:p>
      <w:pPr>
        <w:jc w:val="both"/>
        <w:ind w:left="-872" w:firstLine="872"/>
        <w:spacing w:after="0" w:line="247" w:lineRule="auto"/>
        <w:tabs>
          <w:tab w:leader="none" w:pos="150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Landlord will give Tenant written notice and an opportunity to cure any failure to pay Rent within 5 days of any such notice not more than twice in any 12 month period and Tenant agrees that such notice shall be in lieu of and not in addition to, or shall be deemed to be, any notice required by law.</w:t>
      </w:r>
    </w:p>
    <w:p>
      <w:pPr>
        <w:spacing w:after="0" w:line="173" w:lineRule="exact"/>
        <w:rPr>
          <w:rFonts w:ascii="Arial" w:cs="Arial" w:eastAsia="Arial" w:hAnsi="Arial"/>
          <w:sz w:val="18"/>
          <w:szCs w:val="18"/>
          <w:color w:val="auto"/>
        </w:rPr>
      </w:pPr>
    </w:p>
    <w:p>
      <w:pPr>
        <w:jc w:val="both"/>
        <w:ind w:left="-872" w:firstLine="872"/>
        <w:spacing w:after="0" w:line="253" w:lineRule="auto"/>
        <w:tabs>
          <w:tab w:leader="none" w:pos="150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or shall expire or shall be reduced or materially changed, or Landlord shall receive a notice of nonrenewal of any such insurance and Tenant shall fail to obtain replacement insurance at least 5 days before the expiration of the current coverage.</w:t>
      </w:r>
    </w:p>
    <w:p>
      <w:pPr>
        <w:spacing w:after="0" w:line="168" w:lineRule="exact"/>
        <w:rPr>
          <w:rFonts w:ascii="Arial" w:cs="Arial" w:eastAsia="Arial" w:hAnsi="Arial"/>
          <w:sz w:val="18"/>
          <w:szCs w:val="18"/>
          <w:color w:val="auto"/>
        </w:rPr>
      </w:pPr>
    </w:p>
    <w:p>
      <w:pPr>
        <w:ind w:left="1508" w:hanging="1508"/>
        <w:spacing w:after="0"/>
        <w:tabs>
          <w:tab w:leader="none" w:pos="150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211" w:lineRule="exact"/>
        <w:rPr>
          <w:rFonts w:ascii="Arial" w:cs="Arial" w:eastAsia="Arial" w:hAnsi="Arial"/>
          <w:sz w:val="18"/>
          <w:szCs w:val="18"/>
          <w:color w:val="auto"/>
        </w:rPr>
      </w:pPr>
    </w:p>
    <w:p>
      <w:pPr>
        <w:jc w:val="both"/>
        <w:ind w:left="-872" w:firstLine="872"/>
        <w:spacing w:after="0" w:line="253" w:lineRule="auto"/>
        <w:tabs>
          <w:tab w:leader="none" w:pos="150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Tenant’s interest in this Lease or the Premises except as expressly permitted herein, or Tenant’s interest in this Lease shall be attached, executed upon, or otherwise judicially seized and such action is not released within 90 days of the action.</w:t>
      </w:r>
    </w:p>
    <w:p>
      <w:pPr>
        <w:spacing w:after="0" w:line="168" w:lineRule="exact"/>
        <w:rPr>
          <w:rFonts w:ascii="Arial" w:cs="Arial" w:eastAsia="Arial" w:hAnsi="Arial"/>
          <w:sz w:val="18"/>
          <w:szCs w:val="18"/>
          <w:color w:val="auto"/>
        </w:rPr>
      </w:pPr>
    </w:p>
    <w:p>
      <w:pPr>
        <w:ind w:left="-872" w:firstLine="872"/>
        <w:spacing w:after="0" w:line="271" w:lineRule="auto"/>
        <w:tabs>
          <w:tab w:leader="none" w:pos="150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this Lease within 15 days after Tenant’s receipt of notice that any such lien is filed against the Premises.</w:t>
      </w:r>
    </w:p>
    <w:p>
      <w:pPr>
        <w:spacing w:after="0" w:line="153" w:lineRule="exact"/>
        <w:rPr>
          <w:rFonts w:ascii="Arial" w:cs="Arial" w:eastAsia="Arial" w:hAnsi="Arial"/>
          <w:sz w:val="18"/>
          <w:szCs w:val="18"/>
          <w:color w:val="auto"/>
        </w:rPr>
      </w:pPr>
    </w:p>
    <w:p>
      <w:pPr>
        <w:jc w:val="both"/>
        <w:ind w:left="-872" w:firstLine="872"/>
        <w:spacing w:after="0"/>
        <w:tabs>
          <w:tab w:leader="none" w:pos="145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324485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or otherwise fail to maintain its legal existence (if Tenant, guarantor or surety is a corporation, partnership or other entity).</w:t>
      </w:r>
    </w:p>
    <w:p>
      <w:pPr>
        <w:spacing w:after="0" w:line="190" w:lineRule="exact"/>
        <w:rPr>
          <w:sz w:val="20"/>
          <w:szCs w:val="20"/>
          <w:color w:val="auto"/>
        </w:rPr>
      </w:pPr>
    </w:p>
    <w:p>
      <w:pPr>
        <w:ind w:firstLine="872"/>
        <w:spacing w:after="0" w:line="271" w:lineRule="auto"/>
        <w:tabs>
          <w:tab w:leader="none" w:pos="237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 under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days after a second notice requesting such documents.</w:t>
      </w:r>
    </w:p>
    <w:p>
      <w:pPr>
        <w:spacing w:after="0" w:line="153" w:lineRule="exact"/>
        <w:rPr>
          <w:rFonts w:ascii="Arial" w:cs="Arial" w:eastAsia="Arial" w:hAnsi="Arial"/>
          <w:sz w:val="18"/>
          <w:szCs w:val="18"/>
          <w:color w:val="auto"/>
        </w:rPr>
      </w:pPr>
    </w:p>
    <w:p>
      <w:pPr>
        <w:jc w:val="both"/>
        <w:ind w:firstLine="872"/>
        <w:spacing w:after="0" w:line="253" w:lineRule="auto"/>
        <w:tabs>
          <w:tab w:leader="none" w:pos="2379"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referred to in this </w:t>
      </w:r>
      <w:r>
        <w:rPr>
          <w:rFonts w:ascii="Arial" w:cs="Arial" w:eastAsia="Arial" w:hAnsi="Arial"/>
          <w:sz w:val="18"/>
          <w:szCs w:val="18"/>
          <w:u w:val="single" w:color="auto"/>
          <w:color w:val="auto"/>
        </w:rPr>
        <w:t>Section 20</w:t>
      </w:r>
      <w:r>
        <w:rPr>
          <w:rFonts w:ascii="Arial" w:cs="Arial" w:eastAsia="Arial" w:hAnsi="Arial"/>
          <w:sz w:val="18"/>
          <w:szCs w:val="18"/>
          <w:color w:val="auto"/>
        </w:rPr>
        <w:t>, and, except as otherwise expressly provided herein, such failure shall continue for a period of 30 days after written notice thereof from Landlord to Tenant.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be in writing and: (i) specify the alleged default, (ii) demand that Tenant cure such default,</w:t>
      </w:r>
    </w:p>
    <w:p>
      <w:pPr>
        <w:jc w:val="both"/>
        <w:ind w:firstLine="8"/>
        <w:spacing w:after="0" w:line="23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60 days from the date of Landlord’s notice.</w:t>
      </w:r>
    </w:p>
    <w:p>
      <w:pPr>
        <w:spacing w:after="0" w:line="183" w:lineRule="exact"/>
        <w:rPr>
          <w:sz w:val="20"/>
          <w:szCs w:val="20"/>
          <w:color w:val="auto"/>
        </w:rPr>
      </w:pPr>
    </w:p>
    <w:p>
      <w:pPr>
        <w:ind w:left="2420" w:hanging="1548"/>
        <w:spacing w:after="0"/>
        <w:tabs>
          <w:tab w:leader="none" w:pos="24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4" w:lineRule="auto"/>
        <w:tabs>
          <w:tab w:leader="none" w:pos="237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w:t>
      </w:r>
      <w:r>
        <w:rPr>
          <w:rFonts w:ascii="Arial" w:cs="Arial" w:eastAsia="Arial" w:hAnsi="Arial"/>
          <w:sz w:val="18"/>
          <w:szCs w:val="18"/>
          <w:b w:val="1"/>
          <w:bCs w:val="1"/>
          <w:color w:val="auto"/>
        </w:rPr>
        <w:t xml:space="preserve"> </w:t>
      </w:r>
      <w:r>
        <w:rPr>
          <w:rFonts w:ascii="Arial" w:cs="Arial" w:eastAsia="Arial" w:hAnsi="Arial"/>
          <w:sz w:val="18"/>
          <w:szCs w:val="18"/>
          <w:color w:val="auto"/>
        </w:rPr>
        <w:t>releasing any obligation of Tenant hereunder, make such payment or perform such act on behalf of Tenant.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176" w:lineRule="exact"/>
        <w:rPr>
          <w:rFonts w:ascii="Arial" w:cs="Arial" w:eastAsia="Arial" w:hAnsi="Arial"/>
          <w:sz w:val="18"/>
          <w:szCs w:val="18"/>
          <w:color w:val="auto"/>
        </w:rPr>
      </w:pPr>
    </w:p>
    <w:p>
      <w:pPr>
        <w:jc w:val="both"/>
        <w:ind w:firstLine="872"/>
        <w:spacing w:after="0" w:line="239" w:lineRule="auto"/>
        <w:tabs>
          <w:tab w:leader="none" w:pos="237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w:t>
      </w:r>
      <w:r>
        <w:rPr>
          <w:rFonts w:ascii="Arial" w:cs="Arial" w:eastAsia="Arial" w:hAnsi="Arial"/>
          <w:sz w:val="18"/>
          <w:szCs w:val="18"/>
          <w:b w:val="1"/>
          <w:bCs w:val="1"/>
          <w:color w:val="auto"/>
        </w:rPr>
        <w:t xml:space="preserve"> </w:t>
      </w:r>
      <w:r>
        <w:rPr>
          <w:rFonts w:ascii="Arial" w:cs="Arial" w:eastAsia="Arial" w:hAnsi="Arial"/>
          <w:sz w:val="18"/>
          <w:szCs w:val="18"/>
          <w:color w:val="auto"/>
        </w:rPr>
        <w:t>incur costs not 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83" w:lineRule="exact"/>
        <w:rPr>
          <w:rFonts w:ascii="Arial" w:cs="Arial" w:eastAsia="Arial" w:hAnsi="Arial"/>
          <w:sz w:val="18"/>
          <w:szCs w:val="18"/>
          <w:color w:val="auto"/>
        </w:rPr>
      </w:pPr>
    </w:p>
    <w:p>
      <w:pPr>
        <w:jc w:val="both"/>
        <w:ind w:right="20" w:firstLine="872"/>
        <w:spacing w:after="0" w:line="247" w:lineRule="auto"/>
        <w:tabs>
          <w:tab w:leader="none" w:pos="2369"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by Tenant, Landlord, at its option, without further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to Tenant, shall have in addition to all other rights and remedies provided in this Lease, at law or in equity, the option to pursue any one or more of the following remedies, each and all of which shall be cumulative and nonexclusive, without any notice or demand whatsoever.</w:t>
      </w:r>
    </w:p>
    <w:p>
      <w:pPr>
        <w:spacing w:after="0" w:line="196"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18"/>
          <w:szCs w:val="18"/>
          <w:color w:val="auto"/>
        </w:rPr>
        <w:t>(i) 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19</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380" w:type="dxa"/>
            <w:vAlign w:val="bottom"/>
          </w:tcPr>
          <w:p>
            <w:pPr>
              <w:ind w:left="780"/>
              <w:spacing w:after="0"/>
              <w:rPr>
                <w:sz w:val="20"/>
                <w:szCs w:val="20"/>
                <w:color w:val="auto"/>
              </w:rPr>
            </w:pPr>
            <w:r>
              <w:rPr>
                <w:rFonts w:ascii="Arial" w:cs="Arial" w:eastAsia="Arial" w:hAnsi="Arial"/>
                <w:sz w:val="18"/>
                <w:szCs w:val="18"/>
                <w:color w:val="auto"/>
              </w:rPr>
              <w:t>(ii)</w:t>
            </w:r>
          </w:p>
        </w:tc>
        <w:tc>
          <w:tcPr>
            <w:tcW w:w="7980" w:type="dxa"/>
            <w:vAlign w:val="bottom"/>
            <w:gridSpan w:val="3"/>
          </w:tcPr>
          <w:p>
            <w:pPr>
              <w:ind w:left="560"/>
              <w:spacing w:after="0"/>
              <w:rPr>
                <w:sz w:val="20"/>
                <w:szCs w:val="20"/>
                <w:color w:val="auto"/>
              </w:rPr>
            </w:pPr>
            <w:r>
              <w:rPr>
                <w:rFonts w:ascii="Arial" w:cs="Arial" w:eastAsia="Arial" w:hAnsi="Arial"/>
                <w:sz w:val="18"/>
                <w:szCs w:val="18"/>
                <w:color w:val="auto"/>
              </w:rPr>
              <w:t>Upon any termination of this Lease, whether pursuant to the foregoing Section 21(c)(i) or</w:t>
            </w: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otherwise, Landlord may recover from Tenant the following:</w:t>
            </w: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404"/>
        </w:trPr>
        <w:tc>
          <w:tcPr>
            <w:tcW w:w="2380" w:type="dxa"/>
            <w:vAlign w:val="bottom"/>
          </w:tcPr>
          <w:p>
            <w:pPr>
              <w:ind w:left="1580"/>
              <w:spacing w:after="0"/>
              <w:rPr>
                <w:sz w:val="20"/>
                <w:szCs w:val="20"/>
                <w:color w:val="auto"/>
              </w:rPr>
            </w:pPr>
            <w:r>
              <w:rPr>
                <w:rFonts w:ascii="Arial" w:cs="Arial" w:eastAsia="Arial" w:hAnsi="Arial"/>
                <w:sz w:val="18"/>
                <w:szCs w:val="18"/>
                <w:color w:val="auto"/>
              </w:rPr>
              <w:t>(A)</w:t>
            </w:r>
          </w:p>
        </w:tc>
        <w:tc>
          <w:tcPr>
            <w:tcW w:w="7980" w:type="dxa"/>
            <w:vAlign w:val="bottom"/>
            <w:gridSpan w:val="3"/>
          </w:tcPr>
          <w:p>
            <w:pPr>
              <w:ind w:left="2040"/>
              <w:spacing w:after="0"/>
              <w:rPr>
                <w:sz w:val="20"/>
                <w:szCs w:val="20"/>
                <w:color w:val="auto"/>
              </w:rPr>
            </w:pPr>
            <w:r>
              <w:rPr>
                <w:rFonts w:ascii="Arial" w:cs="Arial" w:eastAsia="Arial" w:hAnsi="Arial"/>
                <w:sz w:val="18"/>
                <w:szCs w:val="18"/>
                <w:color w:val="auto"/>
              </w:rPr>
              <w:t>The worth at the time of award of any unpaid rent which has been earned</w:t>
            </w:r>
          </w:p>
        </w:tc>
      </w:tr>
      <w:tr>
        <w:trPr>
          <w:trHeight w:val="217"/>
        </w:trPr>
        <w:tc>
          <w:tcPr>
            <w:tcW w:w="10360" w:type="dxa"/>
            <w:vAlign w:val="bottom"/>
            <w:gridSpan w:val="4"/>
          </w:tcPr>
          <w:p>
            <w:pPr>
              <w:ind w:left="860"/>
              <w:spacing w:after="0"/>
              <w:rPr>
                <w:sz w:val="20"/>
                <w:szCs w:val="20"/>
                <w:color w:val="auto"/>
              </w:rPr>
            </w:pPr>
            <w:r>
              <w:rPr>
                <w:rFonts w:ascii="Arial" w:cs="Arial" w:eastAsia="Arial" w:hAnsi="Arial"/>
                <w:sz w:val="18"/>
                <w:szCs w:val="18"/>
                <w:color w:val="auto"/>
              </w:rPr>
              <w:t>at the time of such termination; plus</w:t>
            </w:r>
          </w:p>
        </w:tc>
      </w:tr>
      <w:tr>
        <w:trPr>
          <w:trHeight w:val="404"/>
        </w:trPr>
        <w:tc>
          <w:tcPr>
            <w:tcW w:w="2380" w:type="dxa"/>
            <w:vAlign w:val="bottom"/>
          </w:tcPr>
          <w:p>
            <w:pPr>
              <w:ind w:left="1580"/>
              <w:spacing w:after="0"/>
              <w:rPr>
                <w:sz w:val="20"/>
                <w:szCs w:val="20"/>
                <w:color w:val="auto"/>
              </w:rPr>
            </w:pPr>
            <w:r>
              <w:rPr>
                <w:rFonts w:ascii="Arial" w:cs="Arial" w:eastAsia="Arial" w:hAnsi="Arial"/>
                <w:sz w:val="18"/>
                <w:szCs w:val="18"/>
                <w:color w:val="auto"/>
              </w:rPr>
              <w:t>(B)</w:t>
            </w:r>
          </w:p>
        </w:tc>
        <w:tc>
          <w:tcPr>
            <w:tcW w:w="7980" w:type="dxa"/>
            <w:vAlign w:val="bottom"/>
            <w:gridSpan w:val="3"/>
          </w:tcPr>
          <w:p>
            <w:pPr>
              <w:ind w:left="2040"/>
              <w:spacing w:after="0"/>
              <w:rPr>
                <w:sz w:val="20"/>
                <w:szCs w:val="20"/>
                <w:color w:val="auto"/>
              </w:rPr>
            </w:pPr>
            <w:r>
              <w:rPr>
                <w:rFonts w:ascii="Arial" w:cs="Arial" w:eastAsia="Arial" w:hAnsi="Arial"/>
                <w:sz w:val="18"/>
                <w:szCs w:val="18"/>
                <w:color w:val="auto"/>
              </w:rPr>
              <w:t>The worth at the time of award of the amount by which the unpaid rent</w:t>
            </w:r>
          </w:p>
        </w:tc>
      </w:tr>
      <w:tr>
        <w:trPr>
          <w:trHeight w:val="203"/>
        </w:trPr>
        <w:tc>
          <w:tcPr>
            <w:tcW w:w="10360" w:type="dxa"/>
            <w:vAlign w:val="bottom"/>
            <w:gridSpan w:val="4"/>
          </w:tcPr>
          <w:p>
            <w:pPr>
              <w:ind w:left="860"/>
              <w:spacing w:after="0" w:line="202" w:lineRule="exact"/>
              <w:rPr>
                <w:sz w:val="20"/>
                <w:szCs w:val="20"/>
                <w:color w:val="auto"/>
              </w:rPr>
            </w:pPr>
            <w:r>
              <w:rPr>
                <w:rFonts w:ascii="Arial" w:cs="Arial" w:eastAsia="Arial" w:hAnsi="Arial"/>
                <w:sz w:val="18"/>
                <w:szCs w:val="18"/>
                <w:color w:val="auto"/>
              </w:rPr>
              <w:t>which would have been earned after termination until the time of award exceeds the amount of such rental loss that</w:t>
            </w:r>
          </w:p>
        </w:tc>
      </w:tr>
      <w:tr>
        <w:trPr>
          <w:trHeight w:val="217"/>
        </w:trPr>
        <w:tc>
          <w:tcPr>
            <w:tcW w:w="10360" w:type="dxa"/>
            <w:vAlign w:val="bottom"/>
            <w:gridSpan w:val="4"/>
          </w:tcPr>
          <w:p>
            <w:pPr>
              <w:ind w:left="860"/>
              <w:spacing w:after="0"/>
              <w:rPr>
                <w:sz w:val="20"/>
                <w:szCs w:val="20"/>
                <w:color w:val="auto"/>
              </w:rPr>
            </w:pPr>
            <w:r>
              <w:rPr>
                <w:rFonts w:ascii="Arial" w:cs="Arial" w:eastAsia="Arial" w:hAnsi="Arial"/>
                <w:sz w:val="18"/>
                <w:szCs w:val="18"/>
                <w:color w:val="auto"/>
              </w:rPr>
              <w:t>Tenant proves could have been reasonably avoided; plus</w:t>
            </w:r>
          </w:p>
        </w:tc>
      </w:tr>
      <w:tr>
        <w:trPr>
          <w:trHeight w:val="404"/>
        </w:trPr>
        <w:tc>
          <w:tcPr>
            <w:tcW w:w="2380" w:type="dxa"/>
            <w:vAlign w:val="bottom"/>
          </w:tcPr>
          <w:p>
            <w:pPr>
              <w:ind w:left="1580"/>
              <w:spacing w:after="0"/>
              <w:rPr>
                <w:sz w:val="20"/>
                <w:szCs w:val="20"/>
                <w:color w:val="auto"/>
              </w:rPr>
            </w:pPr>
            <w:r>
              <w:rPr>
                <w:rFonts w:ascii="Arial" w:cs="Arial" w:eastAsia="Arial" w:hAnsi="Arial"/>
                <w:sz w:val="18"/>
                <w:szCs w:val="18"/>
                <w:color w:val="auto"/>
              </w:rPr>
              <w:t>(C)</w:t>
            </w:r>
          </w:p>
        </w:tc>
        <w:tc>
          <w:tcPr>
            <w:tcW w:w="7980" w:type="dxa"/>
            <w:vAlign w:val="bottom"/>
            <w:gridSpan w:val="3"/>
          </w:tcPr>
          <w:p>
            <w:pPr>
              <w:ind w:left="2040"/>
              <w:spacing w:after="0"/>
              <w:rPr>
                <w:sz w:val="20"/>
                <w:szCs w:val="20"/>
                <w:color w:val="auto"/>
              </w:rPr>
            </w:pPr>
            <w:r>
              <w:rPr>
                <w:rFonts w:ascii="Arial" w:cs="Arial" w:eastAsia="Arial" w:hAnsi="Arial"/>
                <w:sz w:val="18"/>
                <w:szCs w:val="18"/>
                <w:color w:val="auto"/>
              </w:rPr>
              <w:t>The worth at the time of award of the amount by which the unpaid rent for</w:t>
            </w:r>
          </w:p>
        </w:tc>
      </w:tr>
      <w:tr>
        <w:trPr>
          <w:trHeight w:val="203"/>
        </w:trPr>
        <w:tc>
          <w:tcPr>
            <w:tcW w:w="10360" w:type="dxa"/>
            <w:vAlign w:val="bottom"/>
            <w:gridSpan w:val="4"/>
          </w:tcPr>
          <w:p>
            <w:pPr>
              <w:ind w:left="860"/>
              <w:spacing w:after="0" w:line="202" w:lineRule="exact"/>
              <w:rPr>
                <w:sz w:val="20"/>
                <w:szCs w:val="20"/>
                <w:color w:val="auto"/>
              </w:rPr>
            </w:pPr>
            <w:r>
              <w:rPr>
                <w:rFonts w:ascii="Arial" w:cs="Arial" w:eastAsia="Arial" w:hAnsi="Arial"/>
                <w:sz w:val="18"/>
                <w:szCs w:val="18"/>
                <w:color w:val="auto"/>
              </w:rPr>
              <w:t>the balance of the Term after the time of award exceeds the amount of such rental loss that Tenant proves could have</w:t>
            </w:r>
          </w:p>
        </w:tc>
      </w:tr>
      <w:tr>
        <w:trPr>
          <w:trHeight w:val="217"/>
        </w:trPr>
        <w:tc>
          <w:tcPr>
            <w:tcW w:w="10360" w:type="dxa"/>
            <w:vAlign w:val="bottom"/>
            <w:gridSpan w:val="4"/>
          </w:tcPr>
          <w:p>
            <w:pPr>
              <w:ind w:left="860"/>
              <w:spacing w:after="0"/>
              <w:rPr>
                <w:sz w:val="20"/>
                <w:szCs w:val="20"/>
                <w:color w:val="auto"/>
              </w:rPr>
            </w:pPr>
            <w:r>
              <w:rPr>
                <w:rFonts w:ascii="Arial" w:cs="Arial" w:eastAsia="Arial" w:hAnsi="Arial"/>
                <w:sz w:val="18"/>
                <w:szCs w:val="18"/>
                <w:color w:val="auto"/>
              </w:rPr>
              <w:t>been reasonably avoided; plus</w:t>
            </w:r>
          </w:p>
        </w:tc>
      </w:tr>
      <w:tr>
        <w:trPr>
          <w:trHeight w:val="404"/>
        </w:trPr>
        <w:tc>
          <w:tcPr>
            <w:tcW w:w="2380" w:type="dxa"/>
            <w:vAlign w:val="bottom"/>
          </w:tcPr>
          <w:p>
            <w:pPr>
              <w:ind w:left="1580"/>
              <w:spacing w:after="0"/>
              <w:rPr>
                <w:sz w:val="20"/>
                <w:szCs w:val="20"/>
                <w:color w:val="auto"/>
              </w:rPr>
            </w:pPr>
            <w:r>
              <w:rPr>
                <w:rFonts w:ascii="Arial" w:cs="Arial" w:eastAsia="Arial" w:hAnsi="Arial"/>
                <w:sz w:val="18"/>
                <w:szCs w:val="18"/>
                <w:color w:val="auto"/>
              </w:rPr>
              <w:t>(D)</w:t>
            </w:r>
          </w:p>
        </w:tc>
        <w:tc>
          <w:tcPr>
            <w:tcW w:w="7980" w:type="dxa"/>
            <w:vAlign w:val="bottom"/>
            <w:gridSpan w:val="3"/>
          </w:tcPr>
          <w:p>
            <w:pPr>
              <w:ind w:left="2040"/>
              <w:spacing w:after="0"/>
              <w:rPr>
                <w:sz w:val="20"/>
                <w:szCs w:val="20"/>
                <w:color w:val="auto"/>
              </w:rPr>
            </w:pPr>
            <w:r>
              <w:rPr>
                <w:rFonts w:ascii="Arial" w:cs="Arial" w:eastAsia="Arial" w:hAnsi="Arial"/>
                <w:sz w:val="18"/>
                <w:szCs w:val="18"/>
                <w:color w:val="auto"/>
              </w:rPr>
              <w:t>Any other amount necessary to compensate Landlord for all the detriment</w:t>
            </w:r>
          </w:p>
        </w:tc>
      </w:tr>
      <w:tr>
        <w:trPr>
          <w:trHeight w:val="203"/>
        </w:trPr>
        <w:tc>
          <w:tcPr>
            <w:tcW w:w="10360" w:type="dxa"/>
            <w:vAlign w:val="bottom"/>
            <w:gridSpan w:val="4"/>
          </w:tcPr>
          <w:p>
            <w:pPr>
              <w:ind w:left="860"/>
              <w:spacing w:after="0" w:line="202" w:lineRule="exact"/>
              <w:rPr>
                <w:sz w:val="20"/>
                <w:szCs w:val="20"/>
                <w:color w:val="auto"/>
              </w:rPr>
            </w:pPr>
            <w:r>
              <w:rPr>
                <w:rFonts w:ascii="Arial" w:cs="Arial" w:eastAsia="Arial" w:hAnsi="Arial"/>
                <w:sz w:val="18"/>
                <w:szCs w:val="18"/>
                <w:color w:val="auto"/>
              </w:rPr>
              <w:t>proximately caused by Tenant’s failure to perform its obligations under this Lease or which in the ordinary course of</w:t>
            </w:r>
          </w:p>
        </w:tc>
      </w:tr>
      <w:tr>
        <w:trPr>
          <w:trHeight w:val="203"/>
        </w:trPr>
        <w:tc>
          <w:tcPr>
            <w:tcW w:w="10360" w:type="dxa"/>
            <w:vAlign w:val="bottom"/>
            <w:gridSpan w:val="4"/>
          </w:tcPr>
          <w:p>
            <w:pPr>
              <w:ind w:left="860"/>
              <w:spacing w:after="0" w:line="202" w:lineRule="exact"/>
              <w:rPr>
                <w:sz w:val="20"/>
                <w:szCs w:val="20"/>
                <w:color w:val="auto"/>
              </w:rPr>
            </w:pPr>
            <w:r>
              <w:rPr>
                <w:rFonts w:ascii="Arial" w:cs="Arial" w:eastAsia="Arial" w:hAnsi="Arial"/>
                <w:sz w:val="18"/>
                <w:szCs w:val="18"/>
                <w:color w:val="auto"/>
              </w:rPr>
              <w:t>things would be likely to result therefrom, specifically including, but not limited to, brokerage commissions and</w:t>
            </w:r>
          </w:p>
        </w:tc>
      </w:tr>
      <w:tr>
        <w:trPr>
          <w:trHeight w:val="203"/>
        </w:trPr>
        <w:tc>
          <w:tcPr>
            <w:tcW w:w="10360" w:type="dxa"/>
            <w:vAlign w:val="bottom"/>
            <w:gridSpan w:val="4"/>
          </w:tcPr>
          <w:p>
            <w:pPr>
              <w:ind w:left="860"/>
              <w:spacing w:after="0" w:line="202" w:lineRule="exact"/>
              <w:rPr>
                <w:sz w:val="20"/>
                <w:szCs w:val="20"/>
                <w:color w:val="auto"/>
              </w:rPr>
            </w:pPr>
            <w:r>
              <w:rPr>
                <w:rFonts w:ascii="Arial" w:cs="Arial" w:eastAsia="Arial" w:hAnsi="Arial"/>
                <w:sz w:val="18"/>
                <w:szCs w:val="18"/>
                <w:color w:val="auto"/>
              </w:rPr>
              <w:t>advertising expenses incurred, expenses of remodeling the Premises or any portion thereof for a new tenant, whether</w:t>
            </w:r>
          </w:p>
        </w:tc>
      </w:tr>
      <w:tr>
        <w:trPr>
          <w:trHeight w:val="217"/>
        </w:trPr>
        <w:tc>
          <w:tcPr>
            <w:tcW w:w="10360" w:type="dxa"/>
            <w:vAlign w:val="bottom"/>
            <w:gridSpan w:val="4"/>
          </w:tcPr>
          <w:p>
            <w:pPr>
              <w:ind w:left="860"/>
              <w:spacing w:after="0"/>
              <w:rPr>
                <w:sz w:val="20"/>
                <w:szCs w:val="20"/>
                <w:color w:val="auto"/>
              </w:rPr>
            </w:pPr>
            <w:r>
              <w:rPr>
                <w:rFonts w:ascii="Arial" w:cs="Arial" w:eastAsia="Arial" w:hAnsi="Arial"/>
                <w:sz w:val="18"/>
                <w:szCs w:val="18"/>
                <w:color w:val="auto"/>
              </w:rPr>
              <w:t>for the same or a different use, and any special concessions made to obtain a new tenant; and</w:t>
            </w:r>
          </w:p>
        </w:tc>
      </w:tr>
      <w:tr>
        <w:trPr>
          <w:trHeight w:val="404"/>
        </w:trPr>
        <w:tc>
          <w:tcPr>
            <w:tcW w:w="2380" w:type="dxa"/>
            <w:vAlign w:val="bottom"/>
          </w:tcPr>
          <w:p>
            <w:pPr>
              <w:ind w:left="1580"/>
              <w:spacing w:after="0"/>
              <w:rPr>
                <w:sz w:val="20"/>
                <w:szCs w:val="20"/>
                <w:color w:val="auto"/>
              </w:rPr>
            </w:pPr>
            <w:r>
              <w:rPr>
                <w:rFonts w:ascii="Arial" w:cs="Arial" w:eastAsia="Arial" w:hAnsi="Arial"/>
                <w:sz w:val="18"/>
                <w:szCs w:val="18"/>
                <w:color w:val="auto"/>
              </w:rPr>
              <w:t>(E)</w:t>
            </w:r>
          </w:p>
        </w:tc>
        <w:tc>
          <w:tcPr>
            <w:tcW w:w="7980" w:type="dxa"/>
            <w:vAlign w:val="bottom"/>
            <w:gridSpan w:val="3"/>
          </w:tcPr>
          <w:p>
            <w:pPr>
              <w:ind w:left="2040"/>
              <w:spacing w:after="0"/>
              <w:rPr>
                <w:sz w:val="20"/>
                <w:szCs w:val="20"/>
                <w:color w:val="auto"/>
              </w:rPr>
            </w:pPr>
            <w:r>
              <w:rPr>
                <w:rFonts w:ascii="Arial" w:cs="Arial" w:eastAsia="Arial" w:hAnsi="Arial"/>
                <w:sz w:val="18"/>
                <w:szCs w:val="18"/>
                <w:color w:val="auto"/>
              </w:rPr>
              <w:t>At Landlord’s election, such other amounts in addition to or in lieu of the</w:t>
            </w:r>
          </w:p>
        </w:tc>
      </w:tr>
    </w:tbl>
    <w:p>
      <w:pPr>
        <w:ind w:left="1740"/>
        <w:spacing w:after="0"/>
        <w:rPr>
          <w:sz w:val="20"/>
          <w:szCs w:val="20"/>
          <w:color w:val="auto"/>
        </w:rPr>
      </w:pPr>
      <w:r>
        <w:rPr>
          <w:rFonts w:ascii="Arial" w:cs="Arial" w:eastAsia="Arial" w:hAnsi="Arial"/>
          <w:sz w:val="18"/>
          <w:szCs w:val="18"/>
          <w:color w:val="auto"/>
        </w:rPr>
        <w:t>foregoing as may be permitted from time to time by applicable law.</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21(c)(ii)(A)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above, the “</w:t>
      </w:r>
      <w:r>
        <w:rPr>
          <w:rFonts w:ascii="Arial" w:cs="Arial" w:eastAsia="Arial" w:hAnsi="Arial"/>
          <w:sz w:val="18"/>
          <w:szCs w:val="18"/>
          <w:b w:val="1"/>
          <w:bCs w:val="1"/>
          <w:color w:val="auto"/>
        </w:rPr>
        <w:t>worth at the time</w:t>
      </w:r>
      <w:r>
        <w:rPr>
          <w:rFonts w:ascii="Arial" w:cs="Arial" w:eastAsia="Arial" w:hAnsi="Arial"/>
          <w:sz w:val="18"/>
          <w:szCs w:val="18"/>
          <w:color w:val="auto"/>
        </w:rPr>
        <w:t xml:space="preserve"> </w:t>
      </w:r>
      <w:r>
        <w:rPr>
          <w:rFonts w:ascii="Arial" w:cs="Arial" w:eastAsia="Arial" w:hAnsi="Arial"/>
          <w:sz w:val="18"/>
          <w:szCs w:val="18"/>
          <w:b w:val="1"/>
          <w:bCs w:val="1"/>
          <w:color w:val="auto"/>
        </w:rPr>
        <w:t>of award</w:t>
      </w:r>
      <w:r>
        <w:rPr>
          <w:rFonts w:ascii="Arial" w:cs="Arial" w:eastAsia="Arial" w:hAnsi="Arial"/>
          <w:sz w:val="18"/>
          <w:szCs w:val="18"/>
          <w:color w:val="auto"/>
        </w:rPr>
        <w:t>” shall be computed by allowing interest at the Default Rate. As used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21(c)(ii)(C)</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shall be computed by discounting such amount at the discount rate of the Federal Reserve Bank of San Francisco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 plus 1%.</w:t>
      </w:r>
    </w:p>
    <w:p>
      <w:pPr>
        <w:spacing w:after="0" w:line="198" w:lineRule="exact"/>
        <w:rPr>
          <w:sz w:val="20"/>
          <w:szCs w:val="20"/>
          <w:color w:val="auto"/>
        </w:rPr>
      </w:pPr>
    </w:p>
    <w:p>
      <w:pPr>
        <w:jc w:val="both"/>
        <w:ind w:left="880" w:firstLine="797"/>
        <w:spacing w:after="0" w:line="238" w:lineRule="auto"/>
        <w:rPr>
          <w:sz w:val="20"/>
          <w:szCs w:val="20"/>
          <w:color w:val="auto"/>
        </w:rPr>
      </w:pPr>
      <w:r>
        <w:rPr>
          <w:rFonts w:ascii="Arial" w:cs="Arial" w:eastAsia="Arial" w:hAnsi="Arial"/>
          <w:sz w:val="18"/>
          <w:szCs w:val="18"/>
          <w:color w:val="auto"/>
        </w:rPr>
        <w:t>(iii) 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202" w:lineRule="exact"/>
        <w:rPr>
          <w:sz w:val="20"/>
          <w:szCs w:val="20"/>
          <w:color w:val="auto"/>
        </w:rPr>
      </w:pPr>
    </w:p>
    <w:p>
      <w:pPr>
        <w:jc w:val="both"/>
        <w:ind w:left="880" w:firstLine="797"/>
        <w:spacing w:after="0" w:line="237" w:lineRule="auto"/>
        <w:rPr>
          <w:sz w:val="20"/>
          <w:szCs w:val="20"/>
          <w:color w:val="auto"/>
        </w:rPr>
      </w:pPr>
      <w:r>
        <w:rPr>
          <w:rFonts w:ascii="Arial" w:cs="Arial" w:eastAsia="Arial" w:hAnsi="Arial"/>
          <w:sz w:val="18"/>
          <w:szCs w:val="18"/>
          <w:color w:val="auto"/>
        </w:rPr>
        <w:t>(iv) 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205" w:lineRule="exact"/>
        <w:rPr>
          <w:sz w:val="20"/>
          <w:szCs w:val="20"/>
          <w:color w:val="auto"/>
        </w:rPr>
      </w:pPr>
    </w:p>
    <w:p>
      <w:pPr>
        <w:jc w:val="both"/>
        <w:ind w:left="880" w:firstLine="797"/>
        <w:spacing w:after="0"/>
        <w:rPr>
          <w:sz w:val="20"/>
          <w:szCs w:val="20"/>
          <w:color w:val="auto"/>
        </w:rPr>
      </w:pPr>
      <w:r>
        <w:rPr>
          <w:rFonts w:ascii="Arial" w:cs="Arial" w:eastAsia="Arial" w:hAnsi="Arial"/>
          <w:sz w:val="18"/>
          <w:szCs w:val="18"/>
          <w:color w:val="auto"/>
        </w:rPr>
        <w:t xml:space="preserve">(v) 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 xml:space="preserve"> hereof, at Tenant’s expense.</w:t>
      </w:r>
    </w:p>
    <w:p>
      <w:pPr>
        <w:spacing w:after="0" w:line="388" w:lineRule="exact"/>
        <w:rPr>
          <w:sz w:val="20"/>
          <w:szCs w:val="20"/>
          <w:color w:val="auto"/>
        </w:rPr>
      </w:pPr>
    </w:p>
    <w:p>
      <w:pPr>
        <w:jc w:val="both"/>
        <w:ind w:right="20" w:firstLine="872"/>
        <w:spacing w:after="0" w:line="253" w:lineRule="auto"/>
        <w:tabs>
          <w:tab w:leader="none" w:pos="2379"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Effect of Exercise</w:t>
      </w:r>
      <w:r>
        <w:rPr>
          <w:rFonts w:ascii="Arial" w:cs="Arial" w:eastAsia="Arial" w:hAnsi="Arial"/>
          <w:sz w:val="18"/>
          <w:szCs w:val="18"/>
          <w:color w:val="auto"/>
        </w:rPr>
        <w:t>. Exercise by Landlord of any remedies hereunder or otherwise available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acceptance of surrender of the Premises and/or a termination of this Lease by Landlord, it being understood that such surrender and/or termination can be effected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20</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Following a Default by Tenant under this Lease and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81" w:lineRule="exact"/>
        <w:rPr>
          <w:sz w:val="20"/>
          <w:szCs w:val="20"/>
          <w:color w:val="auto"/>
        </w:rPr>
      </w:pPr>
    </w:p>
    <w:p>
      <w:pPr>
        <w:ind w:left="2420" w:hanging="1548"/>
        <w:spacing w:after="0"/>
        <w:tabs>
          <w:tab w:leader="none" w:pos="24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37" w:lineRule="auto"/>
        <w:tabs>
          <w:tab w:leader="none" w:pos="2379"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subject to and on the conditions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including without limitation,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below,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Notwithstanding the foregoing, Tenant shall have the right to obtain financing from investors (including venture capital funding and corporate partners) or undergo a public offering which results in a change in control of Tenant without such change of control constituting an assignment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use contemplated by Tenant at the commencement of the Term.</w:t>
      </w:r>
    </w:p>
    <w:p>
      <w:pPr>
        <w:spacing w:after="0" w:line="187" w:lineRule="exact"/>
        <w:rPr>
          <w:rFonts w:ascii="Arial" w:cs="Arial" w:eastAsia="Arial" w:hAnsi="Arial"/>
          <w:sz w:val="18"/>
          <w:szCs w:val="18"/>
          <w:color w:val="auto"/>
        </w:rPr>
      </w:pPr>
    </w:p>
    <w:p>
      <w:pPr>
        <w:jc w:val="both"/>
        <w:ind w:firstLine="872"/>
        <w:spacing w:after="0" w:line="238" w:lineRule="auto"/>
        <w:tabs>
          <w:tab w:leader="none" w:pos="2379"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sublet the Premises 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substantially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or (iii) terminate this Lease with respect to the space described in the Assignment Notice as of the Assignment Date (an “</w:t>
      </w:r>
      <w:r>
        <w:rPr>
          <w:rFonts w:ascii="Arial" w:cs="Arial" w:eastAsia="Arial" w:hAnsi="Arial"/>
          <w:sz w:val="18"/>
          <w:szCs w:val="18"/>
          <w:b w:val="1"/>
          <w:bCs w:val="1"/>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21</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if the proposed assignment or subletting concerns more than 50% of the Premises for the remainder (or substantially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the Term.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has received from any prior landlord to the proposed assignee or subtenant a negative written report concerning such prior landlord’s experience with the proposed assignee or subtenant; (7) Landlord has experienced previous defaults by or is in litigation with the proposed assignee or subtenant; (8) the use of the Premises by the proposed assignee or subtenant will violate any applicable Legal Requirement; (9) the proposed assignee or subtenant is an entity with whom Landlord is actively negotiating to lease space in the Project; or (10) the assignment or sublease is prohibited by Landlord’s lender. If Landlord delivers notice of its election to exercise an Assignment Termination, Tenant shall have the right to withdraw such Assignment Notice by written notice to Landlord of such election within 10 days after Tenant’s receipt of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 Notwithstanding the foregoing, Landlord’s consent to a deemed assignment due to a change in control or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Control Permitted Assignment</w:t>
      </w:r>
      <w:r>
        <w:rPr>
          <w:rFonts w:ascii="Arial" w:cs="Arial" w:eastAsia="Arial" w:hAnsi="Arial"/>
          <w:sz w:val="18"/>
          <w:szCs w:val="18"/>
          <w:color w:val="auto"/>
        </w:rPr>
        <w:t>”) shall not be required, provided that Landlord shall have the right to approve the form of any such sublease or assignment (which approval shall not be unreasonably withheld or delayed). In addition, Tenant shall have the right to assign this Lease, upon 15 days prior written notice to Landlord but without obtaining Landlord’s prior written consent, to a corporation or other entity which is a successor-in-interest to Tenant (or, if applicable, the resulting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net worth (as determined in accordance with GAAP) of Tenant as of the date of Tenant’s most current quarterly or annual financial statements, and (iii) if the resulting assignee is an entity other than Nurix Therapeutics, Inc., a Delaware corporation, such assignee shall agree in writing to assume all of the terms, covenants and conditions of this Lease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 Notwithstanding anything to the contrary contained herein, Landlord shall have no right to deliver an Assignment Termination as a result of a Permitted Assignment or any notice of a Permitted Assignment from Tenant.</w:t>
      </w:r>
    </w:p>
    <w:p>
      <w:pPr>
        <w:spacing w:after="0" w:line="210" w:lineRule="exact"/>
        <w:rPr>
          <w:sz w:val="20"/>
          <w:szCs w:val="20"/>
          <w:color w:val="auto"/>
        </w:rPr>
      </w:pPr>
    </w:p>
    <w:p>
      <w:pPr>
        <w:ind w:firstLine="872"/>
        <w:spacing w:after="0" w:line="271" w:lineRule="auto"/>
        <w:tabs>
          <w:tab w:leader="none" w:pos="2369"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whether or not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is required, Landlord may require:</w:t>
      </w:r>
    </w:p>
    <w:p>
      <w:pPr>
        <w:spacing w:after="0" w:line="176" w:lineRule="exact"/>
        <w:rPr>
          <w:sz w:val="20"/>
          <w:szCs w:val="20"/>
          <w:color w:val="auto"/>
        </w:rPr>
      </w:pPr>
    </w:p>
    <w:p>
      <w:pPr>
        <w:jc w:val="both"/>
        <w:ind w:left="880" w:firstLine="797"/>
        <w:spacing w:after="0"/>
        <w:rPr>
          <w:sz w:val="20"/>
          <w:szCs w:val="20"/>
          <w:color w:val="auto"/>
        </w:rPr>
      </w:pPr>
      <w:r>
        <w:rPr>
          <w:rFonts w:ascii="Arial" w:cs="Arial" w:eastAsia="Arial" w:hAnsi="Arial"/>
          <w:sz w:val="18"/>
          <w:szCs w:val="18"/>
          <w:color w:val="auto"/>
        </w:rPr>
        <w:t>(i)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22</w:t>
      </w:r>
    </w:p>
    <w:p>
      <w:pPr>
        <w:spacing w:after="0" w:line="233"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 xml:space="preserve">those due under this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203" w:lineRule="exact"/>
        <w:rPr>
          <w:sz w:val="20"/>
          <w:szCs w:val="20"/>
          <w:color w:val="auto"/>
        </w:rPr>
      </w:pPr>
    </w:p>
    <w:p>
      <w:pPr>
        <w:jc w:val="both"/>
        <w:ind w:left="8" w:firstLine="797"/>
        <w:spacing w:after="0"/>
        <w:rPr>
          <w:sz w:val="20"/>
          <w:szCs w:val="20"/>
          <w:color w:val="auto"/>
        </w:rPr>
      </w:pPr>
      <w:r>
        <w:rPr>
          <w:rFonts w:ascii="Arial" w:cs="Arial" w:eastAsia="Arial" w:hAnsi="Arial"/>
          <w:sz w:val="18"/>
          <w:szCs w:val="18"/>
          <w:color w:val="auto"/>
        </w:rPr>
        <w:t>(ii)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347" w:lineRule="exact"/>
        <w:rPr>
          <w:sz w:val="20"/>
          <w:szCs w:val="20"/>
          <w:color w:val="auto"/>
        </w:rPr>
      </w:pPr>
    </w:p>
    <w:p>
      <w:pPr>
        <w:jc w:val="both"/>
        <w:ind w:left="-872" w:firstLine="872"/>
        <w:spacing w:after="0" w:line="238" w:lineRule="auto"/>
        <w:tabs>
          <w:tab w:leader="none" w:pos="150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guarantor or surety of Tenant’s obligations under this Lease shall at all times remain fully and primarily responsible and liable for the payment of Rent and for compliance with all of Tenant’s other obligations under this Lease. Except with respect to a Permitted Assignment, if the rent due and payable by a sublessee or assignee (or a combination of the rental payable under such sublease or assignment plus any bonus or other consideration therefor or incident thereto in any form attributable to the assignment or sublease) exceeds the sum of the rental payable under this Lease (in the case of a sublease, with respect to the portions of the Premises subject to such sublease),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80" w:lineRule="exact"/>
        <w:rPr>
          <w:rFonts w:ascii="Arial" w:cs="Arial" w:eastAsia="Arial" w:hAnsi="Arial"/>
          <w:sz w:val="18"/>
          <w:szCs w:val="18"/>
          <w:color w:val="auto"/>
        </w:rPr>
      </w:pPr>
    </w:p>
    <w:p>
      <w:pPr>
        <w:jc w:val="both"/>
        <w:ind w:left="-872" w:firstLine="872"/>
        <w:spacing w:after="0" w:line="244" w:lineRule="auto"/>
        <w:tabs>
          <w:tab w:leader="none" w:pos="150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6" w:lineRule="exact"/>
        <w:rPr>
          <w:rFonts w:ascii="Arial" w:cs="Arial" w:eastAsia="Arial" w:hAnsi="Arial"/>
          <w:sz w:val="18"/>
          <w:szCs w:val="18"/>
          <w:color w:val="auto"/>
        </w:rPr>
      </w:pPr>
    </w:p>
    <w:p>
      <w:pPr>
        <w:jc w:val="both"/>
        <w:ind w:left="-872" w:firstLine="872"/>
        <w:spacing w:after="0"/>
        <w:tabs>
          <w:tab w:leader="none" w:pos="145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321945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13" w:name="page114"/>
    <w:bookmarkEnd w:id="113"/>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23</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75" w:lineRule="exact"/>
        <w:rPr>
          <w:sz w:val="20"/>
          <w:szCs w:val="20"/>
          <w:color w:val="auto"/>
        </w:rPr>
      </w:pPr>
    </w:p>
    <w:p>
      <w:pPr>
        <w:jc w:val="both"/>
        <w:ind w:firstLine="872"/>
        <w:spacing w:after="0" w:line="239" w:lineRule="auto"/>
        <w:tabs>
          <w:tab w:leader="none" w:pos="241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deliver 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5 days after Tenant’s receipt of a second written notice from Landlord shall, at the option of Landlord, be conclusive upon Tenant that this Lease is in full force and effect and without modification except as may be represented by Landlord in any certificate prepared by Landlord and delivered to Tenant for execution.</w:t>
      </w:r>
    </w:p>
    <w:p>
      <w:pPr>
        <w:spacing w:after="0" w:line="179" w:lineRule="exact"/>
        <w:rPr>
          <w:rFonts w:ascii="Arial" w:cs="Arial" w:eastAsia="Arial" w:hAnsi="Arial"/>
          <w:sz w:val="18"/>
          <w:szCs w:val="18"/>
          <w:color w:val="auto"/>
        </w:rPr>
      </w:pPr>
    </w:p>
    <w:p>
      <w:pPr>
        <w:jc w:val="both"/>
        <w:ind w:firstLine="872"/>
        <w:spacing w:after="0" w:line="253" w:lineRule="auto"/>
        <w:tabs>
          <w:tab w:leader="none" w:pos="241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at all times during the Term, have peaceful and quiet enjoyment of the Premises against any person claiming by, through or under Landlord.</w:t>
      </w:r>
    </w:p>
    <w:p>
      <w:pPr>
        <w:spacing w:after="0" w:line="168" w:lineRule="exact"/>
        <w:rPr>
          <w:rFonts w:ascii="Arial" w:cs="Arial" w:eastAsia="Arial" w:hAnsi="Arial"/>
          <w:sz w:val="18"/>
          <w:szCs w:val="18"/>
          <w:color w:val="auto"/>
        </w:rPr>
      </w:pPr>
    </w:p>
    <w:p>
      <w:pPr>
        <w:ind w:left="2420" w:hanging="1548"/>
        <w:spacing w:after="0"/>
        <w:tabs>
          <w:tab w:leader="none" w:pos="24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day year and 30 day months.</w:t>
      </w:r>
    </w:p>
    <w:p>
      <w:pPr>
        <w:spacing w:after="0" w:line="189" w:lineRule="exact"/>
        <w:rPr>
          <w:rFonts w:ascii="Arial" w:cs="Arial" w:eastAsia="Arial" w:hAnsi="Arial"/>
          <w:sz w:val="18"/>
          <w:szCs w:val="18"/>
          <w:color w:val="auto"/>
        </w:rPr>
      </w:pPr>
    </w:p>
    <w:p>
      <w:pPr>
        <w:jc w:val="both"/>
        <w:ind w:firstLine="872"/>
        <w:spacing w:after="0" w:line="244" w:lineRule="auto"/>
        <w:tabs>
          <w:tab w:leader="none" w:pos="241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rules and regulations at any time or from time to time established by Landlord covering use of the Premises and the Project.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76" w:lineRule="exact"/>
        <w:rPr>
          <w:rFonts w:ascii="Arial" w:cs="Arial" w:eastAsia="Arial" w:hAnsi="Arial"/>
          <w:sz w:val="18"/>
          <w:szCs w:val="18"/>
          <w:color w:val="auto"/>
        </w:rPr>
      </w:pPr>
    </w:p>
    <w:p>
      <w:pPr>
        <w:jc w:val="both"/>
        <w:ind w:firstLine="872"/>
        <w:spacing w:after="0" w:line="237" w:lineRule="auto"/>
        <w:tabs>
          <w:tab w:leader="none" w:pos="241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by the Holder of any such Mortgage. Tenant agrees, at the written election of the Holder of any such Mortgage, and upon a foreclosure (or delivery of a deed-in-lieu of foreclosure) of such Mortgage, to attorn to any such Holder. Tenant agrees upon written demand to execute, acknowledge and deliver such instruments, confirming such subordination, and such reasonable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 As of the date of this Lease, there is no existing Mortgage encumbering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24</w:t>
      </w:r>
    </w:p>
    <w:p>
      <w:pPr>
        <w:spacing w:after="0" w:line="211" w:lineRule="exact"/>
        <w:rPr>
          <w:sz w:val="20"/>
          <w:szCs w:val="20"/>
          <w:color w:val="auto"/>
        </w:rPr>
      </w:pPr>
    </w:p>
    <w:p>
      <w:pPr>
        <w:jc w:val="both"/>
        <w:ind w:firstLine="872"/>
        <w:spacing w:after="0" w:line="236" w:lineRule="auto"/>
        <w:tabs>
          <w:tab w:leader="none" w:pos="241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 the Premises to Landlord in the condition following the substantial completion of the Premises Improvements, subject to any Alterations or Installations permitted by Landlord to remain in the Premises, free of Hazardous Materials brought upon, kept, used, stored, handled, treated, generated in, or released or disposed of from, the Premises by any person other than Landlord or any Landlord’s employees, agents and contractors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8"/>
          <w:szCs w:val="18"/>
          <w:b w:val="1"/>
          <w:bCs w:val="1"/>
          <w:color w:val="auto"/>
        </w:rPr>
        <w:t>Decommissioning and HazMat Closure Plan</w:t>
      </w:r>
      <w:r>
        <w:rPr>
          <w:rFonts w:ascii="Arial" w:cs="Arial" w:eastAsia="Arial" w:hAnsi="Arial"/>
          <w:sz w:val="18"/>
          <w:szCs w:val="18"/>
          <w:color w:val="auto"/>
        </w:rPr>
        <w:t>”). Such Decommissioning and HazMat Closure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which approval is not to be unreasonably withheld, conditioned or delayed. In connection with the review and approval of the Decommissioning and HazMat Closure Plan, upon the request of Landlord, Tenant shall deliver to Landlord or its consultant such additional non-proprietary information concerning Tenant HazMat Operations as Landlord shall request. On or before such surrender, Tenant shall deliver to Landlord evidence that the approved Decommissioning and HazMat Closure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reasonable out-of-pocket expense incurred by Landlord for Landlord’s environmental consultant to review and approve the Decommissioning and HazMat Closure Plan and to visit the Premises and verify satisfactory completion of the same, which cost shall not exceed $2,500. Landlord shall have the unrestricted right to deliver such Decommissioning and HazMat Closure Plan and any report by Landlord’s environmental consultant with respect to the surrender of the Premises to third parties.</w:t>
      </w:r>
    </w:p>
    <w:p>
      <w:pPr>
        <w:spacing w:after="0" w:line="21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left="872"/>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25</w:t>
      </w:r>
    </w:p>
    <w:p>
      <w:pPr>
        <w:spacing w:after="0" w:line="211" w:lineRule="exact"/>
        <w:rPr>
          <w:sz w:val="20"/>
          <w:szCs w:val="20"/>
          <w:color w:val="auto"/>
        </w:rPr>
      </w:pPr>
    </w:p>
    <w:p>
      <w:pPr>
        <w:jc w:val="both"/>
        <w:ind w:left="-8" w:firstLine="872"/>
        <w:spacing w:after="0" w:line="244" w:lineRule="auto"/>
        <w:tabs>
          <w:tab w:leader="none" w:pos="240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6" w:lineRule="exact"/>
        <w:rPr>
          <w:rFonts w:ascii="Arial" w:cs="Arial" w:eastAsia="Arial" w:hAnsi="Arial"/>
          <w:sz w:val="18"/>
          <w:szCs w:val="18"/>
          <w:color w:val="auto"/>
        </w:rPr>
      </w:pPr>
    </w:p>
    <w:p>
      <w:pPr>
        <w:ind w:left="2412" w:hanging="1548"/>
        <w:spacing w:after="0"/>
        <w:tabs>
          <w:tab w:leader="none" w:pos="241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12" w:lineRule="exact"/>
        <w:rPr>
          <w:sz w:val="20"/>
          <w:szCs w:val="20"/>
          <w:color w:val="auto"/>
        </w:rPr>
      </w:pPr>
    </w:p>
    <w:p>
      <w:pPr>
        <w:jc w:val="both"/>
        <w:ind w:left="-8" w:firstLine="872"/>
        <w:spacing w:after="0" w:line="235" w:lineRule="auto"/>
        <w:tabs>
          <w:tab w:leader="none" w:pos="2371"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hereinafter defined) to be 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“Environmental Claims”)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not be responsible for, and the indemnification and hold harmless obligation set forth in this paragraph shall not apply to (i) contamination in the Premises which Tenant can prove existed in the Premises immediately prior to the Commencement Date, or</w:t>
      </w:r>
    </w:p>
    <w:p>
      <w:pPr>
        <w:spacing w:after="0" w:line="17" w:lineRule="exact"/>
        <w:rPr>
          <w:rFonts w:ascii="Arial" w:cs="Arial" w:eastAsia="Arial" w:hAnsi="Arial"/>
          <w:sz w:val="18"/>
          <w:szCs w:val="18"/>
          <w:color w:val="auto"/>
        </w:rPr>
      </w:pPr>
    </w:p>
    <w:p>
      <w:pPr>
        <w:jc w:val="both"/>
        <w:ind w:left="-8" w:firstLine="8"/>
        <w:spacing w:after="0"/>
        <w:tabs>
          <w:tab w:leader="none" w:pos="2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presence of any Hazardous Materials in the Premises which Tenant can prove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180" w:lineRule="exact"/>
        <w:rPr>
          <w:rFonts w:ascii="Arial" w:cs="Arial" w:eastAsia="Arial" w:hAnsi="Arial"/>
          <w:sz w:val="18"/>
          <w:szCs w:val="18"/>
          <w:color w:val="auto"/>
        </w:rPr>
      </w:pPr>
    </w:p>
    <w:p>
      <w:pPr>
        <w:jc w:val="both"/>
        <w:ind w:left="-8" w:firstLine="872"/>
        <w:spacing w:after="0" w:line="242" w:lineRule="auto"/>
        <w:tabs>
          <w:tab w:leader="none" w:pos="2371" w:val="left"/>
        </w:tabs>
        <w:numPr>
          <w:ilvl w:val="1"/>
          <w:numId w:val="83"/>
        </w:numPr>
        <w:rPr>
          <w:rFonts w:ascii="Arial" w:cs="Arial" w:eastAsia="Arial" w:hAnsi="Arial"/>
          <w:sz w:val="18"/>
          <w:szCs w:val="18"/>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for the 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321310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16" w:name="page117"/>
    <w:bookmarkEnd w:id="116"/>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26</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8"/>
          <w:szCs w:val="18"/>
          <w:b w:val="1"/>
          <w:bCs w:val="1"/>
          <w:color w:val="auto"/>
        </w:rPr>
        <w:t>Hazardous Materials List</w:t>
      </w:r>
      <w:r>
        <w:rPr>
          <w:rFonts w:ascii="Arial" w:cs="Arial" w:eastAsia="Arial" w:hAnsi="Arial"/>
          <w:sz w:val="18"/>
          <w:szCs w:val="18"/>
          <w:color w:val="auto"/>
        </w:rPr>
        <w:t>”). Upon Landlord’s request,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8"/>
          <w:szCs w:val="18"/>
          <w:b w:val="1"/>
          <w:bCs w:val="1"/>
          <w:color w:val="auto"/>
        </w:rPr>
        <w:t>Haz Mat Documents</w:t>
      </w:r>
      <w:r>
        <w:rPr>
          <w:rFonts w:ascii="Arial" w:cs="Arial" w:eastAsia="Arial" w:hAnsi="Arial"/>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Decommissioning and HazMat Closure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91" w:lineRule="exact"/>
        <w:rPr>
          <w:sz w:val="20"/>
          <w:szCs w:val="20"/>
          <w:color w:val="auto"/>
        </w:rPr>
      </w:pPr>
    </w:p>
    <w:p>
      <w:pPr>
        <w:jc w:val="both"/>
        <w:ind w:firstLine="872"/>
        <w:spacing w:after="0"/>
        <w:tabs>
          <w:tab w:leader="none" w:pos="236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Tenant Representation and Warranty</w:t>
      </w:r>
      <w:r>
        <w:rPr>
          <w:rFonts w:ascii="Arial" w:cs="Arial" w:eastAsia="Arial" w:hAnsi="Arial"/>
          <w:sz w:val="18"/>
          <w:szCs w:val="18"/>
          <w:color w:val="auto"/>
        </w:rPr>
        <w:t>. Tenant hereby represents and warrants to Landlord that (i)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nor any of 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80" w:lineRule="exact"/>
        <w:rPr>
          <w:rFonts w:ascii="Arial" w:cs="Arial" w:eastAsia="Arial" w:hAnsi="Arial"/>
          <w:sz w:val="18"/>
          <w:szCs w:val="18"/>
          <w:color w:val="auto"/>
        </w:rPr>
      </w:pPr>
    </w:p>
    <w:p>
      <w:pPr>
        <w:jc w:val="both"/>
        <w:ind w:firstLine="872"/>
        <w:spacing w:after="0" w:line="237" w:lineRule="auto"/>
        <w:tabs>
          <w:tab w:leader="none" w:pos="237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Landlord shall have the right to conduct annual tests of the Premises to determine whether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contamination of the Premises or the Project has occurred as a result of Tenant’s use. Tenant shall be required to pay the cost of such annual test of the Premises if there is a violation of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or if contamination for which Tenant is responsible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87" w:lineRule="exact"/>
        <w:rPr>
          <w:rFonts w:ascii="Arial" w:cs="Arial" w:eastAsia="Arial" w:hAnsi="Arial"/>
          <w:sz w:val="18"/>
          <w:szCs w:val="18"/>
          <w:color w:val="auto"/>
        </w:rPr>
      </w:pPr>
    </w:p>
    <w:p>
      <w:pPr>
        <w:ind w:right="20" w:firstLine="872"/>
        <w:spacing w:after="0" w:line="271" w:lineRule="auto"/>
        <w:tabs>
          <w:tab w:leader="none" w:pos="237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Control Areas</w:t>
      </w:r>
      <w:r>
        <w:rPr>
          <w:rFonts w:ascii="Arial" w:cs="Arial" w:eastAsia="Arial" w:hAnsi="Arial"/>
          <w:sz w:val="18"/>
          <w:szCs w:val="18"/>
          <w:color w:val="auto"/>
        </w:rPr>
        <w:t>. Tenant shall be allowed to utilize up to its pro rata share of the Hazardous Materials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any control area or zone (located within the Premises),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27</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pacing w:after="0" w:line="180" w:lineRule="exact"/>
        <w:rPr>
          <w:sz w:val="20"/>
          <w:szCs w:val="20"/>
          <w:color w:val="auto"/>
        </w:rPr>
      </w:pPr>
    </w:p>
    <w:p>
      <w:pPr>
        <w:jc w:val="both"/>
        <w:ind w:firstLine="872"/>
        <w:spacing w:after="0" w:line="242" w:lineRule="auto"/>
        <w:tabs>
          <w:tab w:leader="none" w:pos="2329"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Storage Tanks</w:t>
      </w:r>
      <w:r>
        <w:rPr>
          <w:rFonts w:ascii="Arial" w:cs="Arial" w:eastAsia="Arial" w:hAnsi="Arial"/>
          <w:sz w:val="18"/>
          <w:szCs w:val="18"/>
          <w:color w:val="auto"/>
        </w:rPr>
        <w:t>. If storage tanks storing Hazardous Materials located on the Premises or the Project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or are hereafter placed on the Premises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78" w:lineRule="exact"/>
        <w:rPr>
          <w:rFonts w:ascii="Arial" w:cs="Arial" w:eastAsia="Arial" w:hAnsi="Arial"/>
          <w:sz w:val="18"/>
          <w:szCs w:val="18"/>
          <w:color w:val="auto"/>
        </w:rPr>
      </w:pPr>
    </w:p>
    <w:p>
      <w:pPr>
        <w:jc w:val="both"/>
        <w:ind w:firstLine="872"/>
        <w:spacing w:after="0" w:line="242" w:lineRule="auto"/>
        <w:tabs>
          <w:tab w:leader="none" w:pos="2379"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178" w:lineRule="exact"/>
        <w:rPr>
          <w:rFonts w:ascii="Arial" w:cs="Arial" w:eastAsia="Arial" w:hAnsi="Arial"/>
          <w:sz w:val="18"/>
          <w:szCs w:val="18"/>
          <w:color w:val="auto"/>
        </w:rPr>
      </w:pPr>
    </w:p>
    <w:p>
      <w:pPr>
        <w:jc w:val="both"/>
        <w:ind w:firstLine="872"/>
        <w:spacing w:after="0" w:line="238" w:lineRule="auto"/>
        <w:tabs>
          <w:tab w:leader="none" w:pos="2379"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statutes, 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6" w:lineRule="exact"/>
        <w:rPr>
          <w:sz w:val="20"/>
          <w:szCs w:val="20"/>
          <w:color w:val="auto"/>
        </w:rPr>
      </w:pPr>
    </w:p>
    <w:p>
      <w:pPr>
        <w:jc w:val="both"/>
        <w:ind w:firstLine="872"/>
        <w:spacing w:after="0"/>
        <w:tabs>
          <w:tab w:leader="none" w:pos="241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28</w:t>
      </w:r>
    </w:p>
    <w:p>
      <w:pPr>
        <w:spacing w:after="0" w:line="23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jc w:val="both"/>
        <w:ind w:firstLine="872"/>
        <w:spacing w:after="0" w:line="238" w:lineRule="auto"/>
        <w:tabs>
          <w:tab w:leader="none" w:pos="24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Landlord’s agents, representatives and contractors may enter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reasonable business purpose. Landlord shall use reasonable efforts to minimize interruption of Tenant’s business during such inspections or repairs.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82" w:lineRule="exact"/>
        <w:rPr>
          <w:rFonts w:ascii="Arial" w:cs="Arial" w:eastAsia="Arial" w:hAnsi="Arial"/>
          <w:sz w:val="18"/>
          <w:szCs w:val="18"/>
          <w:color w:val="auto"/>
        </w:rPr>
      </w:pPr>
    </w:p>
    <w:p>
      <w:pPr>
        <w:jc w:val="both"/>
        <w:ind w:firstLine="872"/>
        <w:spacing w:after="0"/>
        <w:tabs>
          <w:tab w:leader="none" w:pos="24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w:t>
      </w:r>
      <w:r>
        <w:rPr>
          <w:rFonts w:ascii="Arial" w:cs="Arial" w:eastAsia="Arial" w:hAnsi="Arial"/>
          <w:sz w:val="18"/>
          <w:szCs w:val="18"/>
          <w:b w:val="1"/>
          <w:bCs w:val="1"/>
          <w:color w:val="auto"/>
        </w:rPr>
        <w:t xml:space="preserve"> </w:t>
      </w:r>
      <w:r>
        <w:rPr>
          <w:rFonts w:ascii="Arial" w:cs="Arial" w:eastAsia="Arial" w:hAnsi="Arial"/>
          <w:sz w:val="18"/>
          <w:szCs w:val="18"/>
          <w:color w:val="auto"/>
        </w:rPr>
        <w:t>crime may not in 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84" w:lineRule="exact"/>
        <w:rPr>
          <w:rFonts w:ascii="Arial" w:cs="Arial" w:eastAsia="Arial" w:hAnsi="Arial"/>
          <w:sz w:val="18"/>
          <w:szCs w:val="18"/>
          <w:color w:val="auto"/>
        </w:rPr>
      </w:pPr>
    </w:p>
    <w:p>
      <w:pPr>
        <w:jc w:val="both"/>
        <w:ind w:firstLine="872"/>
        <w:spacing w:after="0"/>
        <w:tabs>
          <w:tab w:leader="none" w:pos="24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the payment of Rent, neither Tenant nor Landlord shall be responsible or liable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delays in the performance 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local, regional or national pandemic or epidemic and other similar causes or events beyond the reasonable control of such party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872"/>
        <w:spacing w:after="0" w:line="242" w:lineRule="auto"/>
        <w:tabs>
          <w:tab w:leader="none" w:pos="24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CBRE. Landlord and Tenant each hereby agree to indemnify and hold the other harmless from and against any claims by any Broker, other than CBRE, claiming a commission or other form of compensation by virtue of having dealt with Tenant or Landlord, as applicable, with regard to this leasing transaction. Landlord shall be responsible for all fees of CBRE arising out of the execution of this Lease in accordance with the terms of a separate written agreement between CBRE and Landlord.</w:t>
      </w:r>
    </w:p>
    <w:p>
      <w:pPr>
        <w:spacing w:after="0" w:line="178" w:lineRule="exact"/>
        <w:rPr>
          <w:rFonts w:ascii="Arial" w:cs="Arial" w:eastAsia="Arial" w:hAnsi="Arial"/>
          <w:sz w:val="18"/>
          <w:szCs w:val="18"/>
          <w:color w:val="auto"/>
        </w:rPr>
      </w:pPr>
    </w:p>
    <w:p>
      <w:pPr>
        <w:ind w:right="20" w:firstLine="872"/>
        <w:spacing w:after="0" w:line="271" w:lineRule="auto"/>
        <w:tabs>
          <w:tab w:leader="none" w:pos="24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AGREEMENT BETWEEN LANDLORD AND TENANT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29</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91" w:lineRule="exact"/>
        <w:rPr>
          <w:sz w:val="20"/>
          <w:szCs w:val="20"/>
          <w:color w:val="auto"/>
        </w:rPr>
      </w:pPr>
    </w:p>
    <w:p>
      <w:pPr>
        <w:jc w:val="both"/>
        <w:ind w:firstLine="872"/>
        <w:spacing w:after="0" w:line="244" w:lineRule="auto"/>
        <w:tabs>
          <w:tab w:leader="none" w:pos="241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then 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jc w:val="both"/>
        <w:ind w:firstLine="872"/>
        <w:spacing w:after="0" w:line="239" w:lineRule="auto"/>
        <w:tabs>
          <w:tab w:leader="none" w:pos="241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or withheld in Landlord’s reasonable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Suite entry signage shall be inscribed, painted or affixed for Tenant by Landlord at the sole cost and expense of Landlord, and shall be of a size, color and type acceptable to Landlord. Landlord shall also include Tenant’s name and location on the Building lobby directory. Nothing may be placed on the exterior of corridor walls or corridor doors other than Landlord’s standard lettering. The lobby directory shall be provided exclusively for the display of the name and location of tenants.</w:t>
      </w:r>
    </w:p>
    <w:p>
      <w:pPr>
        <w:spacing w:after="0" w:line="179" w:lineRule="exact"/>
        <w:rPr>
          <w:rFonts w:ascii="Arial" w:cs="Arial" w:eastAsia="Arial" w:hAnsi="Arial"/>
          <w:sz w:val="18"/>
          <w:szCs w:val="18"/>
          <w:color w:val="auto"/>
        </w:rPr>
      </w:pPr>
    </w:p>
    <w:p>
      <w:pPr>
        <w:ind w:left="2420" w:hanging="1548"/>
        <w:spacing w:after="0"/>
        <w:tabs>
          <w:tab w:leader="none" w:pos="24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conditions:</w:t>
      </w:r>
    </w:p>
    <w:p>
      <w:pPr>
        <w:spacing w:after="0" w:line="190" w:lineRule="exact"/>
        <w:rPr>
          <w:sz w:val="20"/>
          <w:szCs w:val="20"/>
          <w:color w:val="auto"/>
        </w:rPr>
      </w:pPr>
    </w:p>
    <w:p>
      <w:pPr>
        <w:jc w:val="both"/>
        <w:ind w:firstLine="872"/>
        <w:spacing w:after="0" w:line="247" w:lineRule="auto"/>
        <w:tabs>
          <w:tab w:leader="none" w:pos="2379"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Extension Right</w:t>
      </w:r>
      <w:r>
        <w:rPr>
          <w:rFonts w:ascii="Arial" w:cs="Arial" w:eastAsia="Arial" w:hAnsi="Arial"/>
          <w:sz w:val="18"/>
          <w:szCs w:val="18"/>
          <w:color w:val="auto"/>
        </w:rPr>
        <w:t>. Subject to the superior rights of Nektar Therapeutics, Inc. and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1 right (the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60 months (the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Improvement Allowance) by giving Landlord written notice of its election to exercise the Extension Right at least 9 months prior to the expiration of the Base Term of this Lease.</w:t>
      </w:r>
    </w:p>
    <w:p>
      <w:pPr>
        <w:spacing w:after="0" w:line="196" w:lineRule="exact"/>
        <w:rPr>
          <w:sz w:val="20"/>
          <w:szCs w:val="20"/>
          <w:color w:val="auto"/>
        </w:rPr>
      </w:pPr>
    </w:p>
    <w:p>
      <w:pPr>
        <w:ind w:firstLine="1727"/>
        <w:spacing w:after="0" w:line="246" w:lineRule="auto"/>
        <w:rPr>
          <w:sz w:val="20"/>
          <w:szCs w:val="20"/>
          <w:color w:val="auto"/>
        </w:rPr>
      </w:pPr>
      <w:r>
        <w:rPr>
          <w:rFonts w:ascii="Arial" w:cs="Arial" w:eastAsia="Arial" w:hAnsi="Arial"/>
          <w:sz w:val="18"/>
          <w:szCs w:val="18"/>
          <w:color w:val="auto"/>
        </w:rPr>
        <w:t>Base Rent shall be adjusted on the commencement date of the Extension Term and on each annual anniversary of the commencement of the Extension Term by multiplying the 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30</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payable </w:t>
      </w:r>
      <w:r>
        <w:rPr>
          <w:rFonts w:ascii="Arial" w:cs="Arial" w:eastAsia="Arial" w:hAnsi="Arial"/>
          <w:sz w:val="18"/>
          <w:szCs w:val="18"/>
          <w:b w:val="1"/>
          <w:bCs w:val="1"/>
          <w:color w:val="auto"/>
        </w:rPr>
        <w:t>immediately</w:t>
      </w:r>
      <w:r>
        <w:rPr>
          <w:rFonts w:ascii="Arial" w:cs="Arial" w:eastAsia="Arial" w:hAnsi="Arial"/>
          <w:sz w:val="18"/>
          <w:szCs w:val="18"/>
          <w:color w:val="auto"/>
        </w:rPr>
        <w:t xml:space="preserve"> before such adjustment by the Rent Adjustment Percentage and adding the resulting amount to the Base Rent payable immediately before such adjustment. In addition, Landlord may impose a market rent for the parking rights provided hereunder.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this Lease for the Extension Term.</w:t>
      </w:r>
    </w:p>
    <w:p>
      <w:pPr>
        <w:spacing w:after="0" w:line="174" w:lineRule="exact"/>
        <w:rPr>
          <w:sz w:val="20"/>
          <w:szCs w:val="20"/>
          <w:color w:val="auto"/>
        </w:rPr>
      </w:pPr>
    </w:p>
    <w:p>
      <w:pPr>
        <w:jc w:val="both"/>
        <w:ind w:firstLine="872"/>
        <w:spacing w:after="0" w:line="253" w:lineRule="auto"/>
        <w:tabs>
          <w:tab w:leader="none" w:pos="237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granted or withheld in Landlord’s sole discretion separate and apart from any consent by Landlord to an assignment of Tenant’s interest in this Lease, except that it may be assigned in connection with any Permitted Assignment of this Lease.</w:t>
      </w:r>
    </w:p>
    <w:p>
      <w:pPr>
        <w:spacing w:after="0" w:line="168" w:lineRule="exact"/>
        <w:rPr>
          <w:rFonts w:ascii="Arial" w:cs="Arial" w:eastAsia="Arial" w:hAnsi="Arial"/>
          <w:sz w:val="18"/>
          <w:szCs w:val="18"/>
          <w:color w:val="auto"/>
        </w:rPr>
      </w:pPr>
    </w:p>
    <w:p>
      <w:pPr>
        <w:ind w:firstLine="872"/>
        <w:spacing w:after="0" w:line="271" w:lineRule="auto"/>
        <w:tabs>
          <w:tab w:leader="none" w:pos="236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at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not be in effect and Tenant may not exercise the Extension Right:</w:t>
      </w:r>
    </w:p>
    <w:p>
      <w:pPr>
        <w:spacing w:after="0" w:line="175" w:lineRule="exact"/>
        <w:rPr>
          <w:rFonts w:ascii="Arial" w:cs="Arial" w:eastAsia="Arial" w:hAnsi="Arial"/>
          <w:sz w:val="18"/>
          <w:szCs w:val="18"/>
          <w:color w:val="auto"/>
        </w:rPr>
      </w:pPr>
    </w:p>
    <w:p>
      <w:pPr>
        <w:ind w:left="2480" w:hanging="811"/>
        <w:spacing w:after="0"/>
        <w:tabs>
          <w:tab w:leader="none" w:pos="2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211" w:lineRule="exact"/>
        <w:rPr>
          <w:rFonts w:ascii="Arial" w:cs="Arial" w:eastAsia="Arial" w:hAnsi="Arial"/>
          <w:sz w:val="18"/>
          <w:szCs w:val="18"/>
          <w:color w:val="auto"/>
        </w:rPr>
      </w:pPr>
    </w:p>
    <w:p>
      <w:pPr>
        <w:jc w:val="both"/>
        <w:ind w:left="880" w:firstLine="789"/>
        <w:spacing w:after="0"/>
        <w:tabs>
          <w:tab w:leader="none" w:pos="2525"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pacing w:after="0" w:line="180" w:lineRule="exact"/>
        <w:rPr>
          <w:rFonts w:ascii="Arial" w:cs="Arial" w:eastAsia="Arial" w:hAnsi="Arial"/>
          <w:sz w:val="18"/>
          <w:szCs w:val="18"/>
          <w:color w:val="auto"/>
        </w:rPr>
      </w:pPr>
    </w:p>
    <w:p>
      <w:pPr>
        <w:ind w:firstLine="872"/>
        <w:spacing w:after="0" w:line="271" w:lineRule="auto"/>
        <w:tabs>
          <w:tab w:leader="none" w:pos="237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enlarged by reason of Tenant’s inability to exercise the Extension Right.</w:t>
      </w:r>
    </w:p>
    <w:p>
      <w:pPr>
        <w:spacing w:after="0" w:line="153" w:lineRule="exact"/>
        <w:rPr>
          <w:rFonts w:ascii="Arial" w:cs="Arial" w:eastAsia="Arial" w:hAnsi="Arial"/>
          <w:sz w:val="18"/>
          <w:szCs w:val="18"/>
          <w:color w:val="auto"/>
        </w:rPr>
      </w:pPr>
    </w:p>
    <w:p>
      <w:pPr>
        <w:jc w:val="both"/>
        <w:ind w:firstLine="872"/>
        <w:spacing w:after="0" w:line="244" w:lineRule="auto"/>
        <w:tabs>
          <w:tab w:leader="none" w:pos="237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at Landlord’s option, terminate and be of no further force or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even after Tenant’s due and timely exercise of an 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whether or not such Defaults are cured.</w:t>
      </w:r>
    </w:p>
    <w:p>
      <w:pPr>
        <w:spacing w:after="0" w:line="176" w:lineRule="exact"/>
        <w:rPr>
          <w:rFonts w:ascii="Arial" w:cs="Arial" w:eastAsia="Arial" w:hAnsi="Arial"/>
          <w:sz w:val="18"/>
          <w:szCs w:val="18"/>
          <w:color w:val="auto"/>
        </w:rPr>
      </w:pPr>
    </w:p>
    <w:p>
      <w:pPr>
        <w:jc w:val="both"/>
        <w:ind w:firstLine="872"/>
        <w:spacing w:after="0" w:line="253" w:lineRule="auto"/>
        <w:tabs>
          <w:tab w:leader="none" w:pos="232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Subordinate</w:t>
      </w:r>
      <w:r>
        <w:rPr>
          <w:rFonts w:ascii="Arial" w:cs="Arial" w:eastAsia="Arial" w:hAnsi="Arial"/>
          <w:sz w:val="18"/>
          <w:szCs w:val="18"/>
          <w:color w:val="auto"/>
        </w:rPr>
        <w:t>. The Extension Right granted to Tenant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39(a)</w:t>
      </w:r>
      <w:r>
        <w:rPr>
          <w:rFonts w:ascii="Arial" w:cs="Arial" w:eastAsia="Arial" w:hAnsi="Arial"/>
          <w:sz w:val="18"/>
          <w:szCs w:val="18"/>
          <w:b w:val="1"/>
          <w:bCs w:val="1"/>
          <w:color w:val="auto"/>
        </w:rPr>
        <w:t xml:space="preserve"> </w:t>
      </w:r>
      <w:r>
        <w:rPr>
          <w:rFonts w:ascii="Arial" w:cs="Arial" w:eastAsia="Arial" w:hAnsi="Arial"/>
          <w:sz w:val="18"/>
          <w:szCs w:val="18"/>
          <w:color w:val="auto"/>
        </w:rPr>
        <w:t>above is and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and subordinate to the rights of Nektar Therapeutics, Inc. to expand its premises to include the Premises after the expiration of the Base Term of this Lease.</w:t>
      </w:r>
    </w:p>
    <w:p>
      <w:pPr>
        <w:spacing w:after="0" w:line="169" w:lineRule="exact"/>
        <w:rPr>
          <w:sz w:val="20"/>
          <w:szCs w:val="20"/>
          <w:color w:val="auto"/>
        </w:rPr>
      </w:pPr>
    </w:p>
    <w:p>
      <w:pPr>
        <w:jc w:val="both"/>
        <w:ind w:firstLine="872"/>
        <w:spacing w:after="0" w:line="238" w:lineRule="auto"/>
        <w:tabs>
          <w:tab w:leader="none" w:pos="241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Early Termination Right. </w:t>
      </w:r>
      <w:r>
        <w:rPr>
          <w:rFonts w:ascii="Arial" w:cs="Arial" w:eastAsia="Arial" w:hAnsi="Arial"/>
          <w:sz w:val="18"/>
          <w:szCs w:val="18"/>
          <w:color w:val="auto"/>
        </w:rPr>
        <w:t>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w:t>
      </w:r>
      <w:r>
        <w:rPr>
          <w:rFonts w:ascii="Arial" w:cs="Arial" w:eastAsia="Arial" w:hAnsi="Arial"/>
          <w:sz w:val="18"/>
          <w:szCs w:val="18"/>
          <w:color w:val="auto"/>
        </w:rPr>
        <w:t>, only if Tenant has entered into a new</w:t>
      </w:r>
      <w:r>
        <w:rPr>
          <w:rFonts w:ascii="Arial" w:cs="Arial" w:eastAsia="Arial" w:hAnsi="Arial"/>
          <w:sz w:val="18"/>
          <w:szCs w:val="18"/>
          <w:b w:val="1"/>
          <w:bCs w:val="1"/>
          <w:color w:val="auto"/>
        </w:rPr>
        <w:t xml:space="preserve"> </w:t>
      </w:r>
      <w:r>
        <w:rPr>
          <w:rFonts w:ascii="Arial" w:cs="Arial" w:eastAsia="Arial" w:hAnsi="Arial"/>
          <w:sz w:val="18"/>
          <w:szCs w:val="18"/>
          <w:color w:val="auto"/>
        </w:rPr>
        <w:t>lease during the Base Term with Landlord or an affiliate of Landlord (“</w:t>
      </w:r>
      <w:r>
        <w:rPr>
          <w:rFonts w:ascii="Arial" w:cs="Arial" w:eastAsia="Arial" w:hAnsi="Arial"/>
          <w:sz w:val="18"/>
          <w:szCs w:val="18"/>
          <w:b w:val="1"/>
          <w:bCs w:val="1"/>
          <w:color w:val="auto"/>
        </w:rPr>
        <w:t>Affiliate</w:t>
      </w:r>
      <w:r>
        <w:rPr>
          <w:rFonts w:ascii="Arial" w:cs="Arial" w:eastAsia="Arial" w:hAnsi="Arial"/>
          <w:sz w:val="18"/>
          <w:szCs w:val="18"/>
          <w:color w:val="auto"/>
        </w:rPr>
        <w:t>”) pursuant to which Tenant shall lease space from Landlord or Landlord’s Affiliate in the San Francisco area containing no less than 125,000 rentable square feet (the “</w:t>
      </w:r>
      <w:r>
        <w:rPr>
          <w:rFonts w:ascii="Arial" w:cs="Arial" w:eastAsia="Arial" w:hAnsi="Arial"/>
          <w:sz w:val="18"/>
          <w:szCs w:val="18"/>
          <w:b w:val="1"/>
          <w:bCs w:val="1"/>
          <w:color w:val="auto"/>
        </w:rPr>
        <w:t>New Premises</w:t>
      </w:r>
      <w:r>
        <w:rPr>
          <w:rFonts w:ascii="Arial" w:cs="Arial" w:eastAsia="Arial" w:hAnsi="Arial"/>
          <w:sz w:val="18"/>
          <w:szCs w:val="18"/>
          <w:color w:val="auto"/>
        </w:rPr>
        <w:t>”) upon terms and conditions acceptable to Landlord (or Landlord’s Affiliate) and Tenant, each in their respective sole discretion (“</w:t>
      </w:r>
      <w:r>
        <w:rPr>
          <w:rFonts w:ascii="Arial" w:cs="Arial" w:eastAsia="Arial" w:hAnsi="Arial"/>
          <w:sz w:val="18"/>
          <w:szCs w:val="18"/>
          <w:b w:val="1"/>
          <w:bCs w:val="1"/>
          <w:color w:val="auto"/>
        </w:rPr>
        <w:t>New Lease</w:t>
      </w:r>
      <w:r>
        <w:rPr>
          <w:rFonts w:ascii="Arial" w:cs="Arial" w:eastAsia="Arial" w:hAnsi="Arial"/>
          <w:sz w:val="18"/>
          <w:szCs w:val="18"/>
          <w:color w:val="auto"/>
        </w:rPr>
        <w:t>”), then Tenant shall have the right to terminate this Lease as of the Early Termination Date without the payment of a termination fee, by delivery of written notice to Landlord (“</w:t>
      </w:r>
      <w:r>
        <w:rPr>
          <w:rFonts w:ascii="Arial" w:cs="Arial" w:eastAsia="Arial" w:hAnsi="Arial"/>
          <w:sz w:val="18"/>
          <w:szCs w:val="18"/>
          <w:b w:val="1"/>
          <w:bCs w:val="1"/>
          <w:color w:val="auto"/>
        </w:rPr>
        <w:t>Termination Notice</w:t>
      </w:r>
      <w:r>
        <w:rPr>
          <w:rFonts w:ascii="Arial" w:cs="Arial" w:eastAsia="Arial" w:hAnsi="Arial"/>
          <w:sz w:val="18"/>
          <w:szCs w:val="18"/>
          <w:color w:val="auto"/>
        </w:rPr>
        <w:t>”) concurrently with or prior to the date that Landlord (or Landlord’s Affiliate) and Tenant enter into a New Lease. If Tenant and Landlord (or Landlord’s Affiliate) enter into a New Lease and Tenant delivers a Termination Notice, as provided above, to Landlord, then this Lease shall terminate on the date that is 10 days after Landlord (or Landlord’s Affiliate) delivers the New Premises to Tenant pursuant to the New Lease (the “</w:t>
      </w:r>
      <w:r>
        <w:rPr>
          <w:rFonts w:ascii="Arial" w:cs="Arial" w:eastAsia="Arial" w:hAnsi="Arial"/>
          <w:sz w:val="18"/>
          <w:szCs w:val="18"/>
          <w:b w:val="1"/>
          <w:bCs w:val="1"/>
          <w:color w:val="auto"/>
        </w:rPr>
        <w:t>Early Termination Date</w:t>
      </w:r>
      <w:r>
        <w:rPr>
          <w:rFonts w:ascii="Arial" w:cs="Arial" w:eastAsia="Arial" w:hAnsi="Arial"/>
          <w:sz w:val="18"/>
          <w:szCs w:val="18"/>
          <w:color w:val="auto"/>
        </w:rPr>
        <w:t>”). Tenant acknowledges that nothing contained herein shall obligate Landlord or Landlord’s Affiliate in any way to enter into a New Lease nor shall anything contained herein be construed to grant to Tenant any option or right to lease any space at another property owned by Landlord or any Landlord’s Affiliate.</w:t>
      </w:r>
    </w:p>
    <w:p>
      <w:pPr>
        <w:spacing w:after="0" w:line="185" w:lineRule="exact"/>
        <w:rPr>
          <w:rFonts w:ascii="Arial" w:cs="Arial" w:eastAsia="Arial" w:hAnsi="Arial"/>
          <w:sz w:val="18"/>
          <w:szCs w:val="18"/>
          <w:color w:val="auto"/>
        </w:rPr>
      </w:pPr>
    </w:p>
    <w:p>
      <w:pPr>
        <w:ind w:left="2420" w:hanging="1548"/>
        <w:spacing w:after="0"/>
        <w:tabs>
          <w:tab w:leader="none" w:pos="24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31</w:t>
      </w:r>
    </w:p>
    <w:p>
      <w:pPr>
        <w:spacing w:after="0" w:line="200" w:lineRule="exact"/>
        <w:rPr>
          <w:sz w:val="20"/>
          <w:szCs w:val="20"/>
          <w:color w:val="auto"/>
        </w:rPr>
      </w:pPr>
    </w:p>
    <w:p>
      <w:pPr>
        <w:spacing w:after="0" w:line="227" w:lineRule="exact"/>
        <w:rPr>
          <w:sz w:val="20"/>
          <w:szCs w:val="20"/>
          <w:color w:val="auto"/>
        </w:rPr>
      </w:pPr>
    </w:p>
    <w:p>
      <w:pPr>
        <w:jc w:val="both"/>
        <w:ind w:left="-872" w:firstLine="872"/>
        <w:spacing w:after="0" w:line="247"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3" w:lineRule="exact"/>
        <w:rPr>
          <w:rFonts w:ascii="Arial" w:cs="Arial" w:eastAsia="Arial" w:hAnsi="Arial"/>
          <w:sz w:val="18"/>
          <w:szCs w:val="18"/>
          <w:color w:val="auto"/>
        </w:rPr>
      </w:pPr>
    </w:p>
    <w:p>
      <w:pPr>
        <w:ind w:left="-872" w:firstLine="872"/>
        <w:spacing w:after="0" w:line="271"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person or entity, each shall be jointly and severally liable for the obligations of Tenant.</w:t>
      </w:r>
    </w:p>
    <w:p>
      <w:pPr>
        <w:spacing w:after="0" w:line="153" w:lineRule="exact"/>
        <w:rPr>
          <w:rFonts w:ascii="Arial" w:cs="Arial" w:eastAsia="Arial" w:hAnsi="Arial"/>
          <w:sz w:val="18"/>
          <w:szCs w:val="18"/>
          <w:color w:val="auto"/>
        </w:rPr>
      </w:pPr>
    </w:p>
    <w:p>
      <w:pPr>
        <w:jc w:val="both"/>
        <w:ind w:left="-872" w:firstLine="872"/>
        <w:spacing w:after="0" w:line="239" w:lineRule="auto"/>
        <w:tabs>
          <w:tab w:leader="none" w:pos="149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Upon Landlord’s request, Tenant shall furnish Landlord with true and complete copies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(i) Tenant’s most recent audited annual financial statements within 90 days of the end of each of Tenant’s fiscal years during the Term, (ii) Tenant’s most recent unaudited quarterly financial statements within 45 days of the end of each of Tenant’s first three fiscal quarters of each of Tenant’s fiscal years during the Term, and (iii) any other financial information or summaries that Tenant typically provides to its lenders. Landlord shall treat all information which Tenant provides to Landlord pursuant to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as confidential information belonging to Tenant and it shall not be disclosed to any third parties other than Landlord’s auditors, attorneys, consultants, prospective lenders, affiliates, prospective purchasers and investors and other third parties as reasonably required in the ordinary course of Landlord’s operations (so long as such parties have agreed to maintain the confidentiality of such information). So long as Tenant is a “public company” and its financial information is publicly available, then the foregoing delivery requirements of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shall not apply.</w:t>
      </w:r>
    </w:p>
    <w:p>
      <w:pPr>
        <w:spacing w:after="0" w:line="183" w:lineRule="exact"/>
        <w:rPr>
          <w:rFonts w:ascii="Arial" w:cs="Arial" w:eastAsia="Arial" w:hAnsi="Arial"/>
          <w:sz w:val="18"/>
          <w:szCs w:val="18"/>
          <w:color w:val="auto"/>
        </w:rPr>
      </w:pPr>
    </w:p>
    <w:p>
      <w:pPr>
        <w:ind w:left="-872" w:firstLine="872"/>
        <w:spacing w:after="0" w:line="271"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public record. Landlord may prepare and file, and upon request by Landlord Tenant will execute, a memorandum of lease.</w:t>
      </w:r>
    </w:p>
    <w:p>
      <w:pPr>
        <w:spacing w:after="0" w:line="153" w:lineRule="exact"/>
        <w:rPr>
          <w:rFonts w:ascii="Arial" w:cs="Arial" w:eastAsia="Arial" w:hAnsi="Arial"/>
          <w:sz w:val="18"/>
          <w:szCs w:val="18"/>
          <w:color w:val="auto"/>
        </w:rPr>
      </w:pPr>
    </w:p>
    <w:p>
      <w:pPr>
        <w:jc w:val="both"/>
        <w:ind w:left="-872" w:firstLine="872"/>
        <w:spacing w:after="0" w:line="244"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drafting 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76" w:lineRule="exact"/>
        <w:rPr>
          <w:rFonts w:ascii="Arial" w:cs="Arial" w:eastAsia="Arial" w:hAnsi="Arial"/>
          <w:sz w:val="18"/>
          <w:szCs w:val="18"/>
          <w:color w:val="auto"/>
        </w:rPr>
      </w:pPr>
    </w:p>
    <w:p>
      <w:pPr>
        <w:jc w:val="both"/>
        <w:ind w:left="-872" w:firstLine="872"/>
        <w:spacing w:after="0" w:line="253" w:lineRule="auto"/>
        <w:tabs>
          <w:tab w:leader="none" w:pos="145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w:t>
      </w:r>
      <w:r>
        <w:rPr>
          <w:rFonts w:ascii="Arial" w:cs="Arial" w:eastAsia="Arial" w:hAnsi="Arial"/>
          <w:sz w:val="18"/>
          <w:szCs w:val="18"/>
          <w:b w:val="1"/>
          <w:bCs w:val="1"/>
          <w:color w:val="auto"/>
        </w:rPr>
        <w:t xml:space="preserve"> </w:t>
      </w:r>
      <w:r>
        <w:rPr>
          <w:rFonts w:ascii="Arial" w:cs="Arial" w:eastAsia="Arial" w:hAnsi="Arial"/>
          <w:sz w:val="18"/>
          <w:szCs w:val="18"/>
          <w:color w:val="auto"/>
        </w:rPr>
        <w:t>or effect, shall not constitute an option for the leasing of the Premises, nor confer any right or impose any obligations upon either party until execution of this Lease by both parties.</w:t>
      </w:r>
    </w:p>
    <w:p>
      <w:pPr>
        <w:spacing w:after="0" w:line="168" w:lineRule="exact"/>
        <w:rPr>
          <w:rFonts w:ascii="Arial" w:cs="Arial" w:eastAsia="Arial" w:hAnsi="Arial"/>
          <w:sz w:val="18"/>
          <w:szCs w:val="18"/>
          <w:color w:val="auto"/>
        </w:rPr>
      </w:pPr>
    </w:p>
    <w:p>
      <w:pPr>
        <w:jc w:val="both"/>
        <w:ind w:left="-872" w:firstLine="872"/>
        <w:spacing w:after="0"/>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0" w:lineRule="exact"/>
        <w:rPr>
          <w:rFonts w:ascii="Arial" w:cs="Arial" w:eastAsia="Arial" w:hAnsi="Arial"/>
          <w:sz w:val="18"/>
          <w:szCs w:val="18"/>
          <w:color w:val="auto"/>
        </w:rPr>
      </w:pPr>
    </w:p>
    <w:p>
      <w:pPr>
        <w:ind w:left="-872" w:firstLine="872"/>
        <w:spacing w:after="0" w:line="271" w:lineRule="auto"/>
        <w:tabs>
          <w:tab w:leader="none" w:pos="150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in which the Premises are located, excluding any principles of conflicts of laws.</w:t>
      </w:r>
    </w:p>
    <w:p>
      <w:pPr>
        <w:spacing w:after="0" w:line="153" w:lineRule="exact"/>
        <w:rPr>
          <w:rFonts w:ascii="Arial" w:cs="Arial" w:eastAsia="Arial" w:hAnsi="Arial"/>
          <w:sz w:val="18"/>
          <w:szCs w:val="18"/>
          <w:color w:val="auto"/>
        </w:rPr>
      </w:pPr>
    </w:p>
    <w:p>
      <w:pPr>
        <w:ind w:left="1448" w:hanging="1448"/>
        <w:spacing w:after="0"/>
        <w:tabs>
          <w:tab w:leader="none" w:pos="1448"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341630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22" w:name="page123"/>
    <w:bookmarkEnd w:id="122"/>
    <w:p>
      <w:pPr>
        <w:ind w:left="8"/>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32</w:t>
      </w:r>
    </w:p>
    <w:p>
      <w:pPr>
        <w:spacing w:after="0" w:line="211" w:lineRule="exact"/>
        <w:rPr>
          <w:sz w:val="20"/>
          <w:szCs w:val="20"/>
          <w:color w:val="auto"/>
        </w:rPr>
      </w:pPr>
    </w:p>
    <w:p>
      <w:pPr>
        <w:jc w:val="both"/>
        <w:ind w:left="-872" w:firstLine="872"/>
        <w:spacing w:after="0"/>
        <w:tabs>
          <w:tab w:leader="none" w:pos="144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4" w:lineRule="exact"/>
        <w:rPr>
          <w:rFonts w:ascii="Arial" w:cs="Arial" w:eastAsia="Arial" w:hAnsi="Arial"/>
          <w:sz w:val="18"/>
          <w:szCs w:val="18"/>
          <w:color w:val="auto"/>
        </w:rPr>
      </w:pPr>
    </w:p>
    <w:p>
      <w:pPr>
        <w:jc w:val="both"/>
        <w:ind w:left="-872" w:firstLine="872"/>
        <w:spacing w:after="0" w:line="253" w:lineRule="auto"/>
        <w:tabs>
          <w:tab w:leader="none" w:pos="149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made a part hereof. If there is any conflict between such exhibits or addenda and the terms of this Lease, such exhibits or addenda shall control.</w:t>
      </w:r>
    </w:p>
    <w:p>
      <w:pPr>
        <w:spacing w:after="0" w:line="168" w:lineRule="exact"/>
        <w:rPr>
          <w:rFonts w:ascii="Arial" w:cs="Arial" w:eastAsia="Arial" w:hAnsi="Arial"/>
          <w:sz w:val="18"/>
          <w:szCs w:val="18"/>
          <w:color w:val="auto"/>
        </w:rPr>
      </w:pPr>
    </w:p>
    <w:p>
      <w:pPr>
        <w:jc w:val="both"/>
        <w:ind w:left="-872" w:firstLine="872"/>
        <w:spacing w:after="0" w:line="244" w:lineRule="auto"/>
        <w:tabs>
          <w:tab w:leader="none" w:pos="144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Landlord 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6" w:lineRule="exact"/>
        <w:rPr>
          <w:rFonts w:ascii="Arial" w:cs="Arial" w:eastAsia="Arial" w:hAnsi="Arial"/>
          <w:sz w:val="18"/>
          <w:szCs w:val="18"/>
          <w:color w:val="auto"/>
        </w:rPr>
      </w:pPr>
    </w:p>
    <w:p>
      <w:pPr>
        <w:jc w:val="both"/>
        <w:ind w:left="-872" w:firstLine="872"/>
        <w:spacing w:after="0" w:line="244" w:lineRule="auto"/>
        <w:tabs>
          <w:tab w:leader="none" w:pos="155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76" w:lineRule="exact"/>
        <w:rPr>
          <w:rFonts w:ascii="Arial" w:cs="Arial" w:eastAsia="Arial" w:hAnsi="Arial"/>
          <w:sz w:val="18"/>
          <w:szCs w:val="18"/>
          <w:color w:val="auto"/>
        </w:rPr>
      </w:pPr>
    </w:p>
    <w:p>
      <w:pPr>
        <w:jc w:val="both"/>
        <w:ind w:left="-872" w:firstLine="872"/>
        <w:spacing w:after="0" w:line="242" w:lineRule="auto"/>
        <w:tabs>
          <w:tab w:leader="none" w:pos="15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and 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78" w:lineRule="exact"/>
        <w:rPr>
          <w:rFonts w:ascii="Arial" w:cs="Arial" w:eastAsia="Arial" w:hAnsi="Arial"/>
          <w:sz w:val="18"/>
          <w:szCs w:val="18"/>
          <w:color w:val="auto"/>
        </w:rPr>
      </w:pPr>
    </w:p>
    <w:p>
      <w:pPr>
        <w:jc w:val="both"/>
        <w:ind w:left="-872" w:firstLine="872"/>
        <w:spacing w:after="0" w:line="239" w:lineRule="auto"/>
        <w:tabs>
          <w:tab w:leader="none" w:pos="15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EV Charging Stations</w:t>
      </w:r>
      <w:r>
        <w:rPr>
          <w:rFonts w:ascii="Arial" w:cs="Arial" w:eastAsia="Arial" w:hAnsi="Arial"/>
          <w:sz w:val="18"/>
          <w:szCs w:val="18"/>
          <w:color w:val="auto"/>
        </w:rPr>
        <w:t>. Landlord shall not unreasonably withhold its consent to Tenant’s written request to</w:t>
      </w:r>
      <w:r>
        <w:rPr>
          <w:rFonts w:ascii="Arial" w:cs="Arial" w:eastAsia="Arial" w:hAnsi="Arial"/>
          <w:sz w:val="18"/>
          <w:szCs w:val="18"/>
          <w:b w:val="1"/>
          <w:bCs w:val="1"/>
          <w:color w:val="auto"/>
        </w:rPr>
        <w:t xml:space="preserve"> </w:t>
      </w:r>
      <w:r>
        <w:rPr>
          <w:rFonts w:ascii="Arial" w:cs="Arial" w:eastAsia="Arial" w:hAnsi="Arial"/>
          <w:sz w:val="18"/>
          <w:szCs w:val="18"/>
          <w:color w:val="auto"/>
        </w:rPr>
        <w:t>install 1 or more electric vehicle car charging stations (“</w:t>
      </w:r>
      <w:r>
        <w:rPr>
          <w:rFonts w:ascii="Arial" w:cs="Arial" w:eastAsia="Arial" w:hAnsi="Arial"/>
          <w:sz w:val="18"/>
          <w:szCs w:val="18"/>
          <w:b w:val="1"/>
          <w:bCs w:val="1"/>
          <w:color w:val="auto"/>
        </w:rPr>
        <w:t>EV Stations</w:t>
      </w:r>
      <w:r>
        <w:rPr>
          <w:rFonts w:ascii="Arial" w:cs="Arial" w:eastAsia="Arial" w:hAnsi="Arial"/>
          <w:sz w:val="18"/>
          <w:szCs w:val="18"/>
          <w:color w:val="auto"/>
        </w:rPr>
        <w:t xml:space="preserve">”) in the parking area serving the Project; provided, however, that Tenant complies with all reasonable requirements, standards, rules and regulations which may be imposed by Landlord, at the time Landlord’s consent is granted, in connection with Tenant’s installation, maintenance, repair and operation of such EV Stations, which may include, without limitation, the charge to Tenant of a reasonable monthly rental amount for the parking spaces used by Tenant for such EV Stations, Landlord’s designation of the location of Tenant’s EV Stations, and Tenant’s payment of all costs whether incurred by Landlord or Tenant in connection with the installation, maintenance, repair and operation of each Tenant’s EV Station(s). Nothing contained in this paragraph is intended to increase the number of parking spaces which Tenant is otherwise entitled to use at the Project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Lease nor impose any additional obligations on Landlord with respect to Tenant’s parking rights at the Project.</w:t>
      </w:r>
    </w:p>
    <w:p>
      <w:pPr>
        <w:spacing w:after="0" w:line="183" w:lineRule="exact"/>
        <w:rPr>
          <w:rFonts w:ascii="Arial" w:cs="Arial" w:eastAsia="Arial" w:hAnsi="Arial"/>
          <w:sz w:val="18"/>
          <w:szCs w:val="18"/>
          <w:color w:val="auto"/>
        </w:rPr>
      </w:pPr>
    </w:p>
    <w:p>
      <w:pPr>
        <w:jc w:val="both"/>
        <w:ind w:left="-872" w:firstLine="872"/>
        <w:spacing w:after="0" w:line="244" w:lineRule="auto"/>
        <w:tabs>
          <w:tab w:leader="none" w:pos="15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California Accessibility Disclosure</w:t>
      </w:r>
      <w:r>
        <w:rPr>
          <w:rFonts w:ascii="Arial" w:cs="Arial" w:eastAsia="Arial" w:hAnsi="Arial"/>
          <w:sz w:val="18"/>
          <w:szCs w:val="18"/>
          <w:color w:val="auto"/>
        </w:rPr>
        <w:t>. For purposes of Section 1938(a) of the California Civil Code,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discloses to Tenant, 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319405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23" w:name="page124"/>
    <w:bookmarkEnd w:id="123"/>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33</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8"/>
          <w:szCs w:val="18"/>
          <w:b w:val="1"/>
          <w:bCs w:val="1"/>
          <w:color w:val="auto"/>
        </w:rPr>
        <w:t>CASp Reports</w:t>
      </w:r>
      <w:r>
        <w:rPr>
          <w:rFonts w:ascii="Arial" w:cs="Arial" w:eastAsia="Arial" w:hAnsi="Arial"/>
          <w:sz w:val="18"/>
          <w:szCs w:val="18"/>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190" w:lineRule="exact"/>
        <w:rPr>
          <w:sz w:val="20"/>
          <w:szCs w:val="20"/>
          <w:color w:val="auto"/>
        </w:rPr>
      </w:pPr>
    </w:p>
    <w:p>
      <w:pPr>
        <w:jc w:val="both"/>
        <w:ind w:firstLine="872"/>
        <w:spacing w:after="0" w:line="238" w:lineRule="auto"/>
        <w:tabs>
          <w:tab w:leader="none" w:pos="2379"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Shuttle Services</w:t>
      </w:r>
      <w:r>
        <w:rPr>
          <w:rFonts w:ascii="Arial" w:cs="Arial" w:eastAsia="Arial" w:hAnsi="Arial"/>
          <w:sz w:val="18"/>
          <w:szCs w:val="18"/>
          <w:color w:val="auto"/>
        </w:rPr>
        <w:t>. Landlord and affiliates of Landlord plan to provide a campus shuttle service for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buildings in the vicinity of the Project that are owned by affiliates of Landlord (the “</w:t>
      </w:r>
      <w:r>
        <w:rPr>
          <w:rFonts w:ascii="Arial" w:cs="Arial" w:eastAsia="Arial" w:hAnsi="Arial"/>
          <w:sz w:val="18"/>
          <w:szCs w:val="18"/>
          <w:b w:val="1"/>
          <w:bCs w:val="1"/>
          <w:color w:val="auto"/>
        </w:rPr>
        <w:t>Shuttle 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Landlord nor any affiliate of Landlord shall be obligated to provide the Shuttle Service (or, once the Shuttle Service has commenced, to continue providing the Shuttle Service for any specific period of time) or to cause the Shuttle Service to follow any specific route, make any specific stops, or adhere to any specific schedule or hours of operation. If Landlord and affiliates of Landlord actually commence operation of the Shuttle Service, (i) Landlord shall give Tenant written notice of the date such operation will commence (“</w:t>
      </w:r>
      <w:r>
        <w:rPr>
          <w:rFonts w:ascii="Arial" w:cs="Arial" w:eastAsia="Arial" w:hAnsi="Arial"/>
          <w:sz w:val="18"/>
          <w:szCs w:val="18"/>
          <w:b w:val="1"/>
          <w:bCs w:val="1"/>
          <w:color w:val="auto"/>
        </w:rPr>
        <w:t>Shuttle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the planned route, stops, schedule, and hours of operation, (ii) Landlord shall permit Tenant’s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employed at the Project to use the Shuttle Service, and (iii) regardless of whether Tenant’s employees use the Shuttle Services, commencing on later to occur of (x) the Shuttle Services Commencement Date, or the Rent Commencement Date, through the earlier of the expiration of the Term or the date that Landlord permanently ceases to provide Shuttle Service, Operating Expenses shall include the cost of provision the Shuttle Service (the “</w:t>
      </w:r>
      <w:r>
        <w:rPr>
          <w:rFonts w:ascii="Arial" w:cs="Arial" w:eastAsia="Arial" w:hAnsi="Arial"/>
          <w:sz w:val="18"/>
          <w:szCs w:val="18"/>
          <w:b w:val="1"/>
          <w:bCs w:val="1"/>
          <w:color w:val="auto"/>
        </w:rPr>
        <w:t>Shuttle Service Costs</w:t>
      </w:r>
      <w:r>
        <w:rPr>
          <w:rFonts w:ascii="Arial" w:cs="Arial" w:eastAsia="Arial" w:hAnsi="Arial"/>
          <w:sz w:val="18"/>
          <w:szCs w:val="18"/>
          <w:color w:val="auto"/>
        </w:rPr>
        <w:t>”). Tenant acknowledges and agrees that Landlord has not made any representations or warranties regarding the commencement or continued availability of the Shuttle Service and that Tenant is not entering into this Lease with an expectation that the Shuttle Service shall commence or continue to be available to Tenant throughout the Term.</w:t>
      </w:r>
    </w:p>
    <w:p>
      <w:pPr>
        <w:spacing w:after="0" w:line="180" w:lineRule="exact"/>
        <w:rPr>
          <w:rFonts w:ascii="Arial" w:cs="Arial" w:eastAsia="Arial" w:hAnsi="Arial"/>
          <w:sz w:val="18"/>
          <w:szCs w:val="18"/>
          <w:color w:val="auto"/>
        </w:rPr>
      </w:pPr>
    </w:p>
    <w:p>
      <w:pPr>
        <w:jc w:val="both"/>
        <w:ind w:firstLine="872"/>
        <w:spacing w:after="0" w:line="247" w:lineRule="auto"/>
        <w:tabs>
          <w:tab w:leader="none" w:pos="2339"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2 or more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34</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effective for all purposes. Electronic signatures shall be deemed original signatures for purposes of this Lease and all matters related thereto, with such electronic signatures having the same legal effect as original signatures.</w:t>
      </w:r>
    </w:p>
    <w:p>
      <w:pPr>
        <w:spacing w:after="0" w:line="175" w:lineRule="exact"/>
        <w:rPr>
          <w:sz w:val="20"/>
          <w:szCs w:val="20"/>
          <w:color w:val="auto"/>
        </w:rPr>
      </w:pPr>
    </w:p>
    <w:p>
      <w:pPr>
        <w:ind w:firstLine="872"/>
        <w:spacing w:after="0" w:line="271" w:lineRule="auto"/>
        <w:tabs>
          <w:tab w:leader="none" w:pos="2369"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Mission Bay Requirements</w:t>
      </w:r>
      <w:r>
        <w:rPr>
          <w:rFonts w:ascii="Arial" w:cs="Arial" w:eastAsia="Arial" w:hAnsi="Arial"/>
          <w:sz w:val="18"/>
          <w:szCs w:val="18"/>
          <w:color w:val="auto"/>
        </w:rPr>
        <w:t>. Tenant acknowledges and agrees that the use and operation of the Project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governed by, among other things, the requirements and disclosures set forth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5" w:name="page126"/>
    <w:bookmarkEnd w:id="125"/>
    <w:p>
      <w:pPr>
        <w:ind w:left="880"/>
        <w:spacing w:after="0"/>
        <w:rPr>
          <w:sz w:val="20"/>
          <w:szCs w:val="20"/>
          <w:color w:val="auto"/>
        </w:rPr>
      </w:pPr>
      <w:r>
        <w:rPr>
          <w:rFonts w:ascii="Arial" w:cs="Arial" w:eastAsia="Arial" w:hAnsi="Arial"/>
          <w:sz w:val="18"/>
          <w:szCs w:val="18"/>
          <w:b w:val="1"/>
          <w:bCs w:val="1"/>
          <w:color w:val="auto"/>
        </w:rPr>
        <w:t xml:space="preserve">455 Mission Bay/Nurix Therapeutics - Page </w:t>
      </w:r>
      <w:r>
        <w:rPr>
          <w:rFonts w:ascii="Arial" w:cs="Arial" w:eastAsia="Arial" w:hAnsi="Arial"/>
          <w:sz w:val="18"/>
          <w:szCs w:val="18"/>
          <w:color w:val="auto"/>
        </w:rPr>
        <w:t>35</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NURIX THERAPEUTICS, INC.</w:t>
      </w:r>
      <w:r>
        <w:rPr>
          <w:rFonts w:ascii="Arial" w:cs="Arial" w:eastAsia="Arial" w:hAnsi="Arial"/>
          <w:sz w:val="18"/>
          <w:szCs w:val="18"/>
          <w:color w:val="auto"/>
        </w:rPr>
        <w:t>,</w:t>
      </w:r>
    </w:p>
    <w:p>
      <w:pPr>
        <w:spacing w:after="0" w:line="18"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Christine Ring</w:t>
      </w:r>
    </w:p>
    <w:p>
      <w:pPr>
        <w:ind w:left="520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ARE- SAN FRANCISCO NO. 19, LLC,</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139"/>
          </w:cols>
          <w:pgMar w:left="320" w:top="118" w:right="1440" w:bottom="1440" w:gutter="0" w:footer="0" w:header="0"/>
        </w:sectPr>
      </w:pPr>
    </w:p>
    <w:p>
      <w:pPr>
        <w:spacing w:after="0" w:line="10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99"/>
        <w:spacing w:after="0"/>
        <w:rPr>
          <w:sz w:val="20"/>
          <w:szCs w:val="20"/>
          <w:color w:val="auto"/>
        </w:rPr>
      </w:pPr>
      <w:r>
        <w:rPr>
          <w:rFonts w:ascii="Arial" w:cs="Arial" w:eastAsia="Arial" w:hAnsi="Arial"/>
          <w:sz w:val="18"/>
          <w:szCs w:val="18"/>
          <w:color w:val="auto"/>
        </w:rPr>
        <w:t>ALEXANDRIA REAL ESTATE EQUITIES, L.P., a Delaware limited partnership, managing member</w:t>
      </w:r>
    </w:p>
    <w:p>
      <w:pPr>
        <w:spacing w:after="0" w:line="90" w:lineRule="exact"/>
        <w:rPr>
          <w:sz w:val="20"/>
          <w:szCs w:val="20"/>
          <w:color w:val="auto"/>
        </w:rPr>
      </w:pPr>
    </w:p>
    <w:p>
      <w:pPr>
        <w:sectPr>
          <w:pgSz w:w="11900" w:h="16838" w:orient="portrait"/>
          <w:cols w:equalWidth="0" w:num="2">
            <w:col w:w="5440" w:space="580"/>
            <w:col w:w="4119"/>
          </w:cols>
          <w:pgMar w:left="320" w:top="118" w:right="1440" w:bottom="1440" w:gutter="0" w:footer="0" w:header="0"/>
          <w:type w:val="continuous"/>
        </w:sectPr>
      </w:pP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line="234" w:lineRule="auto"/>
        <w:rPr>
          <w:sz w:val="20"/>
          <w:szCs w:val="20"/>
          <w:color w:val="auto"/>
        </w:rPr>
      </w:pPr>
      <w:r>
        <w:rPr>
          <w:rFonts w:ascii="Arial" w:cs="Arial" w:eastAsia="Arial" w:hAnsi="Arial"/>
          <w:sz w:val="18"/>
          <w:szCs w:val="18"/>
          <w:color w:val="auto"/>
        </w:rPr>
        <w:t>a Maryland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6320" w:space="580"/>
            <w:col w:w="3239"/>
          </w:cols>
          <w:pgMar w:left="320" w:top="118"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Kristen Childs</w:t>
      </w:r>
      <w:r>
        <w:rPr>
          <w:rFonts w:ascii="Arial" w:cs="Arial" w:eastAsia="Arial" w:hAnsi="Arial"/>
          <w:sz w:val="17"/>
          <w:szCs w:val="17"/>
          <w:color w:val="auto"/>
        </w:rPr>
        <w:t>_______________</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SVP Real Estate Legal Affairs</w:t>
      </w:r>
      <w:r>
        <w:rPr>
          <w:rFonts w:ascii="Arial" w:cs="Arial" w:eastAsia="Arial" w:hAnsi="Arial"/>
          <w:sz w:val="18"/>
          <w:szCs w:val="18"/>
          <w:color w:val="auto"/>
        </w:rPr>
        <w:t>__</w:t>
      </w:r>
    </w:p>
    <w:p>
      <w:pPr>
        <w:sectPr>
          <w:pgSz w:w="11900" w:h="16838" w:orient="portrait"/>
          <w:cols w:equalWidth="0" w:num="1">
            <w:col w:w="10139"/>
          </w:cols>
          <w:pgMar w:left="320" w:top="118" w:right="1440"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tab/>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p>
      <w:pPr>
        <w:sectPr>
          <w:pgSz w:w="11900" w:h="16838" w:orient="portrait"/>
          <w:cols w:equalWidth="0" w:num="1">
            <w:col w:w="11240"/>
          </w:cols>
          <w:pgMar w:left="320" w:top="1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tab/>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p>
      <w:pPr>
        <w:sectPr>
          <w:pgSz w:w="11900" w:h="16838" w:orient="portrait"/>
          <w:cols w:equalWidth="0" w:num="1">
            <w:col w:w="11240"/>
          </w:cols>
          <w:pgMar w:left="320" w:top="10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officers of Nurix Therapeutics, Inc. (the Company) certifies, pursuant to 18 U.S.C. § 1350, as adopted pursuant to §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440" w:right="20" w:hanging="432"/>
        <w:spacing w:after="0" w:line="308" w:lineRule="auto"/>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August 31, 2021 (the Quarterly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440" w:right="20" w:hanging="432"/>
        <w:spacing w:after="0" w:line="277"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lowerRoman"/>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lowerRoman"/>
      <w:start w:val="2"/>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04"/>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lvl w:ilvl="1">
      <w:lvlJc w:val="left"/>
      <w:lvlText w:val="%2."/>
      <w:numFmt w:val="decimal"/>
      <w:start w:val="1"/>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3"/>
    </w:lvl>
  </w:abstractNum>
  <w:abstractNum w:abstractNumId="51">
    <w:nsid w:val="7BD3EE7B"/>
    <w:multiLevelType w:val="hybridMultilevel"/>
    <w:lvl w:ilvl="0">
      <w:lvlJc w:val="left"/>
      <w:lvlText w:val="%1."/>
      <w:numFmt w:val="decimal"/>
      <w:start w:val="3"/>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decimal"/>
      <w:start w:val="4"/>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lowerLetter"/>
      <w:start w:val="2"/>
    </w:lvl>
  </w:abstractNum>
  <w:abstractNum w:abstractNumId="56">
    <w:nsid w:val="42963E5A"/>
    <w:multiLevelType w:val="hybridMultilevel"/>
    <w:lvl w:ilvl="0">
      <w:lvlJc w:val="left"/>
      <w:lvlText w:val="(%1)"/>
      <w:numFmt w:val="lowerLetter"/>
      <w:start w:val="15"/>
    </w:lvl>
  </w:abstractNum>
  <w:abstractNum w:abstractNumId="57">
    <w:nsid w:val="A0382C5"/>
    <w:multiLevelType w:val="hybridMultilevel"/>
    <w:lvl w:ilvl="0">
      <w:lvlJc w:val="left"/>
      <w:lvlText w:val="%1."/>
      <w:numFmt w:val="decimal"/>
      <w:start w:val="6"/>
    </w:lvl>
  </w:abstractNum>
  <w:abstractNum w:abstractNumId="58">
    <w:nsid w:val="8F2B15E"/>
    <w:multiLevelType w:val="hybridMultilevel"/>
    <w:lvl w:ilvl="0">
      <w:lvlJc w:val="left"/>
      <w:lvlText w:val="%1."/>
      <w:numFmt w:val="decimal"/>
      <w:start w:val="7"/>
    </w:lvl>
  </w:abstractNum>
  <w:abstractNum w:abstractNumId="59">
    <w:nsid w:val="1A32234B"/>
    <w:multiLevelType w:val="hybridMultilevel"/>
    <w:lvl w:ilvl="0">
      <w:lvlJc w:val="left"/>
      <w:lvlText w:val="%1."/>
      <w:numFmt w:val="decimal"/>
      <w:start w:val="8"/>
    </w:lvl>
  </w:abstractNum>
  <w:abstractNum w:abstractNumId="60">
    <w:nsid w:val="3B0FD379"/>
    <w:multiLevelType w:val="hybridMultilevel"/>
    <w:lvl w:ilvl="0">
      <w:lvlJc w:val="left"/>
      <w:lvlText w:val="%1."/>
      <w:numFmt w:val="decimal"/>
      <w:start w:val="10"/>
    </w:lvl>
  </w:abstractNum>
  <w:abstractNum w:abstractNumId="61">
    <w:nsid w:val="68EB2F63"/>
    <w:multiLevelType w:val="hybridMultilevel"/>
    <w:lvl w:ilvl="0">
      <w:lvlJc w:val="left"/>
      <w:lvlText w:val="%1."/>
      <w:numFmt w:val="decimal"/>
      <w:start w:val="11"/>
    </w:lvl>
  </w:abstractNum>
  <w:abstractNum w:abstractNumId="62">
    <w:nsid w:val="4962813B"/>
    <w:multiLevelType w:val="hybridMultilevel"/>
    <w:lvl w:ilvl="0">
      <w:lvlJc w:val="left"/>
      <w:lvlText w:val="%1."/>
      <w:numFmt w:val="decimal"/>
      <w:start w:val="12"/>
    </w:lvl>
  </w:abstractNum>
  <w:abstractNum w:abstractNumId="63">
    <w:nsid w:val="60B6DF70"/>
    <w:multiLevelType w:val="hybridMultilevel"/>
    <w:lvl w:ilvl="0">
      <w:lvlJc w:val="left"/>
      <w:lvlText w:val="(%1)"/>
      <w:numFmt w:val="lowerLetter"/>
      <w:start w:val="26"/>
    </w:lvl>
  </w:abstractNum>
  <w:abstractNum w:abstractNumId="64">
    <w:nsid w:val="6A5EE64"/>
    <w:multiLevelType w:val="hybridMultilevel"/>
    <w:lvl w:ilvl="0">
      <w:lvlJc w:val="left"/>
      <w:lvlText w:val="%1."/>
      <w:numFmt w:val="decimal"/>
      <w:start w:val="13"/>
    </w:lvl>
  </w:abstractNum>
  <w:abstractNum w:abstractNumId="65">
    <w:nsid w:val="14330624"/>
    <w:multiLevelType w:val="hybridMultilevel"/>
    <w:lvl w:ilvl="0">
      <w:lvlJc w:val="left"/>
      <w:lvlText w:val="%1."/>
      <w:numFmt w:val="decimal"/>
      <w:start w:val="14"/>
    </w:lvl>
  </w:abstractNum>
  <w:abstractNum w:abstractNumId="66">
    <w:nsid w:val="7FFFCA11"/>
    <w:multiLevelType w:val="hybridMultilevel"/>
    <w:lvl w:ilvl="0">
      <w:lvlJc w:val="left"/>
      <w:lvlText w:val="%1."/>
      <w:numFmt w:val="decimal"/>
      <w:start w:val="18"/>
    </w:lvl>
  </w:abstractNum>
  <w:abstractNum w:abstractNumId="67">
    <w:nsid w:val="1A27709E"/>
    <w:multiLevelType w:val="hybridMultilevel"/>
    <w:lvl w:ilvl="0">
      <w:lvlJc w:val="left"/>
      <w:lvlText w:val="%1."/>
      <w:numFmt w:val="decimal"/>
      <w:start w:val="19"/>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7"/>
    </w:lvl>
  </w:abstractNum>
  <w:abstractNum w:abstractNumId="70">
    <w:nsid w:val="7FB7E0AA"/>
    <w:multiLevelType w:val="hybridMultilevel"/>
    <w:lvl w:ilvl="0">
      <w:lvlJc w:val="left"/>
      <w:lvlText w:val="(%1)"/>
      <w:numFmt w:val="lowerRoman"/>
      <w:start w:val="3"/>
    </w:lvl>
  </w:abstractNum>
  <w:abstractNum w:abstractNumId="71">
    <w:nsid w:val="6EB5BD4"/>
    <w:multiLevelType w:val="hybridMultilevel"/>
    <w:lvl w:ilvl="0">
      <w:lvlJc w:val="left"/>
      <w:lvlText w:val="%1."/>
      <w:numFmt w:val="decimal"/>
      <w:start w:val="2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4"/>
    </w:lvl>
  </w:abstractNum>
  <w:abstractNum w:abstractNumId="74">
    <w:nsid w:val="885E1B"/>
    <w:multiLevelType w:val="hybridMultilevel"/>
    <w:lvl w:ilvl="0">
      <w:lvlJc w:val="left"/>
      <w:lvlText w:val="%1."/>
      <w:numFmt w:val="decimal"/>
      <w:start w:val="22"/>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lowerLetter"/>
      <w:start w:val="3"/>
    </w:lvl>
  </w:abstractNum>
  <w:abstractNum w:abstractNumId="77">
    <w:nsid w:val="1716703B"/>
    <w:multiLevelType w:val="hybridMultilevel"/>
    <w:lvl w:ilvl="0">
      <w:lvlJc w:val="left"/>
      <w:lvlText w:val="(%1)"/>
      <w:numFmt w:val="lowerLetter"/>
      <w:start w:val="4"/>
    </w:lvl>
  </w:abstractNum>
  <w:abstractNum w:abstractNumId="78">
    <w:nsid w:val="14E17E33"/>
    <w:multiLevelType w:val="hybridMultilevel"/>
    <w:lvl w:ilvl="0">
      <w:lvlJc w:val="left"/>
      <w:lvlText w:val="%1."/>
      <w:numFmt w:val="decimal"/>
      <w:start w:val="23"/>
    </w:lvl>
  </w:abstractNum>
  <w:abstractNum w:abstractNumId="79">
    <w:nsid w:val="3222E7CD"/>
    <w:multiLevelType w:val="hybridMultilevel"/>
    <w:lvl w:ilvl="0">
      <w:lvlJc w:val="left"/>
      <w:lvlText w:val="%1."/>
      <w:numFmt w:val="decimal"/>
      <w:start w:val="28"/>
    </w:lvl>
  </w:abstractNum>
  <w:abstractNum w:abstractNumId="80">
    <w:nsid w:val="74DE0EE3"/>
    <w:multiLevelType w:val="hybridMultilevel"/>
    <w:lvl w:ilvl="0">
      <w:lvlJc w:val="left"/>
      <w:lvlText w:val="%1."/>
      <w:numFmt w:val="decimal"/>
      <w:start w:val="29"/>
    </w:lvl>
  </w:abstractNum>
  <w:abstractNum w:abstractNumId="81">
    <w:nsid w:val="68EBC550"/>
    <w:multiLevelType w:val="hybridMultilevel"/>
    <w:lvl w:ilvl="0">
      <w:lvlJc w:val="left"/>
      <w:lvlText w:val="%1"/>
      <w:numFmt w:val="lowerLetter"/>
      <w:start w:val="1"/>
    </w:lvl>
    <w:lvl w:ilvl="1">
      <w:lvlJc w:val="left"/>
      <w:lvlText w:val="(%2)"/>
      <w:numFmt w:val="lowerLetter"/>
      <w:start w:val="1"/>
    </w:lvl>
  </w:abstractNum>
  <w:abstractNum w:abstractNumId="82">
    <w:nsid w:val="2DF6D648"/>
    <w:multiLevelType w:val="hybridMultilevel"/>
    <w:lvl w:ilvl="0">
      <w:lvlJc w:val="left"/>
      <w:lvlText w:val="(%1)"/>
      <w:numFmt w:val="lowerLetter"/>
      <w:start w:val="35"/>
    </w:lvl>
    <w:lvl w:ilvl="1">
      <w:lvlJc w:val="left"/>
      <w:lvlText w:val="(%2)"/>
      <w:numFmt w:val="lowerLetter"/>
      <w:start w:val="2"/>
    </w:lvl>
  </w:abstractNum>
  <w:abstractNum w:abstractNumId="83">
    <w:nsid w:val="46B7D447"/>
    <w:multiLevelType w:val="hybridMultilevel"/>
    <w:lvl w:ilvl="0">
      <w:lvlJc w:val="left"/>
      <w:lvlText w:val="(%1)"/>
      <w:numFmt w:val="lowerLetter"/>
      <w:start w:val="3"/>
    </w:lvl>
  </w:abstractNum>
  <w:abstractNum w:abstractNumId="84">
    <w:nsid w:val="4A2AC315"/>
    <w:multiLevelType w:val="hybridMultilevel"/>
    <w:lvl w:ilvl="0">
      <w:lvlJc w:val="left"/>
      <w:lvlText w:val="(%1)"/>
      <w:numFmt w:val="lowerLetter"/>
      <w:start w:val="6"/>
    </w:lvl>
  </w:abstractNum>
  <w:abstractNum w:abstractNumId="85">
    <w:nsid w:val="39EE015C"/>
    <w:multiLevelType w:val="hybridMultilevel"/>
    <w:lvl w:ilvl="0">
      <w:lvlJc w:val="left"/>
      <w:lvlText w:val="%1."/>
      <w:numFmt w:val="decimal"/>
      <w:start w:val="31"/>
    </w:lvl>
  </w:abstractNum>
  <w:abstractNum w:abstractNumId="86">
    <w:nsid w:val="57FC4FBB"/>
    <w:multiLevelType w:val="hybridMultilevel"/>
    <w:lvl w:ilvl="0">
      <w:lvlJc w:val="left"/>
      <w:lvlText w:val="%1."/>
      <w:numFmt w:val="decimal"/>
      <w:start w:val="32"/>
    </w:lvl>
  </w:abstractNum>
  <w:abstractNum w:abstractNumId="87">
    <w:nsid w:val="CC1016F"/>
    <w:multiLevelType w:val="hybridMultilevel"/>
    <w:lvl w:ilvl="0">
      <w:lvlJc w:val="left"/>
      <w:lvlText w:val="%1."/>
      <w:numFmt w:val="decimal"/>
      <w:start w:val="37"/>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lowerLetter"/>
      <w:start w:val="2"/>
    </w:lvl>
    <w:lvl w:ilvl="1">
      <w:lvlJc w:val="left"/>
      <w:lvlText w:val="(%2)"/>
      <w:numFmt w:val="lowerRoman"/>
      <w:start w:val="1"/>
    </w:lvl>
  </w:abstractNum>
  <w:abstractNum w:abstractNumId="90">
    <w:nsid w:val="26F324BA"/>
    <w:multiLevelType w:val="hybridMultilevel"/>
    <w:lvl w:ilvl="0">
      <w:lvlJc w:val="left"/>
      <w:lvlText w:val="%1."/>
      <w:numFmt w:val="decimal"/>
      <w:start w:val="40"/>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0"/>
    </w:lvl>
  </w:abstractNum>
  <w:abstractNum w:abstractNumId="93">
    <w:nsid w:val="7055A5F5"/>
    <w:multiLevelType w:val="hybridMultilevel"/>
    <w:lvl w:ilvl="0">
      <w:lvlJc w:val="left"/>
      <w:lvlText w:val="(%1)"/>
      <w:numFmt w:val="lowerLetter"/>
      <w:start w:val="17"/>
    </w:lvl>
  </w:abstractNum>
  <w:abstractNum w:abstractNumId="94">
    <w:nsid w:val="5FB8370B"/>
    <w:multiLevelType w:val="hybridMultilevel"/>
    <w:lvl w:ilvl="0">
      <w:lvlJc w:val="left"/>
      <w:lvlText w:val="(%1)"/>
      <w:numFmt w:val="lowerLetter"/>
      <w:start w:val="19"/>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2021-10-14T15:24:13Z</dcterms:created>
  <dcterms:modified xsi:type="dcterms:W3CDTF">2021-10-14T15:24:13Z</dcterms:modified>
</cp:coreProperties>
</file>