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van Houte Hans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NURIX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1600 SIERRA POINT PKWY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Nurix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NRIX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05/05/2026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BRISBANE</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94005</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05/05/2026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13,473</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16.5756</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38,174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05/05/2026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49"/>
              <w:spacing w:after="0"/>
              <w:rPr>
                <w:sz w:val="20"/>
                <w:szCs w:val="20"/>
                <w:color w:val="auto"/>
              </w:rPr>
            </w:pPr>
            <w:r>
              <w:rPr>
                <w:rFonts w:ascii="Times New Roman" w:cs="Times New Roman" w:eastAsia="Times New Roman" w:hAnsi="Times New Roman"/>
                <w:sz w:val="17"/>
                <w:szCs w:val="17"/>
                <w:color w:val="0000FF"/>
              </w:rPr>
              <w:t>582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17.1751</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37,592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previously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lowest price at which shares were sold was $16.11 and the highest price at which shares were sold was $17.10. The Reporting Person undertakes to provide upon request to the staff of the Securities and Exchange Commission, the Issuer or its stockholders, full information regarding the total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lowest price at which shares were sold was $17.11 and the highest price at which shares were sold was $17.22. The Reporting Person undertakes to provide upon request to the staff of the Securities and Exchange Commission, the Issuer or its stockholders, full information regarding the total number of shares sold at each separate price within the range set forth 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Daniel Burbach,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1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Hans van 05/05/2026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Houte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7217" TargetMode="External"/><Relationship Id="rId14"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2026-05-05T18:54:53Z</dcterms:created>
  <dcterms:modified xsi:type="dcterms:W3CDTF">2026-05-05T18:54:53Z</dcterms:modified>
</cp:coreProperties>
</file>