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00" w:right="1620" w:hanging="3792"/>
        <w:spacing w:after="0" w:line="391" w:lineRule="auto"/>
        <w:tabs>
          <w:tab w:leader="none" w:pos="47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August 31, 2022</w:t>
      </w:r>
    </w:p>
    <w:p>
      <w:pPr>
        <w:spacing w:after="0" w:line="28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40"/>
        <w:spacing w:after="0"/>
        <w:tabs>
          <w:tab w:leader="none" w:pos="65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001-39398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NURIX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900" w:type="dxa"/>
            <w:vAlign w:val="bottom"/>
          </w:tcPr>
          <w:p>
            <w:pPr>
              <w:jc w:val="center"/>
              <w:ind w:left="1602"/>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500" w:type="dxa"/>
            <w:vAlign w:val="bottom"/>
          </w:tcPr>
          <w:p>
            <w:pPr>
              <w:jc w:val="right"/>
              <w:ind w:right="2324"/>
              <w:spacing w:after="0"/>
              <w:rPr>
                <w:sz w:val="20"/>
                <w:szCs w:val="20"/>
                <w:color w:val="auto"/>
              </w:rPr>
            </w:pPr>
            <w:r>
              <w:rPr>
                <w:rFonts w:ascii="Times New Roman" w:cs="Times New Roman" w:eastAsia="Times New Roman" w:hAnsi="Times New Roman"/>
                <w:sz w:val="15"/>
                <w:szCs w:val="15"/>
                <w:b w:val="1"/>
                <w:bCs w:val="1"/>
                <w:color w:val="auto"/>
              </w:rPr>
              <w:t>27-0838048</w:t>
            </w:r>
          </w:p>
        </w:tc>
        <w:tc>
          <w:tcPr>
            <w:tcW w:w="0" w:type="dxa"/>
            <w:vAlign w:val="bottom"/>
          </w:tcPr>
          <w:p>
            <w:pPr>
              <w:spacing w:after="0"/>
              <w:rPr>
                <w:sz w:val="1"/>
                <w:szCs w:val="1"/>
                <w:color w:val="auto"/>
              </w:rPr>
            </w:pPr>
          </w:p>
        </w:tc>
      </w:tr>
      <w:tr>
        <w:trPr>
          <w:trHeight w:val="162"/>
        </w:trPr>
        <w:tc>
          <w:tcPr>
            <w:tcW w:w="3900" w:type="dxa"/>
            <w:vAlign w:val="bottom"/>
          </w:tcPr>
          <w:p>
            <w:pPr>
              <w:jc w:val="center"/>
              <w:ind w:left="1602"/>
              <w:spacing w:after="0" w:line="162" w:lineRule="exact"/>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center"/>
              <w:ind w:right="964"/>
              <w:spacing w:after="0" w:line="162" w:lineRule="exact"/>
              <w:rPr>
                <w:sz w:val="20"/>
                <w:szCs w:val="20"/>
                <w:color w:val="auto"/>
              </w:rPr>
            </w:pPr>
            <w:r>
              <w:rPr>
                <w:rFonts w:ascii="Times New Roman" w:cs="Times New Roman" w:eastAsia="Times New Roman" w:hAnsi="Times New Roman"/>
                <w:sz w:val="15"/>
                <w:szCs w:val="15"/>
                <w:b w:val="1"/>
                <w:bCs w:val="1"/>
                <w:color w:val="auto"/>
              </w:rPr>
              <w:t>(I.R.S. Employer</w:t>
            </w:r>
          </w:p>
        </w:tc>
        <w:tc>
          <w:tcPr>
            <w:tcW w:w="0" w:type="dxa"/>
            <w:vAlign w:val="bottom"/>
          </w:tcPr>
          <w:p>
            <w:pPr>
              <w:spacing w:after="0"/>
              <w:rPr>
                <w:sz w:val="1"/>
                <w:szCs w:val="1"/>
                <w:color w:val="auto"/>
              </w:rPr>
            </w:pPr>
          </w:p>
        </w:tc>
      </w:tr>
      <w:tr>
        <w:trPr>
          <w:trHeight w:val="162"/>
        </w:trPr>
        <w:tc>
          <w:tcPr>
            <w:tcW w:w="3900" w:type="dxa"/>
            <w:vAlign w:val="bottom"/>
          </w:tcPr>
          <w:p>
            <w:pPr>
              <w:jc w:val="center"/>
              <w:ind w:left="1602"/>
              <w:spacing w:after="0" w:line="162" w:lineRule="exact"/>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center"/>
              <w:ind w:right="984"/>
              <w:spacing w:after="0" w:line="162" w:lineRule="exact"/>
              <w:rPr>
                <w:sz w:val="20"/>
                <w:szCs w:val="20"/>
                <w:color w:val="auto"/>
              </w:rPr>
            </w:pPr>
            <w:r>
              <w:rPr>
                <w:rFonts w:ascii="Times New Roman" w:cs="Times New Roman" w:eastAsia="Times New Roman" w:hAnsi="Times New Roman"/>
                <w:sz w:val="15"/>
                <w:szCs w:val="15"/>
                <w:b w:val="1"/>
                <w:bCs w:val="1"/>
                <w:color w:val="auto"/>
              </w:rPr>
              <w:t>Identification No.)</w:t>
            </w:r>
          </w:p>
        </w:tc>
        <w:tc>
          <w:tcPr>
            <w:tcW w:w="0" w:type="dxa"/>
            <w:vAlign w:val="bottom"/>
          </w:tcPr>
          <w:p>
            <w:pPr>
              <w:spacing w:after="0"/>
              <w:rPr>
                <w:sz w:val="1"/>
                <w:szCs w:val="1"/>
                <w:color w:val="auto"/>
              </w:rPr>
            </w:pPr>
          </w:p>
        </w:tc>
      </w:tr>
      <w:tr>
        <w:trPr>
          <w:trHeight w:val="162"/>
        </w:trPr>
        <w:tc>
          <w:tcPr>
            <w:tcW w:w="3900" w:type="dxa"/>
            <w:vAlign w:val="bottom"/>
          </w:tcPr>
          <w:p>
            <w:pPr>
              <w:jc w:val="center"/>
              <w:ind w:left="1602"/>
              <w:spacing w:after="0" w:line="162" w:lineRule="exact"/>
              <w:rPr>
                <w:sz w:val="20"/>
                <w:szCs w:val="20"/>
                <w:color w:val="auto"/>
              </w:rPr>
            </w:pPr>
            <w:r>
              <w:rPr>
                <w:rFonts w:ascii="Times New Roman" w:cs="Times New Roman" w:eastAsia="Times New Roman" w:hAnsi="Times New Roman"/>
                <w:sz w:val="15"/>
                <w:szCs w:val="15"/>
                <w:b w:val="1"/>
                <w:bCs w:val="1"/>
                <w:color w:val="auto"/>
              </w:rPr>
              <w:t>1700 Owens Street, Suite 205</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jc w:val="center"/>
              <w:ind w:left="1602"/>
              <w:spacing w:after="0" w:line="162" w:lineRule="exact"/>
              <w:rPr>
                <w:sz w:val="20"/>
                <w:szCs w:val="20"/>
                <w:color w:val="auto"/>
              </w:rPr>
            </w:pPr>
            <w:r>
              <w:rPr>
                <w:rFonts w:ascii="Times New Roman" w:cs="Times New Roman" w:eastAsia="Times New Roman" w:hAnsi="Times New Roman"/>
                <w:sz w:val="15"/>
                <w:szCs w:val="15"/>
                <w:b w:val="1"/>
                <w:bCs w:val="1"/>
                <w:color w:val="auto"/>
              </w:rPr>
              <w:t>San Francisco, CA</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500" w:type="dxa"/>
            <w:vAlign w:val="bottom"/>
          </w:tcPr>
          <w:p>
            <w:pPr>
              <w:jc w:val="right"/>
              <w:ind w:right="2504"/>
              <w:spacing w:after="0" w:line="162" w:lineRule="exact"/>
              <w:rPr>
                <w:sz w:val="20"/>
                <w:szCs w:val="20"/>
                <w:color w:val="auto"/>
              </w:rPr>
            </w:pPr>
            <w:r>
              <w:rPr>
                <w:rFonts w:ascii="Times New Roman" w:cs="Times New Roman" w:eastAsia="Times New Roman" w:hAnsi="Times New Roman"/>
                <w:sz w:val="15"/>
                <w:szCs w:val="15"/>
                <w:b w:val="1"/>
                <w:bCs w:val="1"/>
                <w:color w:val="auto"/>
              </w:rPr>
              <w:t>94158</w:t>
            </w:r>
          </w:p>
        </w:tc>
        <w:tc>
          <w:tcPr>
            <w:tcW w:w="0" w:type="dxa"/>
            <w:vAlign w:val="bottom"/>
          </w:tcPr>
          <w:p>
            <w:pPr>
              <w:spacing w:after="0"/>
              <w:rPr>
                <w:sz w:val="1"/>
                <w:szCs w:val="1"/>
                <w:color w:val="auto"/>
              </w:rPr>
            </w:pPr>
          </w:p>
        </w:tc>
      </w:tr>
      <w:tr>
        <w:trPr>
          <w:trHeight w:val="202"/>
        </w:trPr>
        <w:tc>
          <w:tcPr>
            <w:tcW w:w="6740" w:type="dxa"/>
            <w:vAlign w:val="bottom"/>
            <w:gridSpan w:val="7"/>
          </w:tcPr>
          <w:p>
            <w:pPr>
              <w:jc w:val="center"/>
              <w:ind w:right="1160"/>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tc>
        <w:tc>
          <w:tcPr>
            <w:tcW w:w="4500" w:type="dxa"/>
            <w:vAlign w:val="bottom"/>
          </w:tcPr>
          <w:p>
            <w:pPr>
              <w:jc w:val="center"/>
              <w:ind w:right="964"/>
              <w:spacing w:after="0"/>
              <w:rPr>
                <w:sz w:val="20"/>
                <w:szCs w:val="20"/>
                <w:color w:val="auto"/>
              </w:rPr>
            </w:pPr>
            <w:r>
              <w:rPr>
                <w:rFonts w:ascii="Times New Roman" w:cs="Times New Roman" w:eastAsia="Times New Roman" w:hAnsi="Times New Roman"/>
                <w:sz w:val="15"/>
                <w:szCs w:val="15"/>
                <w:b w:val="1"/>
                <w:bCs w:val="1"/>
                <w:color w:val="auto"/>
              </w:rPr>
              <w:t>(Zip Code)</w:t>
            </w:r>
          </w:p>
        </w:tc>
        <w:tc>
          <w:tcPr>
            <w:tcW w:w="0" w:type="dxa"/>
            <w:vAlign w:val="bottom"/>
          </w:tcPr>
          <w:p>
            <w:pPr>
              <w:spacing w:after="0"/>
              <w:rPr>
                <w:sz w:val="1"/>
                <w:szCs w:val="1"/>
                <w:color w:val="auto"/>
              </w:rPr>
            </w:pPr>
          </w:p>
        </w:tc>
      </w:tr>
      <w:tr>
        <w:trPr>
          <w:trHeight w:val="305"/>
        </w:trPr>
        <w:tc>
          <w:tcPr>
            <w:tcW w:w="11240" w:type="dxa"/>
            <w:vAlign w:val="bottom"/>
            <w:gridSpan w:val="8"/>
          </w:tcPr>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660-5320</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3900" w:type="dxa"/>
            <w:vAlign w:val="bottom"/>
          </w:tcPr>
          <w:p>
            <w:pPr>
              <w:spacing w:after="0"/>
              <w:rPr>
                <w:sz w:val="22"/>
                <w:szCs w:val="22"/>
                <w:color w:val="auto"/>
              </w:rPr>
            </w:pPr>
          </w:p>
        </w:tc>
        <w:tc>
          <w:tcPr>
            <w:tcW w:w="7340" w:type="dxa"/>
            <w:vAlign w:val="bottom"/>
            <w:gridSpan w:val="7"/>
          </w:tcPr>
          <w:p>
            <w:pPr>
              <w:ind w:left="1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211"/>
        </w:trPr>
        <w:tc>
          <w:tcPr>
            <w:tcW w:w="3900" w:type="dxa"/>
            <w:vAlign w:val="bottom"/>
            <w:vMerge w:val="restart"/>
          </w:tcPr>
          <w:p>
            <w:pPr>
              <w:jc w:val="center"/>
              <w:ind w:left="30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500" w:type="dxa"/>
            <w:vAlign w:val="bottom"/>
            <w:vMerge w:val="restart"/>
          </w:tcPr>
          <w:p>
            <w:pPr>
              <w:jc w:val="center"/>
              <w:ind w:right="46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9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900" w:type="dxa"/>
            <w:vAlign w:val="bottom"/>
            <w:tcBorders>
              <w:top w:val="single" w:sz="8" w:color="auto"/>
            </w:tcBorders>
          </w:tcPr>
          <w:p>
            <w:pPr>
              <w:jc w:val="center"/>
              <w:ind w:left="322"/>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25"/>
              <w:spacing w:after="0"/>
              <w:rPr>
                <w:sz w:val="20"/>
                <w:szCs w:val="20"/>
                <w:color w:val="auto"/>
              </w:rPr>
            </w:pPr>
            <w:r>
              <w:rPr>
                <w:rFonts w:ascii="Times New Roman" w:cs="Times New Roman" w:eastAsia="Times New Roman" w:hAnsi="Times New Roman"/>
                <w:sz w:val="16"/>
                <w:szCs w:val="16"/>
                <w:color w:val="auto"/>
              </w:rPr>
              <w:t>NRIX</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500" w:type="dxa"/>
            <w:vAlign w:val="bottom"/>
            <w:tcBorders>
              <w:top w:val="single" w:sz="8" w:color="auto"/>
            </w:tcBorders>
          </w:tcPr>
          <w:p>
            <w:pPr>
              <w:jc w:val="center"/>
              <w:ind w:right="464"/>
              <w:spacing w:after="0"/>
              <w:rPr>
                <w:sz w:val="20"/>
                <w:szCs w:val="20"/>
                <w:color w:val="auto"/>
              </w:rPr>
            </w:pPr>
            <w:r>
              <w:rPr>
                <w:rFonts w:ascii="Times New Roman" w:cs="Times New Roman" w:eastAsia="Times New Roman" w:hAnsi="Times New Roman"/>
                <w:sz w:val="16"/>
                <w:szCs w:val="16"/>
                <w:color w:val="auto"/>
              </w:rPr>
              <w:t>Nasdaq Global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ind w:right="120" w:firstLine="51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right="12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right="300" w:firstLine="5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5" w:lineRule="exact"/>
        <w:rPr>
          <w:sz w:val="24"/>
          <w:szCs w:val="24"/>
          <w:color w:val="auto"/>
        </w:rPr>
      </w:pPr>
    </w:p>
    <w:p>
      <w:pPr>
        <w:ind w:right="20" w:firstLine="51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ind w:left="520" w:right="210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September 30, 2022, the Registrant had 47,147,781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72"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68" w:lineRule="exact"/>
        <w:rPr>
          <w:sz w:val="20"/>
          <w:szCs w:val="20"/>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investigational new drug application (IND) submissions for our drug candidates;</w:t>
      </w:r>
    </w:p>
    <w:p>
      <w:pPr>
        <w:spacing w:after="0" w:line="88" w:lineRule="exact"/>
        <w:rPr>
          <w:rFonts w:ascii="Times New Roman" w:cs="Times New Roman" w:eastAsia="Times New Roman" w:hAnsi="Times New Roman"/>
          <w:sz w:val="18"/>
          <w:szCs w:val="18"/>
          <w:color w:val="auto"/>
        </w:rPr>
      </w:pPr>
    </w:p>
    <w:p>
      <w:pPr>
        <w:ind w:left="740" w:right="300" w:hanging="368"/>
        <w:spacing w:after="0" w:line="239" w:lineRule="exact"/>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conduct of our clinical trial programs for our lead drug candidates NX-2127, NX-1607, NX-5948,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and other drug candidates, including statements regarding the timing of initiation of clinical trials;</w:t>
      </w:r>
    </w:p>
    <w:p>
      <w:pPr>
        <w:spacing w:after="0" w:line="90" w:lineRule="exact"/>
        <w:rPr>
          <w:rFonts w:ascii="Times New Roman" w:cs="Times New Roman" w:eastAsia="Times New Roman" w:hAnsi="Times New Roman"/>
          <w:sz w:val="18"/>
          <w:szCs w:val="18"/>
          <w:color w:val="auto"/>
        </w:rPr>
      </w:pPr>
    </w:p>
    <w:p>
      <w:pPr>
        <w:ind w:left="740" w:right="14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marketing approvals for our lead drug candidates NX-2127, NX-1607, NX-5948, DeTIL-0255 and other drug candidates;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pursue research and development of other drug candidates;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our DELigase platform and our drug candidates;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scientific approach and DELigase platform may potentially address a broad range of diseases;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arrangements with Sanofi S.A. and Gilead Sciences, Inc.;</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drug candidates;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revenue from future sales of our drug candidates;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drug candidates;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drug candidates;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strategy;</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for the manufacturing of our drug candidates;</w:t>
      </w:r>
    </w:p>
    <w:p>
      <w:pPr>
        <w:spacing w:after="0" w:line="117" w:lineRule="exact"/>
        <w:rPr>
          <w:rFonts w:ascii="Times New Roman" w:cs="Times New Roman" w:eastAsia="Times New Roman" w:hAnsi="Times New Roman"/>
          <w:sz w:val="18"/>
          <w:szCs w:val="18"/>
          <w:color w:val="auto"/>
        </w:rPr>
      </w:pPr>
    </w:p>
    <w:p>
      <w:pPr>
        <w:ind w:left="740" w:right="300" w:hanging="368"/>
        <w:spacing w:after="0" w:line="282"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coronavirus (COVID-19) pandemic, including the resurgence of cases relating to the spread of new variants, on our business, clinical trials, financial condition, liquidity and results of operations;</w:t>
      </w:r>
    </w:p>
    <w:p>
      <w:pPr>
        <w:spacing w:after="0" w:line="53"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achievement of milestones and receipt of royalty payments under our collaborations;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additional collaborations with third parties;</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revenues,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and</w:t>
      </w:r>
    </w:p>
    <w:p>
      <w:pPr>
        <w:spacing w:after="0" w:line="117" w:lineRule="exact"/>
        <w:rPr>
          <w:rFonts w:ascii="Times New Roman" w:cs="Times New Roman" w:eastAsia="Times New Roman" w:hAnsi="Times New Roman"/>
          <w:sz w:val="18"/>
          <w:szCs w:val="18"/>
          <w:color w:val="auto"/>
        </w:rPr>
      </w:pPr>
    </w:p>
    <w:p>
      <w:pPr>
        <w:ind w:left="740" w:hanging="36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17"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6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9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7040" w:type="dxa"/>
            <w:vAlign w:val="bottom"/>
            <w:gridSpan w:val="9"/>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w:t>
            </w:r>
          </w:p>
        </w:tc>
        <w:tc>
          <w:tcPr>
            <w:tcW w:w="5800" w:type="dxa"/>
            <w:vAlign w:val="bottom"/>
            <w:gridSpan w:val="7"/>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Loss</w:t>
            </w:r>
          </w:p>
        </w:tc>
        <w:tc>
          <w:tcPr>
            <w:tcW w:w="508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8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5080" w:type="dxa"/>
            <w:vAlign w:val="bottom"/>
            <w:gridSpan w:val="2"/>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100" w:type="dxa"/>
            <w:vAlign w:val="bottom"/>
            <w:gridSpan w:val="3"/>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2"/>
            <w:vMerge w:val="continue"/>
          </w:tcPr>
          <w:p>
            <w:pPr>
              <w:spacing w:after="0"/>
              <w:rPr>
                <w:sz w:val="24"/>
                <w:szCs w:val="24"/>
                <w:color w:val="auto"/>
              </w:rPr>
            </w:pPr>
          </w:p>
        </w:tc>
        <w:tc>
          <w:tcPr>
            <w:tcW w:w="18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7580" w:type="dxa"/>
            <w:vAlign w:val="bottom"/>
            <w:gridSpan w:val="12"/>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17"/>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8140" w:type="dxa"/>
            <w:vAlign w:val="bottom"/>
            <w:gridSpan w:val="14"/>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512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6"/>
          </w:tcPr>
          <w:p>
            <w:pPr>
              <w:spacing w:after="0"/>
              <w:rPr>
                <w:sz w:val="18"/>
                <w:szCs w:val="18"/>
                <w:color w:val="auto"/>
              </w:rPr>
            </w:pPr>
          </w:p>
        </w:tc>
        <w:tc>
          <w:tcPr>
            <w:tcW w:w="5120" w:type="dxa"/>
            <w:vAlign w:val="bottom"/>
            <w:gridSpan w:val="4"/>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4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700" w:type="dxa"/>
            <w:vAlign w:val="bottom"/>
            <w:gridSpan w:val="13"/>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Exhibits</w:t>
            </w:r>
          </w:p>
        </w:tc>
        <w:tc>
          <w:tcPr>
            <w:tcW w:w="8160" w:type="dxa"/>
            <w:vAlign w:val="bottom"/>
            <w:gridSpan w:val="15"/>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318"/>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000"/>
        </w:trPr>
        <w:tc>
          <w:tcPr>
            <w:tcW w:w="1100" w:type="dxa"/>
            <w:vAlign w:val="bottom"/>
            <w:tcBorders>
              <w:top w:val="single" w:sz="8" w:color="0000EE"/>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73"/>
        </w:trPr>
        <w:tc>
          <w:tcPr>
            <w:tcW w:w="69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r>
      <w:tr>
        <w:trPr>
          <w:trHeight w:val="223"/>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47,556</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80,506</w:t>
            </w: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215,214</w:t>
            </w:r>
          </w:p>
        </w:tc>
        <w:tc>
          <w:tcPr>
            <w:tcW w:w="100" w:type="dxa"/>
            <w:vAlign w:val="bottom"/>
          </w:tcPr>
          <w:p>
            <w:pPr>
              <w:spacing w:after="0"/>
              <w:rPr>
                <w:sz w:val="19"/>
                <w:szCs w:val="19"/>
                <w:color w:val="auto"/>
              </w:rPr>
            </w:pPr>
          </w:p>
        </w:tc>
      </w:tr>
      <w:tr>
        <w:trPr>
          <w:trHeight w:val="229"/>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FF0FC"/>
          </w:tcPr>
          <w:p>
            <w:pPr>
              <w:spacing w:after="0"/>
              <w:rPr>
                <w:sz w:val="19"/>
                <w:szCs w:val="19"/>
                <w:color w:val="auto"/>
              </w:rPr>
            </w:pPr>
          </w:p>
        </w:tc>
      </w:tr>
      <w:tr>
        <w:trPr>
          <w:trHeight w:val="229"/>
        </w:trPr>
        <w:tc>
          <w:tcPr>
            <w:tcW w:w="6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tax receivable</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100" w:type="dxa"/>
            <w:vAlign w:val="bottom"/>
            <w:shd w:val="clear" w:color="auto" w:fill="CFF0FC"/>
          </w:tcPr>
          <w:p>
            <w:pPr>
              <w:spacing w:after="0"/>
              <w:rPr>
                <w:sz w:val="19"/>
                <w:szCs w:val="19"/>
                <w:color w:val="auto"/>
              </w:rPr>
            </w:pPr>
          </w:p>
        </w:tc>
      </w:tr>
      <w:tr>
        <w:trPr>
          <w:trHeight w:val="223"/>
        </w:trPr>
        <w:tc>
          <w:tcPr>
            <w:tcW w:w="69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354,871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311,118</w:t>
            </w:r>
          </w:p>
        </w:tc>
        <w:tc>
          <w:tcPr>
            <w:tcW w:w="100" w:type="dxa"/>
            <w:vAlign w:val="bottom"/>
            <w:tcBorders>
              <w:bottom w:val="single" w:sz="8" w:color="CFF0FC"/>
            </w:tcBorders>
          </w:tcPr>
          <w:p>
            <w:pPr>
              <w:spacing w:after="0"/>
              <w:rPr>
                <w:sz w:val="19"/>
                <w:szCs w:val="19"/>
                <w:color w:val="auto"/>
              </w:rPr>
            </w:pPr>
          </w:p>
        </w:tc>
      </w:tr>
      <w:tr>
        <w:trPr>
          <w:trHeight w:val="223"/>
        </w:trPr>
        <w:tc>
          <w:tcPr>
            <w:tcW w:w="6980" w:type="dxa"/>
            <w:vAlign w:val="bottom"/>
            <w:shd w:val="clear" w:color="auto" w:fill="CFF0FC"/>
          </w:tcPr>
          <w:p>
            <w:pPr>
              <w:ind w:left="260"/>
              <w:spacing w:after="0" w:line="207" w:lineRule="exact"/>
              <w:rPr>
                <w:sz w:val="20"/>
                <w:szCs w:val="20"/>
                <w:color w:val="auto"/>
              </w:rPr>
            </w:pPr>
            <w:r>
              <w:rPr>
                <w:rFonts w:ascii="Times New Roman" w:cs="Times New Roman" w:eastAsia="Times New Roman" w:hAnsi="Times New Roman"/>
                <w:sz w:val="18"/>
                <w:szCs w:val="18"/>
                <w:color w:val="auto"/>
              </w:rPr>
              <w:t>Marketable securities,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69,125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137,189</w:t>
            </w:r>
          </w:p>
        </w:tc>
        <w:tc>
          <w:tcPr>
            <w:tcW w:w="100" w:type="dxa"/>
            <w:vAlign w:val="bottom"/>
            <w:shd w:val="clear" w:color="auto" w:fill="CFF0FC"/>
          </w:tcPr>
          <w:p>
            <w:pPr>
              <w:spacing w:after="0"/>
              <w:rPr>
                <w:sz w:val="19"/>
                <w:szCs w:val="19"/>
                <w:color w:val="auto"/>
              </w:rPr>
            </w:pPr>
          </w:p>
        </w:tc>
      </w:tr>
      <w:tr>
        <w:trPr>
          <w:trHeight w:val="229"/>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w:t>
            </w: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100" w:type="dxa"/>
            <w:vAlign w:val="bottom"/>
            <w:shd w:val="clear" w:color="auto" w:fill="CFF0FC"/>
          </w:tcPr>
          <w:p>
            <w:pPr>
              <w:spacing w:after="0"/>
              <w:rPr>
                <w:sz w:val="19"/>
                <w:szCs w:val="19"/>
                <w:color w:val="auto"/>
              </w:rPr>
            </w:pPr>
          </w:p>
        </w:tc>
      </w:tr>
      <w:tr>
        <w:trPr>
          <w:trHeight w:val="229"/>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r>
      <w:tr>
        <w:trPr>
          <w:trHeight w:val="229"/>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shd w:val="clear" w:color="auto" w:fill="CFF0FC"/>
          </w:tcPr>
          <w:p>
            <w:pPr>
              <w:spacing w:after="0"/>
              <w:rPr>
                <w:sz w:val="19"/>
                <w:szCs w:val="19"/>
                <w:color w:val="auto"/>
              </w:rPr>
            </w:pPr>
          </w:p>
        </w:tc>
      </w:tr>
      <w:tr>
        <w:trPr>
          <w:trHeight w:val="263"/>
        </w:trPr>
        <w:tc>
          <w:tcPr>
            <w:tcW w:w="69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459,338</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476,771</w:t>
            </w:r>
          </w:p>
        </w:tc>
        <w:tc>
          <w:tcPr>
            <w:tcW w:w="100" w:type="dxa"/>
            <w:vAlign w:val="bottom"/>
            <w:tcBorders>
              <w:bottom w:val="single" w:sz="8" w:color="CFF0FC"/>
            </w:tcBorders>
          </w:tcPr>
          <w:p>
            <w:pPr>
              <w:spacing w:after="0"/>
              <w:rPr>
                <w:sz w:val="22"/>
                <w:szCs w:val="22"/>
                <w:color w:val="auto"/>
              </w:rPr>
            </w:pP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Arial" w:cs="Arial" w:eastAsia="Arial" w:hAnsi="Arial"/>
                <w:sz w:val="18"/>
                <w:szCs w:val="18"/>
                <w:color w:val="auto"/>
                <w:highlight w:val="black"/>
              </w:rPr>
              <w:t>ʼ</w:t>
            </w:r>
            <w:r>
              <w:rPr>
                <w:rFonts w:ascii="Times New Roman" w:cs="Times New Roman" w:eastAsia="Times New Roman" w:hAnsi="Times New Roman"/>
                <w:sz w:val="18"/>
                <w:szCs w:val="18"/>
                <w:b w:val="1"/>
                <w:bCs w:val="1"/>
                <w:color w:val="auto"/>
              </w:rPr>
              <w:t xml:space="preserve"> equity</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6,053</w:t>
            </w:r>
          </w:p>
        </w:tc>
        <w:tc>
          <w:tcPr>
            <w:tcW w:w="1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00" w:type="dxa"/>
            <w:vAlign w:val="bottom"/>
            <w:shd w:val="clear" w:color="auto" w:fill="CFF0FC"/>
          </w:tcPr>
          <w:p>
            <w:pPr>
              <w:spacing w:after="0"/>
              <w:rPr>
                <w:sz w:val="19"/>
                <w:szCs w:val="19"/>
                <w:color w:val="auto"/>
              </w:rPr>
            </w:pPr>
          </w:p>
        </w:tc>
      </w:tr>
      <w:tr>
        <w:trPr>
          <w:trHeight w:val="229"/>
        </w:trPr>
        <w:tc>
          <w:tcPr>
            <w:tcW w:w="6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41,212</w:t>
            </w:r>
          </w:p>
        </w:tc>
        <w:tc>
          <w:tcPr>
            <w:tcW w:w="100" w:type="dxa"/>
            <w:vAlign w:val="bottom"/>
            <w:tcBorders>
              <w:bottom w:val="single" w:sz="8" w:color="CFF0FC"/>
            </w:tcBorders>
          </w:tcPr>
          <w:p>
            <w:pPr>
              <w:spacing w:after="0"/>
              <w:rPr>
                <w:sz w:val="19"/>
                <w:szCs w:val="19"/>
                <w:color w:val="auto"/>
              </w:rPr>
            </w:pPr>
          </w:p>
        </w:tc>
      </w:tr>
      <w:tr>
        <w:trPr>
          <w:trHeight w:val="223"/>
        </w:trPr>
        <w:tc>
          <w:tcPr>
            <w:tcW w:w="69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66,258</w:t>
            </w:r>
          </w:p>
        </w:tc>
        <w:tc>
          <w:tcPr>
            <w:tcW w:w="100" w:type="dxa"/>
            <w:vAlign w:val="bottom"/>
            <w:shd w:val="clear" w:color="auto" w:fill="CFF0FC"/>
          </w:tcPr>
          <w:p>
            <w:pPr>
              <w:spacing w:after="0"/>
              <w:rPr>
                <w:sz w:val="19"/>
                <w:szCs w:val="19"/>
                <w:color w:val="auto"/>
              </w:rPr>
            </w:pPr>
          </w:p>
        </w:tc>
      </w:tr>
      <w:tr>
        <w:trPr>
          <w:trHeight w:val="223"/>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10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59,022</w:t>
            </w:r>
          </w:p>
        </w:tc>
        <w:tc>
          <w:tcPr>
            <w:tcW w:w="100" w:type="dxa"/>
            <w:vAlign w:val="bottom"/>
            <w:shd w:val="clear" w:color="auto" w:fill="CFF0FC"/>
          </w:tcPr>
          <w:p>
            <w:pPr>
              <w:spacing w:after="0"/>
              <w:rPr>
                <w:sz w:val="19"/>
                <w:szCs w:val="19"/>
                <w:color w:val="auto"/>
              </w:rPr>
            </w:pPr>
          </w:p>
        </w:tc>
      </w:tr>
      <w:tr>
        <w:trPr>
          <w:trHeight w:val="223"/>
        </w:trPr>
        <w:tc>
          <w:tcPr>
            <w:tcW w:w="69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116,793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134,469</w:t>
            </w:r>
          </w:p>
        </w:tc>
        <w:tc>
          <w:tcPr>
            <w:tcW w:w="100" w:type="dxa"/>
            <w:vAlign w:val="bottom"/>
            <w:tcBorders>
              <w:bottom w:val="single" w:sz="8" w:color="CFF0FC"/>
            </w:tcBorders>
          </w:tcPr>
          <w:p>
            <w:pPr>
              <w:spacing w:after="0"/>
              <w:rPr>
                <w:sz w:val="19"/>
                <w:szCs w:val="19"/>
                <w:color w:val="auto"/>
              </w:rPr>
            </w:pPr>
          </w:p>
        </w:tc>
      </w:tr>
      <w:tr>
        <w:trPr>
          <w:trHeight w:val="223"/>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equity:</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as of August 31, 2022</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and November 30, 2021; no shares issued and outstanding as of August 31, 2022 and</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9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November 30, 2021</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$0.001 par value— 500,000,000 shares authorized as of August 31, 2022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 November 30, 2021; 47,147,781 and 44,664,371 shares issued and outstanding as of</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August 31, 2022 and November 30, 2021, respectively</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700,775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563,757</w:t>
            </w:r>
          </w:p>
        </w:tc>
        <w:tc>
          <w:tcPr>
            <w:tcW w:w="100" w:type="dxa"/>
            <w:vAlign w:val="bottom"/>
            <w:shd w:val="clear" w:color="auto" w:fill="CFF0FC"/>
          </w:tcPr>
          <w:p>
            <w:pPr>
              <w:spacing w:after="0"/>
              <w:rPr>
                <w:sz w:val="19"/>
                <w:szCs w:val="19"/>
                <w:color w:val="auto"/>
              </w:rPr>
            </w:pPr>
          </w:p>
        </w:tc>
      </w:tr>
      <w:tr>
        <w:trPr>
          <w:trHeight w:val="229"/>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(608)</w:t>
            </w:r>
          </w:p>
        </w:tc>
      </w:tr>
      <w:tr>
        <w:trPr>
          <w:trHeight w:val="230"/>
        </w:trPr>
        <w:tc>
          <w:tcPr>
            <w:tcW w:w="6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(354,535)</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(220,892)</w:t>
            </w:r>
          </w:p>
        </w:tc>
      </w:tr>
      <w:tr>
        <w:trPr>
          <w:trHeight w:val="223"/>
        </w:trPr>
        <w:tc>
          <w:tcPr>
            <w:tcW w:w="698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stockholders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equity</w:t>
            </w:r>
          </w:p>
        </w:tc>
        <w:tc>
          <w:tcPr>
            <w:tcW w:w="1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342,545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342,302</w:t>
            </w:r>
          </w:p>
        </w:tc>
        <w:tc>
          <w:tcPr>
            <w:tcW w:w="100" w:type="dxa"/>
            <w:vAlign w:val="bottom"/>
            <w:tcBorders>
              <w:bottom w:val="single" w:sz="8" w:color="CFF0FC"/>
            </w:tcBorders>
          </w:tcPr>
          <w:p>
            <w:pPr>
              <w:spacing w:after="0"/>
              <w:rPr>
                <w:sz w:val="19"/>
                <w:szCs w:val="19"/>
                <w:color w:val="auto"/>
              </w:rPr>
            </w:pPr>
          </w:p>
        </w:tc>
      </w:tr>
      <w:tr>
        <w:trPr>
          <w:trHeight w:val="223"/>
        </w:trPr>
        <w:tc>
          <w:tcPr>
            <w:tcW w:w="698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w:t>
            </w:r>
            <w:r>
              <w:rPr>
                <w:rFonts w:ascii="Arial" w:cs="Arial" w:eastAsia="Arial" w:hAnsi="Arial"/>
                <w:sz w:val="18"/>
                <w:szCs w:val="18"/>
                <w:color w:val="auto"/>
              </w:rPr>
              <w:t>ʼ</w:t>
            </w:r>
            <w:r>
              <w:rPr>
                <w:rFonts w:ascii="Times New Roman" w:cs="Times New Roman" w:eastAsia="Times New Roman" w:hAnsi="Times New Roman"/>
                <w:sz w:val="18"/>
                <w:szCs w:val="18"/>
                <w:color w:val="auto"/>
              </w:rPr>
              <w:t xml:space="preserve"> equity</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459,338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476,771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64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13"/>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9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3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47,761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138,391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39,249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(135,177)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(45,709)</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2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(133,643)</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(79,492)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number of shares outstanding, basic and diluted</w:t>
            </w: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50,868,542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44,374,389</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46,835,776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42,344,420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5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8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56"/>
        </w:trPr>
        <w:tc>
          <w:tcPr>
            <w:tcW w:w="5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55"/>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35"/>
              <w:spacing w:after="0" w:line="155"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(45,709</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(133,643)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(79,492)</w:t>
            </w:r>
          </w:p>
        </w:tc>
        <w:tc>
          <w:tcPr>
            <w:tcW w:w="100" w:type="dxa"/>
            <w:vAlign w:val="bottom"/>
            <w:shd w:val="clear" w:color="auto" w:fill="CFF0FC"/>
          </w:tcPr>
          <w:p>
            <w:pPr>
              <w:spacing w:after="0"/>
              <w:rPr>
                <w:sz w:val="19"/>
                <w:szCs w:val="19"/>
                <w:color w:val="auto"/>
              </w:rPr>
            </w:pPr>
          </w:p>
        </w:tc>
      </w:tr>
      <w:tr>
        <w:trPr>
          <w:trHeight w:val="22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(657)</w:t>
            </w:r>
          </w:p>
        </w:tc>
        <w:tc>
          <w:tcPr>
            <w:tcW w:w="5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(3,134)</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(46,366)</w:t>
            </w:r>
          </w:p>
        </w:tc>
        <w:tc>
          <w:tcPr>
            <w:tcW w:w="2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(28,924)</w:t>
            </w:r>
          </w:p>
        </w:tc>
        <w:tc>
          <w:tcPr>
            <w:tcW w:w="2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(136,777)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(79,638)</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2160" w:type="dxa"/>
            <w:vAlign w:val="bottom"/>
            <w:gridSpan w:val="4"/>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2160" w:type="dxa"/>
            <w:vAlign w:val="bottom"/>
            <w:tcBorders>
              <w:bottom w:val="single" w:sz="8" w:color="auto"/>
            </w:tcBorders>
            <w:gridSpan w:val="4"/>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3500" w:type="dxa"/>
            <w:vAlign w:val="bottom"/>
          </w:tcPr>
          <w:p>
            <w:pPr>
              <w:spacing w:after="0"/>
              <w:rPr>
                <w:sz w:val="13"/>
                <w:szCs w:val="13"/>
                <w:color w:val="auto"/>
              </w:rPr>
            </w:pPr>
          </w:p>
        </w:tc>
        <w:tc>
          <w:tcPr>
            <w:tcW w:w="1220" w:type="dxa"/>
            <w:vAlign w:val="bottom"/>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3"/>
                <w:szCs w:val="13"/>
                <w:color w:val="auto"/>
              </w:rPr>
            </w:pPr>
          </w:p>
        </w:tc>
        <w:tc>
          <w:tcPr>
            <w:tcW w:w="112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50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as of November 30, 2020</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38,864,872</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ind w:right="7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393,841</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87</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(103,698)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290,269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50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Repurchase of unvested early exercised stock</w:t>
            </w:r>
          </w:p>
        </w:tc>
        <w:tc>
          <w:tcPr>
            <w:tcW w:w="12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(971)</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4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options</w:t>
            </w:r>
          </w:p>
        </w:tc>
        <w:tc>
          <w:tcPr>
            <w:tcW w:w="12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Vesting of early-exercised stock options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under employee stock purchase plan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64,589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(24,275)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(24,275)</w:t>
            </w:r>
          </w:p>
        </w:tc>
        <w:tc>
          <w:tcPr>
            <w:tcW w:w="0" w:type="dxa"/>
            <w:vAlign w:val="bottom"/>
          </w:tcPr>
          <w:p>
            <w:pPr>
              <w:spacing w:after="0"/>
              <w:rPr>
                <w:sz w:val="1"/>
                <w:szCs w:val="1"/>
                <w:color w:val="auto"/>
              </w:rPr>
            </w:pPr>
          </w:p>
        </w:tc>
      </w:tr>
      <w:tr>
        <w:trPr>
          <w:trHeight w:val="155"/>
        </w:trPr>
        <w:tc>
          <w:tcPr>
            <w:tcW w:w="350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as of February 28, 2021</w:t>
            </w:r>
          </w:p>
        </w:tc>
        <w:tc>
          <w:tcPr>
            <w:tcW w:w="10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39,119,315</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w:t>
            </w:r>
          </w:p>
        </w:tc>
        <w:tc>
          <w:tcPr>
            <w:tcW w:w="2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398,018</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49</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(127,973)</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270,133</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50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5,175,000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150,152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150,157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equity offering, net of offering costs of $643</w:t>
            </w:r>
          </w:p>
        </w:tc>
        <w:tc>
          <w:tcPr>
            <w:tcW w:w="10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109,232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Vesting of early-exercised stock options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62"/>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(26,382)</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(26,382)</w:t>
            </w:r>
          </w:p>
        </w:tc>
        <w:tc>
          <w:tcPr>
            <w:tcW w:w="0" w:type="dxa"/>
            <w:vAlign w:val="bottom"/>
          </w:tcPr>
          <w:p>
            <w:pPr>
              <w:spacing w:after="0"/>
              <w:rPr>
                <w:sz w:val="1"/>
                <w:szCs w:val="1"/>
                <w:color w:val="auto"/>
              </w:rPr>
            </w:pPr>
          </w:p>
        </w:tc>
      </w:tr>
      <w:tr>
        <w:trPr>
          <w:trHeight w:val="155"/>
        </w:trPr>
        <w:tc>
          <w:tcPr>
            <w:tcW w:w="35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as of May 31, 2021</w:t>
            </w:r>
          </w:p>
        </w:tc>
        <w:tc>
          <w:tcPr>
            <w:tcW w:w="10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44,403,547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w:t>
            </w: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552,459</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(154,355)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398,178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114,182</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Vesting of early-exercised stock options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under employee stock purchase plan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38,875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62"/>
        </w:trPr>
        <w:tc>
          <w:tcPr>
            <w:tcW w:w="3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(28,835)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(28,835)</w:t>
            </w:r>
          </w:p>
        </w:tc>
        <w:tc>
          <w:tcPr>
            <w:tcW w:w="0" w:type="dxa"/>
            <w:vAlign w:val="bottom"/>
          </w:tcPr>
          <w:p>
            <w:pPr>
              <w:spacing w:after="0"/>
              <w:rPr>
                <w:sz w:val="1"/>
                <w:szCs w:val="1"/>
                <w:color w:val="auto"/>
              </w:rPr>
            </w:pPr>
          </w:p>
        </w:tc>
      </w:tr>
      <w:tr>
        <w:trPr>
          <w:trHeight w:val="155"/>
        </w:trPr>
        <w:tc>
          <w:tcPr>
            <w:tcW w:w="350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as of August 31, 2021</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44,556,604</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ind w:right="7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558,421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(183,190)</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375,217</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200" w:type="dxa"/>
            <w:vAlign w:val="bottom"/>
            <w:gridSpan w:val="3"/>
            <w:vMerge w:val="restart"/>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220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1120" w:type="dxa"/>
            <w:vAlign w:val="bottom"/>
          </w:tcPr>
          <w:p>
            <w:pPr>
              <w:jc w:val="right"/>
              <w:ind w:right="28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right"/>
              <w:ind w:right="60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3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as of November 30, 2021</w:t>
            </w: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44,664,371</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ind w:right="73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563,757</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(608)</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(220,892)</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342,302</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117,870</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Vesting of early-exercised stock options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Issuance under employee stock purchase plan</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71,207</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6,071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6,071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(1,458)</w:t>
            </w: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(42,533)</w:t>
            </w: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(42,533)</w:t>
            </w:r>
          </w:p>
        </w:tc>
        <w:tc>
          <w:tcPr>
            <w:tcW w:w="0" w:type="dxa"/>
            <w:vAlign w:val="bottom"/>
          </w:tcPr>
          <w:p>
            <w:pPr>
              <w:spacing w:after="0"/>
              <w:rPr>
                <w:sz w:val="1"/>
                <w:szCs w:val="1"/>
                <w:color w:val="auto"/>
              </w:rPr>
            </w:pPr>
          </w:p>
        </w:tc>
      </w:tr>
      <w:tr>
        <w:trPr>
          <w:trHeight w:val="156"/>
        </w:trPr>
        <w:tc>
          <w:tcPr>
            <w:tcW w:w="33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as of February 28, 2022</w:t>
            </w:r>
          </w:p>
        </w:tc>
        <w:tc>
          <w:tcPr>
            <w:tcW w:w="11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44,853,448</w:t>
            </w:r>
          </w:p>
        </w:tc>
        <w:tc>
          <w:tcPr>
            <w:tcW w:w="2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w:t>
            </w: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571,363</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(2,066)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(263,425)</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305,917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173,155</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13,465</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Vesting of early-exercised stock options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(1,019)</w:t>
            </w:r>
          </w:p>
        </w:tc>
        <w:tc>
          <w:tcPr>
            <w:tcW w:w="0" w:type="dxa"/>
            <w:vAlign w:val="bottom"/>
          </w:tcPr>
          <w:p>
            <w:pPr>
              <w:spacing w:after="0"/>
              <w:rPr>
                <w:sz w:val="1"/>
                <w:szCs w:val="1"/>
                <w:color w:val="auto"/>
              </w:rPr>
            </w:pPr>
          </w:p>
        </w:tc>
      </w:tr>
      <w:tr>
        <w:trPr>
          <w:trHeight w:val="162"/>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(45,401)</w:t>
            </w:r>
          </w:p>
        </w:tc>
        <w:tc>
          <w:tcPr>
            <w:tcW w:w="1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(45,401)</w:t>
            </w:r>
          </w:p>
        </w:tc>
        <w:tc>
          <w:tcPr>
            <w:tcW w:w="0" w:type="dxa"/>
            <w:vAlign w:val="bottom"/>
          </w:tcPr>
          <w:p>
            <w:pPr>
              <w:spacing w:after="0"/>
              <w:rPr>
                <w:sz w:val="1"/>
                <w:szCs w:val="1"/>
                <w:color w:val="auto"/>
              </w:rPr>
            </w:pPr>
          </w:p>
        </w:tc>
      </w:tr>
      <w:tr>
        <w:trPr>
          <w:trHeight w:val="156"/>
        </w:trPr>
        <w:tc>
          <w:tcPr>
            <w:tcW w:w="336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as of May 31, 2022</w:t>
            </w:r>
          </w:p>
        </w:tc>
        <w:tc>
          <w:tcPr>
            <w:tcW w:w="1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45,040,068</w:t>
            </w:r>
          </w:p>
        </w:tc>
        <w:tc>
          <w:tcPr>
            <w:tcW w:w="22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45</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578,605</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(3,085)</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(308,826)</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266,739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36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pre-funded warrants, net of issuance</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94,759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94,759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costs of $234</w:t>
            </w: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36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in “at the market”</w:t>
            </w:r>
          </w:p>
        </w:tc>
        <w:tc>
          <w:tcPr>
            <w:tcW w:w="1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2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19,326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rPr>
              <w:t>financing, net of issuance costs of $672</w:t>
            </w:r>
          </w:p>
        </w:tc>
        <w:tc>
          <w:tcPr>
            <w:tcW w:w="11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24,147</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18,469</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Vesting of early-exercised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Issuance under employee stock purchase plan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65,097</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(657)</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(657)</w:t>
            </w:r>
          </w:p>
        </w:tc>
        <w:tc>
          <w:tcPr>
            <w:tcW w:w="0" w:type="dxa"/>
            <w:vAlign w:val="bottom"/>
          </w:tcPr>
          <w:p>
            <w:pPr>
              <w:spacing w:after="0"/>
              <w:rPr>
                <w:sz w:val="1"/>
                <w:szCs w:val="1"/>
                <w:color w:val="auto"/>
              </w:rPr>
            </w:pPr>
          </w:p>
        </w:tc>
      </w:tr>
      <w:tr>
        <w:trPr>
          <w:trHeight w:val="162"/>
        </w:trPr>
        <w:tc>
          <w:tcPr>
            <w:tcW w:w="3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(45,709)</w:t>
            </w:r>
          </w:p>
        </w:tc>
        <w:tc>
          <w:tcPr>
            <w:tcW w:w="1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(45,709)</w:t>
            </w:r>
          </w:p>
        </w:tc>
        <w:tc>
          <w:tcPr>
            <w:tcW w:w="0" w:type="dxa"/>
            <w:vAlign w:val="bottom"/>
          </w:tcPr>
          <w:p>
            <w:pPr>
              <w:spacing w:after="0"/>
              <w:rPr>
                <w:sz w:val="1"/>
                <w:szCs w:val="1"/>
                <w:color w:val="auto"/>
              </w:rPr>
            </w:pPr>
          </w:p>
        </w:tc>
      </w:tr>
      <w:tr>
        <w:trPr>
          <w:trHeight w:val="156"/>
        </w:trPr>
        <w:tc>
          <w:tcPr>
            <w:tcW w:w="33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as of August 31, 2022</w:t>
            </w:r>
          </w:p>
        </w:tc>
        <w:tc>
          <w:tcPr>
            <w:tcW w:w="1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47,147,781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ind w:right="73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47</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700,775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(3,742)</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(354,535)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342,545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720" w:type="dxa"/>
            <w:vAlign w:val="bottom"/>
            <w:tcBorders>
              <w:bottom w:val="single" w:sz="8" w:color="auto"/>
            </w:tcBorders>
            <w:gridSpan w:val="4"/>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Nine Months Ended August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4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300" w:type="dxa"/>
            <w:vAlign w:val="bottom"/>
            <w:gridSpan w:val="2"/>
          </w:tcPr>
          <w:p>
            <w:pPr>
              <w:jc w:val="right"/>
              <w:ind w:right="76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(133,643)</w:t>
            </w:r>
          </w:p>
        </w:tc>
        <w:tc>
          <w:tcPr>
            <w:tcW w:w="92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(79,492)</w:t>
            </w:r>
          </w:p>
        </w:tc>
        <w:tc>
          <w:tcPr>
            <w:tcW w:w="0" w:type="dxa"/>
            <w:vAlign w:val="bottom"/>
          </w:tcPr>
          <w:p>
            <w:pPr>
              <w:spacing w:after="0"/>
              <w:rPr>
                <w:sz w:val="1"/>
                <w:szCs w:val="1"/>
                <w:color w:val="auto"/>
              </w:rPr>
            </w:pPr>
          </w:p>
        </w:tc>
      </w:tr>
      <w:tr>
        <w:trPr>
          <w:trHeight w:val="219"/>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19,834</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amortization (accretion) of premium (discount) on marketable securities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4,041</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Income tax receivable</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(2,250)</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(6,040)</w:t>
            </w:r>
          </w:p>
        </w:tc>
        <w:tc>
          <w:tcPr>
            <w:tcW w:w="0" w:type="dxa"/>
            <w:vAlign w:val="bottom"/>
          </w:tcPr>
          <w:p>
            <w:pPr>
              <w:spacing w:after="0"/>
              <w:rPr>
                <w:sz w:val="1"/>
                <w:szCs w:val="1"/>
                <w:color w:val="auto"/>
              </w:rPr>
            </w:pPr>
          </w:p>
        </w:tc>
      </w:tr>
      <w:tr>
        <w:trPr>
          <w:trHeight w:val="213"/>
        </w:trPr>
        <w:tc>
          <w:tcPr>
            <w:tcW w:w="7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(22,344)</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(3,679)</w:t>
            </w: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(2,432)</w:t>
            </w:r>
          </w:p>
        </w:tc>
        <w:tc>
          <w:tcPr>
            <w:tcW w:w="0" w:type="dxa"/>
            <w:vAlign w:val="bottom"/>
          </w:tcPr>
          <w:p>
            <w:pPr>
              <w:spacing w:after="0"/>
              <w:rPr>
                <w:sz w:val="1"/>
                <w:szCs w:val="1"/>
                <w:color w:val="auto"/>
              </w:rPr>
            </w:pPr>
          </w:p>
        </w:tc>
      </w:tr>
      <w:tr>
        <w:trPr>
          <w:trHeight w:val="219"/>
        </w:trPr>
        <w:tc>
          <w:tcPr>
            <w:tcW w:w="7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2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4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80" w:type="dxa"/>
            <w:vAlign w:val="bottom"/>
            <w:tcBorders>
              <w:bottom w:val="single" w:sz="8" w:color="CFF0FC"/>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(121,852)</w:t>
            </w:r>
          </w:p>
        </w:tc>
        <w:tc>
          <w:tcPr>
            <w:tcW w:w="280" w:type="dxa"/>
            <w:vAlign w:val="bottom"/>
            <w:tcBorders>
              <w:bottom w:val="single" w:sz="8" w:color="CFF0FC"/>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(53,454)</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(212,455)</w:t>
            </w: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(257,813)</w:t>
            </w:r>
          </w:p>
        </w:tc>
        <w:tc>
          <w:tcPr>
            <w:tcW w:w="0" w:type="dxa"/>
            <w:vAlign w:val="bottom"/>
          </w:tcPr>
          <w:p>
            <w:pPr>
              <w:spacing w:after="0"/>
              <w:rPr>
                <w:sz w:val="1"/>
                <w:szCs w:val="1"/>
                <w:color w:val="auto"/>
              </w:rPr>
            </w:pPr>
          </w:p>
        </w:tc>
      </w:tr>
      <w:tr>
        <w:trPr>
          <w:trHeight w:val="219"/>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of marketable securities</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194,324</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(9,679)</w:t>
            </w:r>
          </w:p>
        </w:tc>
        <w:tc>
          <w:tcPr>
            <w:tcW w:w="9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(4,799)</w:t>
            </w:r>
          </w:p>
        </w:tc>
        <w:tc>
          <w:tcPr>
            <w:tcW w:w="0" w:type="dxa"/>
            <w:vAlign w:val="bottom"/>
          </w:tcPr>
          <w:p>
            <w:pPr>
              <w:spacing w:after="0"/>
              <w:rPr>
                <w:sz w:val="1"/>
                <w:szCs w:val="1"/>
                <w:color w:val="auto"/>
              </w:rPr>
            </w:pPr>
          </w:p>
        </w:tc>
      </w:tr>
      <w:tr>
        <w:trPr>
          <w:trHeight w:val="207"/>
        </w:trPr>
        <w:tc>
          <w:tcPr>
            <w:tcW w:w="74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80" w:type="dxa"/>
            <w:vAlign w:val="bottom"/>
            <w:tcBorders>
              <w:bottom w:val="single" w:sz="8" w:color="CFF0FC"/>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(27,810)</w:t>
            </w:r>
          </w:p>
        </w:tc>
        <w:tc>
          <w:tcPr>
            <w:tcW w:w="280" w:type="dxa"/>
            <w:vAlign w:val="bottom"/>
            <w:tcBorders>
              <w:bottom w:val="single" w:sz="8" w:color="CFF0FC"/>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(71,728)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issuances of pre-funded warrants, net of issuance costs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94,942</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issuances of common stock in equity financing, net of issuance costs</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19,400</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150,157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Proceeds from issuance under employee stock purchase plan</w:t>
            </w:r>
          </w:p>
        </w:tc>
        <w:tc>
          <w:tcPr>
            <w:tcW w:w="3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unvested early exercised stock options</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74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117,327</w:t>
            </w:r>
          </w:p>
        </w:tc>
        <w:tc>
          <w:tcPr>
            <w:tcW w:w="2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153,382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(32,335)</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3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80,792</w:t>
            </w:r>
          </w:p>
        </w:tc>
        <w:tc>
          <w:tcPr>
            <w:tcW w:w="2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119,526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80" w:type="dxa"/>
            <w:vAlign w:val="bottom"/>
          </w:tcPr>
          <w:p>
            <w:pPr>
              <w:spacing w:after="0"/>
              <w:rPr>
                <w:sz w:val="17"/>
                <w:szCs w:val="17"/>
                <w:color w:val="auto"/>
              </w:rPr>
            </w:pPr>
          </w:p>
        </w:tc>
        <w:tc>
          <w:tcPr>
            <w:tcW w:w="92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48,457</w:t>
            </w:r>
          </w:p>
        </w:tc>
        <w:tc>
          <w:tcPr>
            <w:tcW w:w="280" w:type="dxa"/>
            <w:vAlign w:val="bottom"/>
          </w:tcPr>
          <w:p>
            <w:pPr>
              <w:spacing w:after="0"/>
              <w:rPr>
                <w:sz w:val="17"/>
                <w:szCs w:val="17"/>
                <w:color w:val="auto"/>
              </w:rPr>
            </w:pPr>
          </w:p>
        </w:tc>
        <w:tc>
          <w:tcPr>
            <w:tcW w:w="92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3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Additions to property and equipment included in accounts payable and accrued expenses and other liabilities</w:t>
            </w:r>
          </w:p>
        </w:tc>
        <w:tc>
          <w:tcPr>
            <w:tcW w:w="1300" w:type="dxa"/>
            <w:vAlign w:val="bottom"/>
            <w:gridSpan w:val="2"/>
          </w:tcPr>
          <w:p>
            <w:pPr>
              <w:jc w:val="right"/>
              <w:ind w:right="76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280" w:type="dxa"/>
            <w:vAlign w:val="bottom"/>
          </w:tcPr>
          <w:p>
            <w:pPr>
              <w:spacing w:after="0"/>
              <w:rPr>
                <w:sz w:val="22"/>
                <w:szCs w:val="22"/>
                <w:color w:val="auto"/>
              </w:rPr>
            </w:pPr>
          </w:p>
        </w:tc>
        <w:tc>
          <w:tcPr>
            <w:tcW w:w="92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380" w:type="dxa"/>
            <w:vAlign w:val="bottom"/>
            <w:tcBorders>
              <w:top w:val="single" w:sz="8" w:color="CFF0FC"/>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Issuance costs related to pre-funded warrants included in accrued expenses and other liabilities</w:t>
            </w:r>
          </w:p>
        </w:tc>
        <w:tc>
          <w:tcPr>
            <w:tcW w:w="1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20" w:type="dxa"/>
            <w:vAlign w:val="bottom"/>
            <w:tcBorders>
              <w:bottom w:val="single" w:sz="8" w:color="CFF0FC"/>
            </w:tcBorders>
            <w:vMerge w:val="continue"/>
          </w:tcPr>
          <w:p>
            <w:pPr>
              <w:spacing w:after="0"/>
              <w:rPr>
                <w:sz w:val="20"/>
                <w:szCs w:val="20"/>
                <w:color w:val="auto"/>
              </w:rPr>
            </w:pPr>
          </w:p>
        </w:tc>
        <w:tc>
          <w:tcPr>
            <w:tcW w:w="380" w:type="dxa"/>
            <w:vAlign w:val="bottom"/>
            <w:tcBorders>
              <w:bottom w:val="single" w:sz="8" w:color="CFF0FC"/>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280" w:type="dxa"/>
            <w:vAlign w:val="bottom"/>
            <w:tcBorders>
              <w:bottom w:val="single" w:sz="8" w:color="CFF0FC"/>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issuance costs recognized related to equity financing</w:t>
            </w:r>
          </w:p>
        </w:tc>
        <w:tc>
          <w:tcPr>
            <w:tcW w:w="3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7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As of August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42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3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300" w:type="dxa"/>
            <w:vAlign w:val="bottom"/>
            <w:gridSpan w:val="2"/>
          </w:tcPr>
          <w:p>
            <w:pPr>
              <w:jc w:val="right"/>
              <w:ind w:right="76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47,556</w:t>
            </w:r>
          </w:p>
        </w:tc>
        <w:tc>
          <w:tcPr>
            <w:tcW w:w="280" w:type="dxa"/>
            <w:vAlign w:val="bottom"/>
          </w:tcPr>
          <w:p>
            <w:pPr>
              <w:spacing w:after="0"/>
              <w:rPr>
                <w:sz w:val="18"/>
                <w:szCs w:val="18"/>
                <w:color w:val="auto"/>
              </w:rPr>
            </w:pPr>
          </w:p>
        </w:tc>
        <w:tc>
          <w:tcPr>
            <w:tcW w:w="92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3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2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4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380" w:type="dxa"/>
            <w:vAlign w:val="bottom"/>
          </w:tcPr>
          <w:p>
            <w:pPr>
              <w:spacing w:after="0"/>
              <w:rPr>
                <w:sz w:val="17"/>
                <w:szCs w:val="17"/>
                <w:color w:val="auto"/>
              </w:rPr>
            </w:pPr>
          </w:p>
        </w:tc>
        <w:tc>
          <w:tcPr>
            <w:tcW w:w="92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48,457</w:t>
            </w:r>
          </w:p>
        </w:tc>
        <w:tc>
          <w:tcPr>
            <w:tcW w:w="280" w:type="dxa"/>
            <w:vAlign w:val="bottom"/>
          </w:tcPr>
          <w:p>
            <w:pPr>
              <w:spacing w:after="0"/>
              <w:rPr>
                <w:sz w:val="17"/>
                <w:szCs w:val="17"/>
                <w:color w:val="auto"/>
              </w:rPr>
            </w:pPr>
          </w:p>
        </w:tc>
        <w:tc>
          <w:tcPr>
            <w:tcW w:w="92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Nurix Therapeutics, Inc. (the Company) was incorporated in the state of Delaware on August 27, 2009 and is headquartered in San Francisco, California. The Company is a clinical stage biopharmaceutical company focused on the discovery, development and commercialization of small molecule and cell therapies based on the modulation of cellular protein levels as a novel treatment approach for cancer and other challenging diseases. Leveraging the Company’s expertise in E3 ligases together with its proprietary DNA-encoded libraries, the Company has built DELigase, an integrated discovery platform to identify and advance novel drug candidates targeting E3 ligases, a broad class of enzymes that can modulate proteins within the cell. Targeted Protein Modulation, our drug discovery approach, either harnesses or inhibits the natural function of E3 ligases within the ubiquitin-proteasome system to selectively decrease or increase cellular protein levels to treat disease.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On July 23, 2020, the Company’s registration statement on Form S-1 (File No. 333-239651) relating to its initial public offering (IPO) of common stock became effective. The IPO closed on July 28, 2020 at which time the Company issued 11,000,000 shares of its common stock at a price to the public of $19.00 per share. In addition, the underwriters exercised their option to purchase an additional 1,550,000 shares of the Company’s common stock on July 31, 2020, and this transaction closed on August 4, 2020. Net proceeds from the IPO were $218.1 million, after deducting underwriting discounts and commissions of $16.7 million and expenses of $3.6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Follow-on Offering</w:t>
      </w:r>
    </w:p>
    <w:p>
      <w:pPr>
        <w:spacing w:after="0" w:line="121" w:lineRule="exact"/>
        <w:rPr>
          <w:sz w:val="20"/>
          <w:szCs w:val="20"/>
          <w:color w:val="auto"/>
        </w:rPr>
      </w:pPr>
    </w:p>
    <w:p>
      <w:pPr>
        <w:ind w:right="400" w:firstLine="510"/>
        <w:spacing w:after="0" w:line="266" w:lineRule="auto"/>
        <w:rPr>
          <w:sz w:val="20"/>
          <w:szCs w:val="20"/>
          <w:color w:val="auto"/>
        </w:rPr>
      </w:pPr>
      <w:r>
        <w:rPr>
          <w:rFonts w:ascii="Times New Roman" w:cs="Times New Roman" w:eastAsia="Times New Roman" w:hAnsi="Times New Roman"/>
          <w:sz w:val="18"/>
          <w:szCs w:val="18"/>
          <w:color w:val="auto"/>
        </w:rPr>
        <w:t>In March 2021, the Company completed a follow-on offering and issued 5,175,000 shares of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w:t>
      </w:r>
    </w:p>
    <w:p>
      <w:pPr>
        <w:spacing w:after="0" w:line="12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In August 2021, the Company filed a shelf registration statement on Form S-3 with the Securities and Exchange Commission (SEC). This shelf registration statement, which includes a base prospectus, allows the Company at any time to offer and sell registered common stock, preferred stock, debt securities, warrants, subscriptions rights and or units or any combination of securities described in the prospectus in one or more offerings. In addition, in August 2021, the Company entered into an Equity Distribution Agreement with Piper Sandler &amp; Co. (Piper Sandler) pursuant to which, from time to time, the Company may offer and sell through Piper Sandler up to $150.0 million of the common stock registered under the shelf registration statement pursuant to one or more “at the market” offerings.</w:t>
      </w:r>
    </w:p>
    <w:p>
      <w:pPr>
        <w:spacing w:after="0" w:line="7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Company is not required to sell any shares at any time during the term of the Equity Distribution Agreement. The Company agreed to pay Piper Sandler a commission of 3% of the gross sales price of any shares sold pursuant to the Equity Distribution Agreement. In June 2022, the Company issued and sold 2,000,000 shares of common stock under the Equity Distribution Agreement at a price of $10.0001 per share of common stock for net proceeds of approximately $19.3 million, after deducting offering commissions and expenses paid by the Company. As of August 31, 2022, the Company had $130.0 million of common stock remaining available for sale under the Equity Distribution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w:t>
      </w:r>
    </w:p>
    <w:p>
      <w:pPr>
        <w:spacing w:after="0" w:line="92" w:lineRule="exact"/>
        <w:rPr>
          <w:sz w:val="20"/>
          <w:szCs w:val="20"/>
          <w:color w:val="auto"/>
        </w:rPr>
      </w:pPr>
    </w:p>
    <w:p>
      <w:pPr>
        <w:ind w:right="320" w:firstLine="510"/>
        <w:spacing w:after="0" w:line="228" w:lineRule="exact"/>
        <w:rPr>
          <w:sz w:val="20"/>
          <w:szCs w:val="20"/>
          <w:color w:val="auto"/>
        </w:rPr>
      </w:pPr>
      <w:r>
        <w:rPr>
          <w:rFonts w:ascii="Times New Roman" w:cs="Times New Roman" w:eastAsia="Times New Roman" w:hAnsi="Times New Roman"/>
          <w:sz w:val="18"/>
          <w:szCs w:val="18"/>
          <w:color w:val="auto"/>
        </w:rPr>
        <w:t>In July 2022, the Company entered into separate securities purchase agreements with certain purchasers to issue and sell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an aggregate of 6,814,920 shares of the Company’s common stock in registered direct offerings (RDOs) at a price of $13.939 per pre-funded warrant. Net proceeds from the RDOs were approximately $94.8 million, after deducting offering expenses of $0.2 million. Refer to Note 7 for more information regarding the pre-funded warrants issued in the RDOs.</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Management Plans</w:t>
      </w:r>
    </w:p>
    <w:p>
      <w:pPr>
        <w:spacing w:after="0" w:line="121" w:lineRule="exact"/>
        <w:rPr>
          <w:sz w:val="20"/>
          <w:szCs w:val="20"/>
          <w:color w:val="auto"/>
        </w:rPr>
      </w:pPr>
    </w:p>
    <w:p>
      <w:pPr>
        <w:ind w:right="380" w:firstLine="510"/>
        <w:spacing w:after="0" w:line="261" w:lineRule="auto"/>
        <w:rPr>
          <w:sz w:val="20"/>
          <w:szCs w:val="20"/>
          <w:color w:val="auto"/>
        </w:rPr>
      </w:pPr>
      <w:r>
        <w:rPr>
          <w:rFonts w:ascii="Times New Roman" w:cs="Times New Roman" w:eastAsia="Times New Roman" w:hAnsi="Times New Roman"/>
          <w:sz w:val="18"/>
          <w:szCs w:val="18"/>
          <w:color w:val="auto"/>
        </w:rPr>
        <w:t>Since inception, the Company has generally incurred significant losses and negative net cash flows from operations. As of August 31, 2022, the Company had an accumulated deficit of $354.5 million and will require substantial additional capital for research and development activities. The Company anticipates incurring additional losses until such time, if ever, that it can generate significant sales of its drug candidates currently in development. As of August 31, 2022, the Company had cash, cash equivalents and marketable securities of $413.6 million.</w:t>
      </w:r>
    </w:p>
    <w:p>
      <w:pPr>
        <w:spacing w:after="0" w:line="72" w:lineRule="exact"/>
        <w:rPr>
          <w:sz w:val="20"/>
          <w:szCs w:val="20"/>
          <w:color w:val="auto"/>
        </w:rPr>
      </w:pPr>
    </w:p>
    <w:p>
      <w:pPr>
        <w:ind w:right="200" w:firstLine="510"/>
        <w:spacing w:after="0" w:line="255" w:lineRule="auto"/>
        <w:rPr>
          <w:sz w:val="20"/>
          <w:szCs w:val="20"/>
          <w:color w:val="auto"/>
        </w:rPr>
      </w:pPr>
      <w:r>
        <w:rPr>
          <w:rFonts w:ascii="Times New Roman" w:cs="Times New Roman" w:eastAsia="Times New Roman" w:hAnsi="Times New Roman"/>
          <w:sz w:val="18"/>
          <w:szCs w:val="18"/>
          <w:color w:val="auto"/>
        </w:rPr>
        <w:t>Management believes that its cash, cash equivalents and marketable securities are sufficient to continue operating activities for at least 12 months following the issuance date of these condensed consolidated financial statements. Future capital requirements will depend on many factors, including the timing and extent of spending on research and development and payments the Company may receive under its collaboration agreements with Sanofi S.A. (Sanofi) and Gilead Sciences, Inc. (Gilead) or future collaboration agreements, if any. There can be no assurance that, in the event the Company requires additional financing, such financing will be available at terms acceptable to the Company if at all. If additional capital is not available, failure to generate sufficient cash flows from operations, raise additional capital and reduce discretionary spending could have a material adverse effect on the Company’s ability to achieve its intended business objectives.</w:t>
      </w:r>
    </w:p>
    <w:p>
      <w:pPr>
        <w:spacing w:after="0" w:line="293" w:lineRule="exact"/>
        <w:rPr>
          <w:sz w:val="20"/>
          <w:szCs w:val="20"/>
          <w:color w:val="auto"/>
        </w:rPr>
      </w:pPr>
    </w:p>
    <w:p>
      <w:pPr>
        <w:ind w:right="7680" w:firstLine="8"/>
        <w:spacing w:after="0" w:line="377"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U.S. generally accepted accounting principles (U.S. GAAP) and applicable rules and regulations of the SEC regarding interim financial reporting. The Company’s condensed consolidated financial statements have been prepared on the same basis as the annual financial statements and reflect, in the opinion of management, all adjustments of a normal and recurring nature that are necessary for the fair statement of the Company’s financial position as of and for the three and nine months ended August 31, 2022. The condensed consolidated balance sheet as of November 30, 2021 was derived from the audited annual financial statements as of that date. Certain information and footnote disclosures normally included in financial statements prepared in accordance with U.S. GAAP have been condensed or omitted from these interim financial statements. These interim financial statements and related disclosures have been prepared with the presumption that users of the interim financial statements have read or have access to the audited annual financial statements for the preceding fiscal year. Accordingly, these financial statements should be read in conjunction with the audited annual financial statements and notes thereto contained in the Company’s Annual Report on Form 10-K for the year ended November 30, 2021, as filed with the SEC. These interim results are not necessarily indicative of results to be expected for the full fiscal year or any future interim period. Certain prior year amounts have been reclassified for consistency with the current year cash flow presentation. The reclassification did not impact total cashflow from operating, investing or financing activities.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subsidiaries, including DeCART Therapeutics Inc, which was legally dissolved in July 2022. All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reported amounts of revenues and expenses during the reporting period. On an ongoing basis, management evaluates its estimates, including those related to the useful lives of long-lived assets, the measurement of stock-based compensation, accruals for research and development activities, income taxes and revenue recognition. The Company bases its estimates on historical experience and on other relevant assumptions that are reasonable under the circumstances. Actual results could materially differ from those estimates. Refer to Note 3 for more information regarding the estimates related to revenue recognition.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cash equivalents and marketable securities. The Company’s marketable securities consist of debt securities issued by highly rated corporate entities, the U.S. federal government or state and local governments. The Company’s exposure to any individual corporate entity is limited by policy. Deposits may, at times, exceed federally insured limits. The Company invests its cash equivalents in highly rated money market funds. During the periods presented, the Company has not experienced any losses on its deposits of cash, cash equivalents or marketable securities.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Company is subject to a number of risks similar to other clinical stage biopharmaceutical companies, including, but not limited to, changes in any of the following areas that the Company believes could have a material adverse effect on its future financial position or results of operations: risks related to the successful discovery and development of its drug candidates, ability to raise additional capital, development of new technological innovations by its competitors and delay or inability to obtain drug substance and finished drug product from the Company’s third-party contract manufacturers necessary for the Company’s drug candidates, including due to the impact of the current coronavirus (COVID-19) pandemic, protection of intellectual property rights, litigation or claims against the Company based on intellectual property rights and regulatory clearance and market acceptance for any of the Company’s products candidates for which the Company receives marketing approval.</w:t>
      </w:r>
    </w:p>
    <w:p>
      <w:pPr>
        <w:spacing w:after="0" w:line="8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Moreover, the Company is subject to risks and uncertainties as a result of the current COVID-19 pandemic and increasing financial market volatility and uncertainty. The COVID-19 pandemic, including the resurgence of cases relating to the spread of new variants, is impacting worldwide economic activity and poses the risk that the Company or its employees, contractors, suppliers and other partners may be prevented from conducting business activities for an indefinite period of time, including due to shutdowns that may be requested or mandated by governmental authorities. The extent to which the COVID-19 pandemic and increasing financial market volatility and uncertainty will impact the Company’s business will depend on future developments that are highly uncertain and cannot be predicted at this time.</w:t>
      </w:r>
    </w:p>
    <w:p>
      <w:pPr>
        <w:spacing w:after="0" w:line="79" w:lineRule="exact"/>
        <w:rPr>
          <w:sz w:val="20"/>
          <w:szCs w:val="20"/>
          <w:color w:val="auto"/>
        </w:rPr>
      </w:pPr>
    </w:p>
    <w:p>
      <w:pPr>
        <w:ind w:right="160" w:firstLine="51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The extent to which the COVID-19 pandemic and the increasing financial market volatility and uncertainty may directly or indirectly impact the Company’s financial statements is highly uncertain and subject to change. Management considered the potential impact of the COVID-19 pandemic on its estimates and assumptions and there was not a material impact to the Company’s condensed consolidated financial statements as of and for the three and nine months ended August 31, 2022; however, actual results could differ from those estimates and there may be changes to management’s estimates in future periods.</w:t>
      </w:r>
    </w:p>
    <w:p>
      <w:pPr>
        <w:spacing w:after="0" w:line="79" w:lineRule="exact"/>
        <w:rPr>
          <w:sz w:val="20"/>
          <w:szCs w:val="20"/>
          <w:color w:val="auto"/>
        </w:rPr>
      </w:pPr>
    </w:p>
    <w:p>
      <w:pPr>
        <w:ind w:right="400" w:firstLine="510"/>
        <w:spacing w:after="0" w:line="282" w:lineRule="auto"/>
        <w:rPr>
          <w:sz w:val="20"/>
          <w:szCs w:val="20"/>
          <w:color w:val="auto"/>
        </w:rPr>
      </w:pPr>
      <w:r>
        <w:rPr>
          <w:rFonts w:ascii="Times New Roman" w:cs="Times New Roman" w:eastAsia="Times New Roman" w:hAnsi="Times New Roman"/>
          <w:sz w:val="18"/>
          <w:szCs w:val="18"/>
          <w:color w:val="auto"/>
        </w:rPr>
        <w:t>The Company relies on single source manufacturers and suppliers for the supply of its drug candidates. Disruption from these manufacturers or suppliers would have a negative impact on the Company’s business, financial position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80" w:firstLine="578"/>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inception. Lease right-of-use (ROU) assets, current lease liabilities and long-term lease liabilities are recognized at the lease commencement date based on the present value of the future minimum lease payments over the lease term at the commencement date. ROU assets also include any initial direct costs incurred and any lease payments made on or before the lease commencement date, less lease incentives received. The Company uses its incremental borrowing rate based on the information available at the commencement date in determining the lease liabilities as the Company’s leases generally do not provide an implicit rate. The incremental borrowing rate, the ROU asset and the lease liability are reevaluated upon a lease modification. The Company determines its incremental borrowing rate based on the rate of interest that the Company would have to pay to borrow on a collateralized basis over a similar term, in an amount equal to the lease payments in a similar economic environment. Lease terms may include options to extend or terminate the lease when the Company is reasonably certain that the option will be exercised. Lease expense for operating leases is recognized on a straight-line basis over the lease term. The Company does not have any finance leases.</w:t>
      </w:r>
    </w:p>
    <w:p>
      <w:pPr>
        <w:spacing w:after="0" w:line="80"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The Company elected to apply each of the practical expedients described in Topic 842 which allow companies (i) not to reassess prior conclusions on whether any expired or existing contracts are or contain a lease, lease classification, and initial direct costs, (ii) combine lease and non-lease components for all underlying assets groups, and (iii) not recognize ROU assets or lease liabilities for short-term leases. A short-term lease is a lease that, at the commencement date, has a lease term of 12 months or less and does not include an option to purchase the underlying asset that the lessee is reasonably certain to exercise.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400" w:firstLine="510"/>
        <w:spacing w:after="0" w:line="266" w:lineRule="auto"/>
        <w:rPr>
          <w:sz w:val="20"/>
          <w:szCs w:val="20"/>
          <w:color w:val="auto"/>
        </w:rPr>
      </w:pPr>
      <w:r>
        <w:rPr>
          <w:rFonts w:ascii="Times New Roman" w:cs="Times New Roman" w:eastAsia="Times New Roman" w:hAnsi="Times New Roman"/>
          <w:sz w:val="18"/>
          <w:szCs w:val="18"/>
          <w:color w:val="auto"/>
        </w:rPr>
        <w:t>The Company recognizes revenue when its customer obtains control of promised goods or services, in an amount that reflects the consideration which the Company expects to receive in exchange for those goods or services. To recognize revenue from a contract with a customer, the Company performs the following five steps:</w:t>
      </w:r>
    </w:p>
    <w:p>
      <w:pPr>
        <w:spacing w:after="0" w:line="68" w:lineRule="exact"/>
        <w:rPr>
          <w:sz w:val="20"/>
          <w:szCs w:val="20"/>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117" w:lineRule="exact"/>
        <w:rPr>
          <w:sz w:val="20"/>
          <w:szCs w:val="20"/>
          <w:color w:val="auto"/>
        </w:rPr>
      </w:pPr>
    </w:p>
    <w:p>
      <w:pPr>
        <w:jc w:val="both"/>
        <w:ind w:right="40" w:firstLine="510"/>
        <w:spacing w:after="0" w:line="266" w:lineRule="auto"/>
        <w:rPr>
          <w:sz w:val="20"/>
          <w:szCs w:val="20"/>
          <w:color w:val="auto"/>
        </w:rPr>
      </w:pPr>
      <w:r>
        <w:rPr>
          <w:rFonts w:ascii="Times New Roman" w:cs="Times New Roman" w:eastAsia="Times New Roman" w:hAnsi="Times New Roman"/>
          <w:sz w:val="18"/>
          <w:szCs w:val="18"/>
          <w:color w:val="auto"/>
        </w:rPr>
        <w:t>At contract inception, the Company assesses the goods or services promised within each contract,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w:t>
      </w:r>
    </w:p>
    <w:p>
      <w:pPr>
        <w:spacing w:after="0" w:line="68" w:lineRule="exact"/>
        <w:rPr>
          <w:sz w:val="20"/>
          <w:szCs w:val="20"/>
          <w:color w:val="auto"/>
        </w:rPr>
      </w:pPr>
    </w:p>
    <w:p>
      <w:pPr>
        <w:ind w:right="220" w:firstLine="510"/>
        <w:spacing w:after="0" w:line="258" w:lineRule="auto"/>
        <w:rPr>
          <w:sz w:val="20"/>
          <w:szCs w:val="20"/>
          <w:color w:val="auto"/>
        </w:rPr>
      </w:pPr>
      <w:r>
        <w:rPr>
          <w:rFonts w:ascii="Times New Roman" w:cs="Times New Roman" w:eastAsia="Times New Roman" w:hAnsi="Times New Roman"/>
          <w:sz w:val="18"/>
          <w:szCs w:val="18"/>
          <w:color w:val="auto"/>
        </w:rPr>
        <w:t>The Company enters into collaboration agreements under which it may obtain upfront payments, milestone payments, royalty payments and other fees. Promises under these arrangements may include research licenses, research services, including selection campaign research services for certain replacement targets, the obligation to share information during the research and the participation of alliance managers and in joint research committees, joint patent committees and joint steering committees. The Company assesses these promises within the context of the agreements to determine the performance obligations.</w:t>
      </w:r>
    </w:p>
    <w:p>
      <w:pPr>
        <w:spacing w:after="0" w:line="75" w:lineRule="exact"/>
        <w:rPr>
          <w:sz w:val="20"/>
          <w:szCs w:val="20"/>
          <w:color w:val="auto"/>
        </w:rPr>
      </w:pPr>
    </w:p>
    <w:p>
      <w:pPr>
        <w:ind w:right="300" w:firstLine="510"/>
        <w:spacing w:after="0" w:line="255" w:lineRule="auto"/>
        <w:rPr>
          <w:sz w:val="20"/>
          <w:szCs w:val="20"/>
          <w:color w:val="auto"/>
        </w:rPr>
      </w:pPr>
      <w:r>
        <w:rPr>
          <w:rFonts w:ascii="Times New Roman" w:cs="Times New Roman" w:eastAsia="Times New Roman" w:hAnsi="Times New Roman"/>
          <w:sz w:val="18"/>
          <w:szCs w:val="18"/>
          <w:color w:val="auto"/>
        </w:rPr>
        <w:t>Research and collaboration licenses: If a license is determined to be distinct from the other promises identified in the arrangement, the Company recognizes revenue from upfront payments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payments. The Company evaluates the measure of proportional performance each reporting period and, if necessary, adjusts the measure of performance and related revenue recognition.</w:t>
      </w:r>
    </w:p>
    <w:p>
      <w:pPr>
        <w:spacing w:after="0" w:line="81"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Milestone payments: At the inception of each arrangement that includes research, development, or regulatory milestone payments, the Company 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amount is included in the transaction price.</w:t>
      </w:r>
    </w:p>
    <w:p>
      <w:pPr>
        <w:spacing w:after="0" w:line="75"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Sales-based milestones and royalties: For arrangements that include sales-based milestone or royalty payments based on the level of sales, and in 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72"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Customer options: Customer options, such as options granted to allow a licensee to extend a license or research term, to select additional research targets or to choose to research, develop and commercialize licensed compounds are evaluated at contract inception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As a practical alternative to estimating the standalone selling price of a material right when the underlying goods or services are both (i) similar to the original goods or services in the contract and (ii) provided in accordance with the terms of the original contract, the Company allocates the total amount of consideration expected to be received from the customer to the total goods or services expected to be provided to the customer. Amounts allocated to any material right are recognized as revenue when or as the related future goods or services are transferred or when the option expires.</w:t>
      </w:r>
    </w:p>
    <w:p>
      <w:pPr>
        <w:spacing w:after="0" w:line="80"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Deferred revenue, which is a contract liability, represents net amounts received by the Company for which the related revenues have not been recognized because one or more of the revenue recognition criteria have not been met. The current portion of deferred revenue represents the amount to be recognized within one year from the condensed consolidated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92" w:lineRule="exact"/>
        <w:rPr>
          <w:sz w:val="20"/>
          <w:szCs w:val="20"/>
          <w:color w:val="auto"/>
        </w:rPr>
      </w:pPr>
    </w:p>
    <w:p>
      <w:pPr>
        <w:ind w:firstLine="510"/>
        <w:spacing w:after="0" w:line="223" w:lineRule="exact"/>
        <w:rPr>
          <w:sz w:val="20"/>
          <w:szCs w:val="20"/>
          <w:color w:val="auto"/>
        </w:rPr>
      </w:pPr>
      <w:r>
        <w:rPr>
          <w:rFonts w:ascii="Times New Roman" w:cs="Times New Roman" w:eastAsia="Times New Roman" w:hAnsi="Times New Roman"/>
          <w:sz w:val="17"/>
          <w:szCs w:val="17"/>
          <w:color w:val="auto"/>
        </w:rPr>
        <w:t>In December 2019, the Financial Accounting Standards Board (FASB) issued Accounting Standard Update (ASU) No. 2019</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(Topic 740)—Simplifying the Accounting for Income Taxes </w:t>
      </w:r>
      <w:r>
        <w:rPr>
          <w:rFonts w:ascii="Times New Roman" w:cs="Times New Roman" w:eastAsia="Times New Roman" w:hAnsi="Times New Roman"/>
          <w:sz w:val="17"/>
          <w:szCs w:val="17"/>
          <w:color w:val="auto"/>
        </w:rPr>
        <w:t>(ASU 2019-12), which is intended to simplify accounting for income taxes and eliminate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exceptions from Topic 740 related to the approach for intraperiod tax allocation, the methodology for calculating income taxes in an interim period and the recognition of deferred tax liabilities for outside basis differences. ASU 2019-12 also requires the amount of tax that is based on income to be accounted for under Topic 740 as an income-based tax, with any incremental amount accounted for as a non-income-based tax recognized entirely in the period incurred. The Company adopted ASU 2019-12 as of December 1, 2021 using the modified retrospective method, and recognized an immaterial non-income-based tax within operating expenses in the current period. The adoption had no other impact on the Company’s condensed consolidated financial statements.</w:t>
      </w:r>
    </w:p>
    <w:p>
      <w:pPr>
        <w:spacing w:after="0" w:line="90"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(ASU 2016-02), which requires the lessee to recognize a ROU asset and a lease liability for operating leases, initially measured at the present value of lease payments, in its consolidated balance sheet. On November 30, 2021, the Company adopted ASU 2016-02 using the alternative modified transition method effective as of December 1, 2020. As a result, the Company has retrospectively changed its previously issued condensed consolidated financial statements as of August 31, 2021 and for the three and nine months ended August 31, 2021 as presented in its August 31, 2021 Quarterly Report on Form 10-Q to reflect the adoption of Topic 842 on December 1, 2020. The condensed consolidated financial statements for the three and nine months ended August 31, 2021 presented herein differ from the Company’s condensed consolidated financial statements included in its August 31, 2021 Quarterly Report on Form 10-Q, as those financial statements were prepared using the former accounting standard referred to as ASC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right="320" w:firstLine="51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effect of the adoption of Topic 842 on the condensed consolidated balance sheet as of December 1, 2020 (in thousands):</w:t>
      </w:r>
    </w:p>
    <w:tbl>
      <w:tblPr>
        <w:tblLayout w:type="fixed"/>
        <w:tblInd w:w="0" w:type="dxa"/>
        <w:tblCellMar>
          <w:top w:w="0" w:type="dxa"/>
          <w:left w:w="0" w:type="dxa"/>
          <w:bottom w:w="0" w:type="dxa"/>
          <w:right w:w="0" w:type="dxa"/>
        </w:tblCellMar>
      </w:tblPr>
      <w:tr>
        <w:trPr>
          <w:trHeight w:val="137"/>
        </w:trPr>
        <w:tc>
          <w:tcPr>
            <w:tcW w:w="7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95"/>
              <w:spacing w:after="0" w:line="137"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right"/>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Impact of Topic</w:t>
            </w:r>
          </w:p>
        </w:tc>
        <w:tc>
          <w:tcPr>
            <w:tcW w:w="160" w:type="dxa"/>
            <w:vAlign w:val="bottom"/>
          </w:tcPr>
          <w:p>
            <w:pPr>
              <w:spacing w:after="0"/>
              <w:rPr>
                <w:sz w:val="11"/>
                <w:szCs w:val="11"/>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842 Adoption</w:t>
            </w: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effect of the adoption of Topic 842 on the condensed consolidated statement of cash flows for the nine months ended August 31, 2021 (in thousands):</w:t>
      </w:r>
    </w:p>
    <w:tbl>
      <w:tblPr>
        <w:tblLayout w:type="fixed"/>
        <w:tblInd w:w="0" w:type="dxa"/>
        <w:tblCellMar>
          <w:top w:w="0" w:type="dxa"/>
          <w:left w:w="0" w:type="dxa"/>
          <w:bottom w:w="0" w:type="dxa"/>
          <w:right w:w="0" w:type="dxa"/>
        </w:tblCellMar>
      </w:tblPr>
      <w:tr>
        <w:trPr>
          <w:trHeight w:val="137"/>
        </w:trPr>
        <w:tc>
          <w:tcPr>
            <w:tcW w:w="53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97"/>
              <w:spacing w:after="0" w:line="137"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Impact of Topic</w:t>
            </w:r>
          </w:p>
        </w:tc>
        <w:tc>
          <w:tcPr>
            <w:tcW w:w="160" w:type="dxa"/>
            <w:vAlign w:val="bottom"/>
          </w:tcPr>
          <w:p>
            <w:pPr>
              <w:spacing w:after="0"/>
              <w:rPr>
                <w:sz w:val="11"/>
                <w:szCs w:val="11"/>
                <w:color w:val="auto"/>
              </w:rPr>
            </w:pPr>
          </w:p>
        </w:tc>
        <w:tc>
          <w:tcPr>
            <w:tcW w:w="11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842 Adoption</w:t>
            </w:r>
          </w:p>
        </w:tc>
        <w:tc>
          <w:tcPr>
            <w:tcW w:w="1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2,439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(2,432)</w:t>
            </w:r>
          </w:p>
        </w:tc>
        <w:tc>
          <w:tcPr>
            <w:tcW w:w="0" w:type="dxa"/>
            <w:vAlign w:val="bottom"/>
          </w:tcPr>
          <w:p>
            <w:pPr>
              <w:spacing w:after="0"/>
              <w:rPr>
                <w:sz w:val="1"/>
                <w:szCs w:val="1"/>
                <w:color w:val="auto"/>
              </w:rPr>
            </w:pPr>
          </w:p>
        </w:tc>
      </w:tr>
      <w:tr>
        <w:trPr>
          <w:trHeight w:val="234"/>
        </w:trPr>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3"/>
        </w:trPr>
        <w:tc>
          <w:tcPr>
            <w:tcW w:w="5380" w:type="dxa"/>
            <w:vAlign w:val="bottom"/>
          </w:tcPr>
          <w:p>
            <w:pPr>
              <w:spacing w:after="0"/>
              <w:rPr>
                <w:sz w:val="24"/>
                <w:szCs w:val="24"/>
                <w:color w:val="auto"/>
              </w:rPr>
            </w:pPr>
          </w:p>
        </w:tc>
        <w:tc>
          <w:tcPr>
            <w:tcW w:w="164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3.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w:t>
      </w:r>
    </w:p>
    <w:p>
      <w:pPr>
        <w:spacing w:after="0" w:line="12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In June 2019, the Company entered into a global strategic collaboration agreement with Gilead, which was amended in August 2019 (the Gilead Agreement), to discover, develop and commercialize a pipeline of targeted protein degradation drugs for patients with cancer and other challenging diseases using the Company’s DELigase platform to identify novel agents that utilize E3 ligases to induce degradation of five specified drug targets. Under the Gilead Agreement, Gilead has the option to license drug candidates directed to up to five targets resulting from the collaboration and is responsible for the clinical development and commercialization of drug candidates resulting from the collaboration. The Company retains the option to co-develop and co-promote, under a profit share structure, up to two drug candidates in the United States under certain conditions and subject to certain limitations. The collaboration excludes the Company’s current internal protein degradation programs for which the Company retains all rights, and also excludes the Company’s future internal programs, provided that the Company has distinguished future programs as excluded from the scope of the collaboration. In August 2019 and September 2022, the Company entered into a first amendment and a second amendment, respectively, to the collaboration agreement with Gilead to clarify certain language of the Gilead Agreement. These amendments had no impact on revenue recognition.</w:t>
      </w:r>
    </w:p>
    <w:p>
      <w:pPr>
        <w:spacing w:after="0" w:line="86"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Upon signing the Gilead Agreement, Gilead paid the Company an upfront payment of $45.0 million plus $3.0 million in additional fees. In addition, from the signing of the Gilead Agreement to August 31, 2022, the Company has received payments of $32.0 million for research milestones and additional payments. Additionally, the Company recognized a research milestone in August 2022 and anticipates a payment of $2.5 million in the fourth fiscal quarter of 2022. As of August 31, 2022, the Company is eligible to receive up to approximately $2.3 billion in total additional payments based on certain additional fees, payments and the successful completion of certain preclinical, clinical, development and sales milestones. In addition, the Company is eligible to receive tiered royalties from mid-single digit to low tens percentages on annual net sales from any commercial products directed to the optioned collaboration targets, subject to certain reductions and excluding sales in the United States of any products for which the Company exercises its option to co-develop and co-promote, for which the Company and Gilead share profits and losses evenly.</w:t>
      </w:r>
    </w:p>
    <w:p>
      <w:pPr>
        <w:spacing w:after="0" w:line="84"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The Company re-evaluates the transaction price in each reporting period and as uncertain events are resolved or other changes in circumstances occur. The Company determined that the transaction price at the inception of the Gilead Agreement consisted of the upfront payment of $45.0 million and $3.0 million in additional fees. Upon the achievement of research milestones and additional fees related to target reservations, $34.5 million in variable consideration, which includes $2.5 million added during the three months ended August 31, 2022, was added to the transaction price, and a cumulative effect was recorded as revenue in the period the transaction price increased. The transaction price is recognized as collaboration revenue using the cost-based input method over the estimated contract term of five years.</w:t>
      </w:r>
    </w:p>
    <w:p>
      <w:pPr>
        <w:spacing w:after="0" w:line="79"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For the three and nine months ended August 31, 2022, the Company recognized collaboration revenue related to the Gilead Agreement of $7.2 million and $19.5 million, respectively, of which $5.6 million and $14.3 million, respectively, was included in deferred revenue as of November 30, 2021, and $0.6 million and $4.1 million, respectively, was related to activities satisfied in previous periods. For the three and nine months ended August 31, 2021, the Company recognized collaboration revenue related to the Gilead Agreement of $6.1 million and $12.5 million, respectively, of which $4.0 million and $9.6 million, respectively, was included in deferred revenue as of November 30, 2020, and $1.2 million and $1.9 million, respectively, was related to activities satisfied in previous periods. As of August 31, 2022, deferred revenue related to the Gilead Agreement was $29.1 million, of which $15.9 million was current and includes $2.5 million in contract assets representing the unbilled amount related to the research milestone recognized in August 2022. As of November 30, 2021, deferred revenue related to the Gilead Agreement was $41.1 million, of which $19.9 million was current. Additionally, as of November 30, 2021, $6.0 million was recorded in accounts receivable representing the billed amount related to the research milestones recognized in November 2021.</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Sanofi</w:t>
      </w:r>
    </w:p>
    <w:p>
      <w:pPr>
        <w:spacing w:after="0" w:line="121" w:lineRule="exact"/>
        <w:rPr>
          <w:sz w:val="20"/>
          <w:szCs w:val="20"/>
          <w:color w:val="auto"/>
        </w:rPr>
      </w:pPr>
    </w:p>
    <w:p>
      <w:pPr>
        <w:ind w:right="20" w:firstLine="514"/>
        <w:spacing w:after="0" w:line="268" w:lineRule="auto"/>
        <w:rPr>
          <w:sz w:val="20"/>
          <w:szCs w:val="20"/>
          <w:color w:val="auto"/>
        </w:rPr>
      </w:pPr>
      <w:r>
        <w:rPr>
          <w:rFonts w:ascii="Times New Roman" w:cs="Times New Roman" w:eastAsia="Times New Roman" w:hAnsi="Times New Roman"/>
          <w:sz w:val="17"/>
          <w:szCs w:val="17"/>
          <w:color w:val="auto"/>
        </w:rPr>
        <w:t>In December 2019, the Company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the Company’s DELigase platform to identify small molecules designed to induce degradation of three specified initial drug targets. In January 2021, as part of the existing collaboration agreement, Sanofi paid the Company $22.0 million to exercise its option to expand the number of targets in the collaboration agreement from three to a total of five targets. In January 2021, the Company and Sanofi entered into a first amendment to the collaboration agreement to modify the research term on all targets (the First Sanofi Amendment). Over time and subject to certain limitations, Sanofi may elect to replace the drug targets with other reserved targets. In December 2021, the Company and Sanofi entered into a second amendment to extend the substitution deadline on certain targets. Under the Sanofi Agreement, Sanofi has exclusive rights and is responsible for the clinical development, commercialization and manufacture of drug candidates resulting from the collaboration, while the Company retains the option to co-develop, co-promote and co-commercialize up to two targets, subject to certain conditions and limitations. In July 2022, the Company entered into a third amendment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the Company entered into a fourth amendment to modify the research plan for a certain target, which had no impact on revenue recognition.</w:t>
      </w:r>
    </w:p>
    <w:p>
      <w:pPr>
        <w:spacing w:after="0" w:line="76" w:lineRule="exact"/>
        <w:rPr>
          <w:sz w:val="20"/>
          <w:szCs w:val="20"/>
          <w:color w:val="auto"/>
        </w:rPr>
      </w:pPr>
    </w:p>
    <w:p>
      <w:pPr>
        <w:ind w:firstLine="514"/>
        <w:spacing w:after="0" w:line="254" w:lineRule="auto"/>
        <w:rPr>
          <w:sz w:val="20"/>
          <w:szCs w:val="20"/>
          <w:color w:val="auto"/>
        </w:rPr>
      </w:pPr>
      <w:r>
        <w:rPr>
          <w:rFonts w:ascii="Times New Roman" w:cs="Times New Roman" w:eastAsia="Times New Roman" w:hAnsi="Times New Roman"/>
          <w:sz w:val="18"/>
          <w:szCs w:val="18"/>
          <w:color w:val="auto"/>
        </w:rPr>
        <w:t>Upon signing the Sanofi Agreement, Sanofi paid the Company an upfront payment of $55.0 million. Subsequently, in January 2021, Sanofi paid the Company an additional $22.0 million to exercise its option to expand the number of targets beyond the initial targets included in the collaboration. In addition, from the signing of the Sanofi Agreement to August 31, 2022, the Company has received payments of $3.0 million for research milestones. As of August 31, 2022, the Company is eligible to receive up to approximately $2.5 billion in total additional payments based on certain additional fees, payments and the successful completion of certain research development, regulatory and sales milestones, as well as tiered royalties ranging from mid-single digit to low teen percentages on annual net sales of any commercial products that may result from the collaboration, subject to certain reductions and excluding sales in the United States of any products for which the Company exercises its option to co-develop and co-promote, for which the parties share profits and losses evenly.</w:t>
      </w:r>
    </w:p>
    <w:p>
      <w:pPr>
        <w:spacing w:after="0" w:line="84" w:lineRule="exact"/>
        <w:rPr>
          <w:sz w:val="20"/>
          <w:szCs w:val="20"/>
          <w:color w:val="auto"/>
        </w:rPr>
      </w:pPr>
    </w:p>
    <w:p>
      <w:pPr>
        <w:ind w:right="40" w:firstLine="510"/>
        <w:spacing w:after="0" w:line="274" w:lineRule="auto"/>
        <w:rPr>
          <w:sz w:val="20"/>
          <w:szCs w:val="20"/>
          <w:color w:val="auto"/>
        </w:rPr>
      </w:pPr>
      <w:r>
        <w:rPr>
          <w:rFonts w:ascii="Times New Roman" w:cs="Times New Roman" w:eastAsia="Times New Roman" w:hAnsi="Times New Roman"/>
          <w:sz w:val="17"/>
          <w:szCs w:val="17"/>
          <w:color w:val="auto"/>
        </w:rPr>
        <w:t>The Company re-evaluates the transaction price in each reporting period and as uncertain events are resolved or other changes in circumstances occur. At the inception of the Sanofi Agreement, the Company determined that the transaction price consisted of the upfront payment of $55.0 million for three initial drug targets and $22.0 million for two additional targets. Subsequently, upon the achievement of research milestones, $3.0 million in variable consideration was added to the transaction price, and a cumulative effect was recorded as revenue in the period the transaction price increased. Revenue is recognized using the cost-based input method over the research term of 4.25 years, the revised research period that was agreed to in January 2021 in the First Sanofi Amendment for certain targets, and 5.25 years, the revised research period due to the target substitutions in July 2022, for certain other targets.</w:t>
      </w:r>
    </w:p>
    <w:p>
      <w:pPr>
        <w:spacing w:after="0" w:line="65" w:lineRule="exact"/>
        <w:rPr>
          <w:sz w:val="20"/>
          <w:szCs w:val="20"/>
          <w:color w:val="auto"/>
        </w:rPr>
      </w:pPr>
    </w:p>
    <w:p>
      <w:pPr>
        <w:ind w:right="40" w:firstLine="510"/>
        <w:spacing w:after="0" w:line="274" w:lineRule="auto"/>
        <w:rPr>
          <w:sz w:val="20"/>
          <w:szCs w:val="20"/>
          <w:color w:val="auto"/>
        </w:rPr>
      </w:pPr>
      <w:r>
        <w:rPr>
          <w:rFonts w:ascii="Times New Roman" w:cs="Times New Roman" w:eastAsia="Times New Roman" w:hAnsi="Times New Roman"/>
          <w:sz w:val="17"/>
          <w:szCs w:val="17"/>
          <w:color w:val="auto"/>
        </w:rPr>
        <w:t>For the three and nine months ended August 31, 2022, the Company recognized collaboration revenue related to the Sanofi Agreement of $3.6 million and $12.4 million, respectively, of which $3.6 million and $11.8 million, respectively, was included in deferred revenue as of November 30, 2021 and zero and $0.4 million, respectively, was related to activities satisfied in previous periods. For the three and nine months ended August 31, 2021, the Company recognized collaboration revenue related to the Sanofi Agreement of $4.2 million and $9.8 million, respectively, of which $4.0 million and $9.6 million, respectively, was included in deferred revenue as of November 30, 2020. As of August 31, 2022 and November 30, 2021, deferred revenue related to the Sanofi Agreement was $48.8 million, of which $20.5 million was current, and $59.2 million, of which $21.3 million was current, respectively.</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4. Condensed Consolidated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73"/>
        </w:trPr>
        <w:tc>
          <w:tcPr>
            <w:tcW w:w="4940" w:type="dxa"/>
            <w:vAlign w:val="bottom"/>
            <w:tcBorders>
              <w:bottom w:val="single" w:sz="8" w:color="CFF0FC"/>
            </w:tcBorders>
          </w:tcPr>
          <w:p>
            <w:pPr>
              <w:spacing w:after="0"/>
              <w:rPr>
                <w:sz w:val="15"/>
                <w:szCs w:val="15"/>
                <w:color w:val="auto"/>
              </w:rPr>
            </w:pPr>
          </w:p>
        </w:tc>
        <w:tc>
          <w:tcPr>
            <w:tcW w:w="13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r>
      <w:tr>
        <w:trPr>
          <w:trHeight w:val="22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19"/>
                <w:szCs w:val="19"/>
                <w:color w:val="auto"/>
              </w:rPr>
            </w:pPr>
          </w:p>
        </w:tc>
      </w:tr>
      <w:tr>
        <w:trPr>
          <w:trHeight w:val="22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FF0FC"/>
          </w:tcPr>
          <w:p>
            <w:pPr>
              <w:spacing w:after="0"/>
              <w:rPr>
                <w:sz w:val="19"/>
                <w:szCs w:val="19"/>
                <w:color w:val="auto"/>
              </w:rPr>
            </w:pP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shd w:val="clear" w:color="auto" w:fill="CFF0FC"/>
          </w:tcPr>
          <w:p>
            <w:pPr>
              <w:spacing w:after="0"/>
              <w:rPr>
                <w:sz w:val="19"/>
                <w:szCs w:val="19"/>
                <w:color w:val="auto"/>
              </w:rPr>
            </w:pPr>
          </w:p>
        </w:tc>
      </w:tr>
      <w:tr>
        <w:trPr>
          <w:trHeight w:val="229"/>
        </w:trPr>
        <w:tc>
          <w:tcPr>
            <w:tcW w:w="49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Software in progress</w:t>
            </w:r>
          </w:p>
        </w:tc>
        <w:tc>
          <w:tcPr>
            <w:tcW w:w="13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FF0FC"/>
            </w:tcBorders>
          </w:tcPr>
          <w:p>
            <w:pPr>
              <w:spacing w:after="0"/>
              <w:rPr>
                <w:sz w:val="19"/>
                <w:szCs w:val="19"/>
                <w:color w:val="auto"/>
              </w:rPr>
            </w:pPr>
          </w:p>
        </w:tc>
      </w:tr>
      <w:tr>
        <w:trPr>
          <w:trHeight w:val="223"/>
        </w:trPr>
        <w:tc>
          <w:tcPr>
            <w:tcW w:w="4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26,219</w:t>
            </w:r>
          </w:p>
        </w:tc>
        <w:tc>
          <w:tcPr>
            <w:tcW w:w="100" w:type="dxa"/>
            <w:vAlign w:val="bottom"/>
            <w:shd w:val="clear" w:color="auto" w:fill="CFF0FC"/>
          </w:tcPr>
          <w:p>
            <w:pPr>
              <w:spacing w:after="0"/>
              <w:rPr>
                <w:sz w:val="19"/>
                <w:szCs w:val="19"/>
                <w:color w:val="auto"/>
              </w:rPr>
            </w:pPr>
          </w:p>
        </w:tc>
      </w:tr>
      <w:tr>
        <w:trPr>
          <w:trHeight w:val="22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(14,879)</w:t>
            </w:r>
          </w:p>
        </w:tc>
      </w:tr>
      <w:tr>
        <w:trPr>
          <w:trHeight w:val="223"/>
        </w:trPr>
        <w:tc>
          <w:tcPr>
            <w:tcW w:w="49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right="60" w:firstLine="510"/>
        <w:spacing w:after="0" w:line="312" w:lineRule="auto"/>
        <w:rPr>
          <w:sz w:val="20"/>
          <w:szCs w:val="20"/>
          <w:color w:val="auto"/>
        </w:rPr>
      </w:pPr>
      <w:r>
        <w:rPr>
          <w:rFonts w:ascii="Times New Roman" w:cs="Times New Roman" w:eastAsia="Times New Roman" w:hAnsi="Times New Roman"/>
          <w:sz w:val="17"/>
          <w:szCs w:val="17"/>
          <w:color w:val="auto"/>
        </w:rPr>
        <w:t>Depreciation and amortization expense was $1.5 million and $0.7 million for the three months ended August 31, 2022 and 2021, respectively, and $3.7 million and $2.0 million for the nine months ended August 31, 2022 and 2021, respectively. All long-lived assets are maintained in the United States.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173"/>
        </w:trPr>
        <w:tc>
          <w:tcPr>
            <w:tcW w:w="628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r>
      <w:tr>
        <w:trPr>
          <w:trHeight w:val="223"/>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20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10,312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8,854</w:t>
            </w:r>
          </w:p>
        </w:tc>
        <w:tc>
          <w:tcPr>
            <w:tcW w:w="100" w:type="dxa"/>
            <w:vAlign w:val="bottom"/>
            <w:shd w:val="clear" w:color="auto" w:fill="CFF0FC"/>
          </w:tcPr>
          <w:p>
            <w:pPr>
              <w:spacing w:after="0"/>
              <w:rPr>
                <w:sz w:val="19"/>
                <w:szCs w:val="19"/>
                <w:color w:val="auto"/>
              </w:rPr>
            </w:pPr>
          </w:p>
        </w:tc>
      </w:tr>
      <w:tr>
        <w:trPr>
          <w:trHeight w:val="229"/>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research and lab supplies</w:t>
            </w:r>
          </w:p>
        </w:tc>
        <w:tc>
          <w:tcPr>
            <w:tcW w:w="1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2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shd w:val="clear" w:color="auto" w:fill="CFF0FC"/>
          </w:tcPr>
          <w:p>
            <w:pPr>
              <w:spacing w:after="0"/>
              <w:rPr>
                <w:sz w:val="19"/>
                <w:szCs w:val="19"/>
                <w:color w:val="auto"/>
              </w:rPr>
            </w:pP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1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r>
      <w:tr>
        <w:trPr>
          <w:trHeight w:val="23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FF0FC"/>
          </w:tcPr>
          <w:p>
            <w:pPr>
              <w:spacing w:after="0"/>
              <w:rPr>
                <w:sz w:val="19"/>
                <w:szCs w:val="19"/>
                <w:color w:val="auto"/>
              </w:rPr>
            </w:pPr>
          </w:p>
        </w:tc>
      </w:tr>
      <w:tr>
        <w:trPr>
          <w:trHeight w:val="223"/>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19,609</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In accordance with the authoritative guidance on fair value measurements and disclosures under U.S. GAAP, the Company discloses and recognizes the fair value of its assets and liabilities using a hierarchy that prioritizes the inputs to valuation techniques used to measure fair value.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75"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Level 1—Inputs that reflect unadjusted quoted prices in active markets for identical assets or liabilities that the Company has the ability to access at the measurement date;</w:t>
      </w:r>
    </w:p>
    <w:p>
      <w:pPr>
        <w:spacing w:after="0" w:line="54" w:lineRule="exact"/>
        <w:rPr>
          <w:sz w:val="20"/>
          <w:szCs w:val="20"/>
          <w:color w:val="auto"/>
        </w:rPr>
      </w:pPr>
    </w:p>
    <w:p>
      <w:pPr>
        <w:ind w:left="520" w:right="100"/>
        <w:spacing w:after="0" w:line="282" w:lineRule="auto"/>
        <w:rPr>
          <w:sz w:val="20"/>
          <w:szCs w:val="20"/>
          <w:color w:val="auto"/>
        </w:rPr>
      </w:pPr>
      <w:r>
        <w:rPr>
          <w:rFonts w:ascii="Times New Roman" w:cs="Times New Roman" w:eastAsia="Times New Roman" w:hAnsi="Times New Roman"/>
          <w:sz w:val="18"/>
          <w:szCs w:val="18"/>
          <w:color w:val="auto"/>
        </w:rPr>
        <w:t>Level 2—Inputs other than quoted prices included within Level 1 that are observable for the asset or liability either directly or indirectly, including inputs in markets that are not considered to be active; and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that are unobservable.</w:t>
      </w:r>
    </w:p>
    <w:p>
      <w:pPr>
        <w:spacing w:after="0" w:line="117" w:lineRule="exact"/>
        <w:rPr>
          <w:sz w:val="20"/>
          <w:szCs w:val="20"/>
          <w:color w:val="auto"/>
        </w:rPr>
      </w:pPr>
    </w:p>
    <w:p>
      <w:pPr>
        <w:ind w:right="340" w:firstLine="510"/>
        <w:spacing w:after="0" w:line="266"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17" w:name="page18"/>
    <w:bookmarkEnd w:id="17"/>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investments, which consist of cash equivalents and available-for-sale marketable securities, that are measured at fair value on a recurring basis as of August 31, 2022 and November 30, 2021 (in thousands):</w:t>
      </w:r>
    </w:p>
    <w:p>
      <w:pPr>
        <w:spacing w:after="0" w:line="6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August 31, 2022</w:t>
            </w:r>
          </w:p>
        </w:tc>
        <w:tc>
          <w:tcPr>
            <w:tcW w:w="10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3"/>
                <w:szCs w:val="13"/>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4660" w:type="dxa"/>
            <w:vAlign w:val="bottom"/>
            <w:gridSpan w:val="4"/>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580" w:type="dxa"/>
            <w:vAlign w:val="bottom"/>
            <w:tcBorders>
              <w:top w:val="single" w:sz="8" w:color="auto"/>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Level 1</w:t>
            </w: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44,738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44,738</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9"/>
              </w:rPr>
              <w:t>Level 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90,301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87,289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86,208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commercial paper</w:t>
            </w:r>
          </w:p>
        </w:tc>
        <w:tc>
          <w:tcPr>
            <w:tcW w:w="100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85,539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85,539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Foreign government securities</w:t>
            </w:r>
          </w:p>
        </w:tc>
        <w:tc>
          <w:tcPr>
            <w:tcW w:w="1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00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4,655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Level 1</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5,734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14,854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49,816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(714)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49,106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60" w:type="dxa"/>
            <w:vAlign w:val="bottom"/>
            <w:tcBorders>
              <w:bottom w:val="single" w:sz="8" w:color="CFF0FC"/>
            </w:tcBorders>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414,526</w:t>
            </w:r>
          </w:p>
        </w:tc>
        <w:tc>
          <w:tcPr>
            <w:tcW w:w="1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410,785</w:t>
            </w: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44,738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44,738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Included in Short-term marketable securities</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299,384</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Included in Long-term marketable securities</w:t>
            </w: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70,404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69,125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46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November 30, 2021</w:t>
            </w:r>
          </w:p>
        </w:tc>
        <w:tc>
          <w:tcPr>
            <w:tcW w:w="10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24"/>
                <w:szCs w:val="24"/>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4660" w:type="dxa"/>
            <w:vAlign w:val="bottom"/>
            <w:gridSpan w:val="4"/>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4540" w:type="dxa"/>
            <w:vAlign w:val="bottom"/>
            <w:tcBorders>
              <w:top w:val="single" w:sz="8" w:color="auto"/>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w w:val="99"/>
              </w:rPr>
              <w:t>Level 1</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73,438</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73,438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Level 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46,599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commercial paper</w:t>
            </w:r>
          </w:p>
        </w:tc>
        <w:tc>
          <w:tcPr>
            <w:tcW w:w="100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121,495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121,495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Level 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74,334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73,969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Municipal securities</w:t>
            </w:r>
          </w:p>
        </w:tc>
        <w:tc>
          <w:tcPr>
            <w:tcW w:w="100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60" w:type="dxa"/>
            <w:vAlign w:val="bottom"/>
            <w:tcBorders>
              <w:bottom w:val="single" w:sz="8" w:color="CFF0FC"/>
            </w:tcBorders>
            <w:gridSpan w:val="4"/>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426,449</w:t>
            </w:r>
          </w:p>
        </w:tc>
        <w:tc>
          <w:tcPr>
            <w:tcW w:w="2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11</w:t>
            </w:r>
          </w:p>
        </w:tc>
        <w:tc>
          <w:tcPr>
            <w:tcW w:w="2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425,841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Included in Cash and cash equivalents</w:t>
            </w: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73,438</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gridSpan w:val="2"/>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73,438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Included in Short-term marketable securities</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215,280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11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gridSpan w:val="4"/>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Included in Long-term marketable securities</w:t>
            </w: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137,731</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137,189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600" w:firstLine="510"/>
        <w:spacing w:after="0" w:line="282" w:lineRule="auto"/>
        <w:rPr>
          <w:sz w:val="20"/>
          <w:szCs w:val="20"/>
          <w:color w:val="auto"/>
        </w:rPr>
      </w:pPr>
      <w:r>
        <w:rPr>
          <w:rFonts w:ascii="Times New Roman" w:cs="Times New Roman" w:eastAsia="Times New Roman" w:hAnsi="Times New Roman"/>
          <w:sz w:val="18"/>
          <w:szCs w:val="18"/>
          <w:color w:val="auto"/>
        </w:rPr>
        <w:t>The accrued interest receivable related to the Company’s marketable securities was $1.1 million and $0.9 million as of August 31, 2022 and November 30, 2021, respectively, and was included in prepaid expenses and other current assets on the condensed consolidated balance sheet.</w:t>
      </w:r>
    </w:p>
    <w:p>
      <w:pPr>
        <w:spacing w:after="0" w:line="54"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and U.S. treasury securities, which are valued based on quoted market prices in active markets with no valuation adjustment, as Level 1 assets within the fair value hierarchy.</w:t>
      </w:r>
    </w:p>
    <w:p>
      <w:pPr>
        <w:spacing w:after="0" w:line="54"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The Company classifies its marketable securities in corporate debt securities, U.S. government agency securities, corporate commercial paper, foreign government securities and municipal securities as Level 2 assets within the fair value hierarchy. The fair values of these marketable securities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 There were no transfers of financial instruments between valuation levels during the three and nine months ended August 31, 2022 and 2021.</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18" w:name="page19"/>
    <w:bookmarkEnd w:id="18"/>
    <w:p>
      <w:pPr>
        <w:ind w:firstLine="510"/>
        <w:spacing w:after="0" w:line="258" w:lineRule="auto"/>
        <w:rPr>
          <w:sz w:val="20"/>
          <w:szCs w:val="20"/>
          <w:color w:val="auto"/>
        </w:rPr>
      </w:pPr>
      <w:r>
        <w:rPr>
          <w:rFonts w:ascii="Times New Roman" w:cs="Times New Roman" w:eastAsia="Times New Roman" w:hAnsi="Times New Roman"/>
          <w:sz w:val="18"/>
          <w:szCs w:val="18"/>
          <w:color w:val="auto"/>
        </w:rPr>
        <w:t>As of August 31, 2022 and November 30, 2021, the unrealized losses for available-for-sale securities were non-credit related, and the Company does not intend to sell the securities that were in an unrealized loss position, nor will it be required to sell those securities before recovery of their amortized cost basis, which may be maturity. As of August 31, 2022 and November 30, 2021, no allowance for credit losses for the Company’s marketable securities was recorded. During the three and nine months ended August 31, 2022 and 2021, the Company did not recognize any impairment losses related to marketable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60" w:firstLine="510"/>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in the ordinary course of business. The Company accrues a liability for such matters when it is probable that future expenditures will be made and that such expenditures can be reasonably estimated. Significant judgment is required to determine both probability and the estimated amount. Legal fees and other costs associated with such actions are expensed as incurred. As of August 31, 2022, the Company was not a party to any material legal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often includes standard indemnification provisions in its arrangements with its partners, suppliers and vendors, among others.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incurred any material costs as a result of such indemnifications and has not accrued any liabilities related to such obligations in these condensed consolidated financial statements as management believes such liability is immaterial.</w:t>
      </w:r>
    </w:p>
    <w:p>
      <w:pPr>
        <w:spacing w:after="0" w:line="8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 The maximum potential amount of future payments the Company could be required to make under these indemnification agreements is not specified in the agreements. However, the Company currently has directors’ and officers’ insurance that reduces its exposure and may enable the Company to recover a portion of any future amounts paid.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 Company leases office and laboratory facilities within the same building in San Francisco, California under several lease agreements. The terms of these lease agreements expire on April 30, 2025.</w:t>
      </w:r>
    </w:p>
    <w:p>
      <w:pPr>
        <w:spacing w:after="0" w:line="54" w:lineRule="exact"/>
        <w:rPr>
          <w:sz w:val="20"/>
          <w:szCs w:val="20"/>
          <w:color w:val="auto"/>
        </w:rPr>
      </w:pPr>
    </w:p>
    <w:p>
      <w:pPr>
        <w:ind w:right="440" w:firstLine="510"/>
        <w:spacing w:after="0" w:line="266" w:lineRule="auto"/>
        <w:rPr>
          <w:sz w:val="20"/>
          <w:szCs w:val="20"/>
          <w:color w:val="auto"/>
        </w:rPr>
      </w:pPr>
      <w:r>
        <w:rPr>
          <w:rFonts w:ascii="Times New Roman" w:cs="Times New Roman" w:eastAsia="Times New Roman" w:hAnsi="Times New Roman"/>
          <w:sz w:val="18"/>
          <w:szCs w:val="18"/>
          <w:color w:val="auto"/>
        </w:rPr>
        <w:t>In July 2021, the Company entered into a lease agreement for the lease of approximately 19,320 square feet of office space in San Francisco, California, for a research and development laboratory and related uses. The lease commenced on December 1, 2021 and will expire on June 30, 2024, unless terminated earlier.</w:t>
      </w:r>
    </w:p>
    <w:p>
      <w:pPr>
        <w:spacing w:after="0" w:line="68" w:lineRule="exact"/>
        <w:rPr>
          <w:sz w:val="20"/>
          <w:szCs w:val="20"/>
          <w:color w:val="auto"/>
        </w:rPr>
      </w:pPr>
    </w:p>
    <w:p>
      <w:pPr>
        <w:ind w:right="20" w:firstLine="510"/>
        <w:spacing w:after="0" w:line="260" w:lineRule="auto"/>
        <w:rPr>
          <w:sz w:val="20"/>
          <w:szCs w:val="20"/>
          <w:color w:val="auto"/>
        </w:rPr>
      </w:pPr>
      <w:r>
        <w:rPr>
          <w:rFonts w:ascii="Times New Roman" w:cs="Times New Roman" w:eastAsia="Times New Roman" w:hAnsi="Times New Roman"/>
          <w:sz w:val="18"/>
          <w:szCs w:val="18"/>
          <w:color w:val="auto"/>
        </w:rPr>
        <w:t>In March 2022, the Company entered into a lease agreement for the lease of approximately 46,434 square feet of office space in The Woodlands, Texas, for a research and development laboratory and related uses. The Company obtained access to the premise on August 1, 2022, and the lease is expected to commence in fiscal year 2023 when the underlying assets become available for use and will expire on March 1, 2035, unless terminated earlier. The minimum rent payable by the Company under the lease will be approximately $205,000 per month, beginning on March 1, 2023, which amount will increase by 3% per year over the term of the lease; provided that, for the period between March 1, 2023 and February 29, 2024, the minimum rent payable by the Company under the lease will be approximately $154,000 per month. The Company will also be responsible for the payment of additional rent to cover the Company’s share of the annual operating and tax expenses and utilities costs for the building.</w:t>
      </w:r>
    </w:p>
    <w:p>
      <w:pPr>
        <w:spacing w:after="0" w:line="77" w:lineRule="exact"/>
        <w:rPr>
          <w:sz w:val="20"/>
          <w:szCs w:val="20"/>
          <w:color w:val="auto"/>
        </w:rPr>
      </w:pPr>
    </w:p>
    <w:p>
      <w:pPr>
        <w:jc w:val="both"/>
        <w:ind w:right="240" w:firstLine="510"/>
        <w:spacing w:after="0" w:line="266" w:lineRule="auto"/>
        <w:rPr>
          <w:sz w:val="20"/>
          <w:szCs w:val="20"/>
          <w:color w:val="auto"/>
        </w:rPr>
      </w:pPr>
      <w:r>
        <w:rPr>
          <w:rFonts w:ascii="Times New Roman" w:cs="Times New Roman" w:eastAsia="Times New Roman" w:hAnsi="Times New Roman"/>
          <w:sz w:val="18"/>
          <w:szCs w:val="18"/>
          <w:color w:val="auto"/>
        </w:rPr>
        <w:t>Operating lease expenses, excluding additional rent charges for utilities, maintenance and real estate taxes, were $1.5 million and $0.9 million for the three months ended August 31, 2022 and 2021, respectively, and $4.4 million and $2.6 million for the nine months ended August 31, 2022 and 2021, respectively. Short-term lease expense was not material for all periods presented.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color w:val="auto"/>
        </w:rPr>
        <w:t>Other information related to leases were as follows (in thousands):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Nine Months Ended August 31,</w:t>
            </w:r>
          </w:p>
        </w:tc>
      </w:tr>
      <w:tr>
        <w:trPr>
          <w:trHeight w:val="223"/>
        </w:trPr>
        <w:tc>
          <w:tcPr>
            <w:tcW w:w="65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69"/>
        </w:trPr>
        <w:tc>
          <w:tcPr>
            <w:tcW w:w="65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Cash flows from operating leases</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5,198</w:t>
            </w:r>
          </w:p>
        </w:tc>
        <w:tc>
          <w:tcPr>
            <w:tcW w:w="18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2,784</w:t>
            </w:r>
          </w:p>
        </w:tc>
      </w:tr>
      <w:tr>
        <w:trPr>
          <w:trHeight w:val="21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0"/>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Right-of-use assets recognized in exchange for lease obligations</w:t>
            </w: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5,060</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2,097</w:t>
            </w:r>
          </w:p>
        </w:tc>
      </w:tr>
      <w:tr>
        <w:trPr>
          <w:trHeight w:val="20"/>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740" w:firstLine="514"/>
        <w:spacing w:after="0" w:line="282" w:lineRule="auto"/>
        <w:rPr>
          <w:sz w:val="20"/>
          <w:szCs w:val="20"/>
          <w:color w:val="auto"/>
        </w:rPr>
      </w:pPr>
      <w:r>
        <w:rPr>
          <w:rFonts w:ascii="Times New Roman" w:cs="Times New Roman" w:eastAsia="Times New Roman" w:hAnsi="Times New Roman"/>
          <w:sz w:val="18"/>
          <w:szCs w:val="18"/>
          <w:color w:val="auto"/>
        </w:rPr>
        <w:t>The undiscounted future non-cancellable lease payments under the Company’s lease agreements as of August 31, 2022 were as follows (in thousands):</w:t>
      </w:r>
    </w:p>
    <w:p>
      <w:pPr>
        <w:spacing w:after="0" w:line="6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November 30,</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79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23"/>
        </w:trPr>
        <w:tc>
          <w:tcPr>
            <w:tcW w:w="77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(remaining 3 months)</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 to 2035</w:t>
            </w: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undiscounted lease payments related to the lease in The Woodlands, Texas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(34,314)</w:t>
            </w:r>
          </w:p>
        </w:tc>
        <w:tc>
          <w:tcPr>
            <w:tcW w:w="0" w:type="dxa"/>
            <w:vAlign w:val="bottom"/>
          </w:tcPr>
          <w:p>
            <w:pPr>
              <w:spacing w:after="0"/>
              <w:rPr>
                <w:sz w:val="1"/>
                <w:szCs w:val="1"/>
                <w:color w:val="auto"/>
              </w:rPr>
            </w:pPr>
          </w:p>
        </w:tc>
      </w:tr>
      <w:tr>
        <w:trPr>
          <w:trHeight w:val="223"/>
        </w:trPr>
        <w:tc>
          <w:tcPr>
            <w:tcW w:w="798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38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long-term liabilities</w:t>
            </w: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authorizes the Company to issue up to 500,000,000 shares of common stock, $0.001 par value per share, as of August 31, 2022 and November 30, 2021. Holders of common stock are entitled to dividends when and if declared by the Company’s board of directors, subject to the prior rights of the holders of shares of preferred stock. The holder of each share of common stock is entitled to one vote. As of August 31, 2022, no dividends have been declared.</w:t>
      </w:r>
    </w:p>
    <w:p>
      <w:pPr>
        <w:spacing w:after="0" w:line="72"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July 2022, the Company issued pre-funded warrants to purchase an aggregate of 6,814,920 shares of the Company’s common stock in RDOs at a price of $13.939 per pre-funded warrant. The pre-funded warrants were immediately exercisable, have an exercise price of $0.001 and may be exercised at any time after the date of issuance. A holder of pre-funded warrants may not exercise the warrant if the holder, together with its affiliates, would beneficially own more than 9.99% of the number of shares of the Company’s common stock outstanding immediately after giving effect to such exercise. A holder of the pre-funded warrants may increase or decrease this percentage not in excess of 19.99% by providing at least 61 days’ prior notice to the Company. As of August 31, 2022, all of the pre-funded warrants remained available for exercise.</w:t>
      </w:r>
    </w:p>
    <w:p>
      <w:pPr>
        <w:spacing w:after="0" w:line="79"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The pre-funded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net loss per share attributable to common stockholders because the shares may be issued for little or no consideration, are fully vested and are exercisable after the original issuance date of the pre-funded warrants.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color w:val="auto"/>
        </w:rPr>
        <w:t>Common stock reserved for future issuance, on an as-if converted basis, as of August 31, 2022 and November 30, 2021, consists of the following:</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9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18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November 30,</w:t>
            </w:r>
          </w:p>
        </w:tc>
      </w:tr>
      <w:tr>
        <w:trPr>
          <w:trHeight w:val="213"/>
        </w:trPr>
        <w:tc>
          <w:tcPr>
            <w:tcW w:w="6360" w:type="dxa"/>
            <w:vAlign w:val="bottom"/>
            <w:tcBorders>
              <w:bottom w:val="single" w:sz="8" w:color="CFF0FC"/>
            </w:tcBorders>
          </w:tcPr>
          <w:p>
            <w:pPr>
              <w:spacing w:after="0"/>
              <w:rPr>
                <w:sz w:val="18"/>
                <w:szCs w:val="18"/>
                <w:color w:val="auto"/>
              </w:rPr>
            </w:pPr>
          </w:p>
        </w:tc>
        <w:tc>
          <w:tcPr>
            <w:tcW w:w="16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FF0FC"/>
            </w:tcBorders>
          </w:tcPr>
          <w:p>
            <w:pPr>
              <w:spacing w:after="0"/>
              <w:rPr>
                <w:sz w:val="18"/>
                <w:szCs w:val="18"/>
                <w:color w:val="auto"/>
              </w:rPr>
            </w:pPr>
          </w:p>
        </w:tc>
        <w:tc>
          <w:tcPr>
            <w:tcW w:w="16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8"/>
                <w:szCs w:val="18"/>
                <w:color w:val="auto"/>
              </w:rPr>
            </w:pPr>
          </w:p>
        </w:tc>
      </w:tr>
      <w:tr>
        <w:trPr>
          <w:trHeight w:val="22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under stock option plan issued and outstanding</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8,115,201</w:t>
            </w: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5,878,552</w:t>
            </w:r>
          </w:p>
        </w:tc>
        <w:tc>
          <w:tcPr>
            <w:tcW w:w="120" w:type="dxa"/>
            <w:vAlign w:val="bottom"/>
            <w:shd w:val="clear" w:color="auto" w:fill="CFF0FC"/>
          </w:tcPr>
          <w:p>
            <w:pPr>
              <w:spacing w:after="0"/>
              <w:rPr>
                <w:sz w:val="19"/>
                <w:szCs w:val="19"/>
                <w:color w:val="auto"/>
              </w:rPr>
            </w:pPr>
          </w:p>
        </w:tc>
      </w:tr>
      <w:tr>
        <w:trPr>
          <w:trHeight w:val="229"/>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future stock option grants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1,031,871</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2,562,570</w:t>
            </w:r>
          </w:p>
        </w:tc>
        <w:tc>
          <w:tcPr>
            <w:tcW w:w="120" w:type="dxa"/>
            <w:vAlign w:val="bottom"/>
          </w:tcPr>
          <w:p>
            <w:pPr>
              <w:spacing w:after="0"/>
              <w:rPr>
                <w:sz w:val="19"/>
                <w:szCs w:val="19"/>
                <w:color w:val="auto"/>
              </w:rPr>
            </w:pPr>
          </w:p>
        </w:tc>
      </w:tr>
      <w:tr>
        <w:trPr>
          <w:trHeight w:val="230"/>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available for issuance under employee stock purchase plan</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1,325,523</w:t>
            </w: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1,015,184</w:t>
            </w:r>
          </w:p>
        </w:tc>
        <w:tc>
          <w:tcPr>
            <w:tcW w:w="120" w:type="dxa"/>
            <w:vAlign w:val="bottom"/>
            <w:shd w:val="clear" w:color="auto" w:fill="CFF0FC"/>
          </w:tcPr>
          <w:p>
            <w:pPr>
              <w:spacing w:after="0"/>
              <w:rPr>
                <w:sz w:val="19"/>
                <w:szCs w:val="19"/>
                <w:color w:val="auto"/>
              </w:rPr>
            </w:pPr>
          </w:p>
        </w:tc>
      </w:tr>
      <w:tr>
        <w:trPr>
          <w:trHeight w:val="229"/>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issued and outstanding</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753,518</w:t>
            </w: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19"/>
                <w:szCs w:val="19"/>
                <w:color w:val="auto"/>
              </w:rPr>
            </w:pPr>
          </w:p>
        </w:tc>
      </w:tr>
      <w:tr>
        <w:trPr>
          <w:trHeight w:val="229"/>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Pre-funded warrants issued and outstanding</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6,814,920</w:t>
            </w:r>
          </w:p>
        </w:tc>
        <w:tc>
          <w:tcPr>
            <w:tcW w:w="2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18,041,033</w:t>
            </w:r>
          </w:p>
        </w:tc>
        <w:tc>
          <w:tcPr>
            <w:tcW w:w="28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9,476,306</w:t>
            </w:r>
          </w:p>
        </w:tc>
        <w:tc>
          <w:tcPr>
            <w:tcW w:w="12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jc w:val="both"/>
        <w:ind w:right="80" w:firstLine="510"/>
        <w:spacing w:after="0" w:line="266" w:lineRule="auto"/>
        <w:rPr>
          <w:sz w:val="20"/>
          <w:szCs w:val="20"/>
          <w:color w:val="auto"/>
        </w:rPr>
      </w:pPr>
      <w:r>
        <w:rPr>
          <w:rFonts w:ascii="Times New Roman" w:cs="Times New Roman" w:eastAsia="Times New Roman" w:hAnsi="Times New Roman"/>
          <w:sz w:val="18"/>
          <w:szCs w:val="18"/>
          <w:color w:val="auto"/>
        </w:rPr>
        <w:t>The Company’s 2020 Equity Incentive Plan (the 2020 Plan) serves as the successor to the Company’s 2012 Equity Incentive Plan (together with the 2020 Plan, the Stock Plans) and provides for the granting of stock options, stock appreciation rights, restricted stock awards, restricted stock units (RSUs), performance awards and stock bonus awards to employees, directors, consultants, independent contractors and advisors of the Company.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Option activity under the Stock Plans is set forth below:</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life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November 30, 2021</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5,878,552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24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65,692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Options 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3,000,206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Options exercised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(315,172)</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Options forfeited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(448,385)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August 31, 2022</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8,115,201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20,921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as of</w:t>
            </w: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2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August 31, 2022</w:t>
            </w:r>
            <w:r>
              <w:rPr>
                <w:rFonts w:ascii="Times New Roman" w:cs="Times New Roman" w:eastAsia="Times New Roman" w:hAnsi="Times New Roman"/>
                <w:sz w:val="15"/>
                <w:szCs w:val="15"/>
                <w:color w:val="auto"/>
              </w:rPr>
              <w:t>(2)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8,142,625</w:t>
            </w:r>
          </w:p>
        </w:tc>
        <w:tc>
          <w:tcPr>
            <w:tcW w:w="24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as of August 31, 2022</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3,195,076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00" w:right="220" w:hanging="492"/>
        <w:spacing w:after="0" w:line="199" w:lineRule="auto"/>
        <w:tabs>
          <w:tab w:leader="none" w:pos="50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aggregate intrinsic values were calculated as the pre-tax difference between the exercise price of stock options and the quoted market price of the Company’s common stock on August 31, 2022 for all in-the-money stock options.</w:t>
      </w:r>
    </w:p>
    <w:p>
      <w:pPr>
        <w:spacing w:after="0" w:line="91" w:lineRule="exact"/>
        <w:rPr>
          <w:rFonts w:ascii="Times New Roman" w:cs="Times New Roman" w:eastAsia="Times New Roman" w:hAnsi="Times New Roman"/>
          <w:sz w:val="29"/>
          <w:szCs w:val="29"/>
          <w:color w:val="auto"/>
          <w:vertAlign w:val="superscript"/>
        </w:rPr>
      </w:pPr>
    </w:p>
    <w:p>
      <w:pPr>
        <w:ind w:left="500" w:hanging="492"/>
        <w:spacing w:after="0" w:line="230" w:lineRule="auto"/>
        <w:tabs>
          <w:tab w:leader="none" w:pos="50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Certain stock options granted by the Company prior to the date of IPO are exercisable at the date of grant, with unvested shares subject to repurchase by the Company in the event of a voluntary or involuntary termination of employment of the stockholder. Such exercises are recorded as a liability in the condensed consolidated balance sheets and reclassified into equity as the options vest. As of August 31, 2022, a total of 27,424 shares of common stock were subject to repurchase by the Company at the lower of (i) the fair market value of such shares on the date of repurchase, or (ii) the original exercise price of such shares. The corresponding exercise value of $0.2 million as of August 31, 2022 is recorded in share-based compensation liability.</w:t>
      </w:r>
    </w:p>
    <w:p>
      <w:pPr>
        <w:spacing w:after="0" w:line="92" w:lineRule="exact"/>
        <w:rPr>
          <w:rFonts w:ascii="Times New Roman" w:cs="Times New Roman" w:eastAsia="Times New Roman" w:hAnsi="Times New Roman"/>
          <w:sz w:val="29"/>
          <w:szCs w:val="29"/>
          <w:color w:val="auto"/>
          <w:vertAlign w:val="superscript"/>
        </w:rPr>
      </w:pPr>
    </w:p>
    <w:p>
      <w:pPr>
        <w:ind w:left="52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RSU activity under the Stock Plans is set forth below:</w:t>
      </w:r>
    </w:p>
    <w:p>
      <w:pPr>
        <w:spacing w:after="0" w:line="12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192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73"/>
        </w:trPr>
        <w:tc>
          <w:tcPr>
            <w:tcW w:w="622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3"/>
        </w:trPr>
        <w:tc>
          <w:tcPr>
            <w:tcW w:w="6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November 30, 2021</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RSUs 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RSUs vested</w:t>
            </w:r>
          </w:p>
        </w:tc>
        <w:tc>
          <w:tcPr>
            <w:tcW w:w="1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(31,934)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RSUs forfeited</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as of August 31, 2022</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753,518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Under the Company’s 2020 Employee Stock Purchase Plan (the ESPP), eligible employees are entitled to purchase shares of common stock with accumulated payroll deductions. During the nine months ended August 31, 2022, the Company issued 136,304 shares pursuant to the ESPP at a weighted-average price of $14.34 per share.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the Stock Plans and the ESPP that is included in the Company’s condensed consolidated statements of operations is as follows (in thousands):</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40" w:type="dxa"/>
            <w:vAlign w:val="bottom"/>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0"/>
        </w:trPr>
        <w:tc>
          <w:tcPr>
            <w:tcW w:w="3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60" w:type="dxa"/>
            <w:vAlign w:val="bottom"/>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
        </w:trPr>
        <w:tc>
          <w:tcPr>
            <w:tcW w:w="3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99"/>
        </w:trPr>
        <w:tc>
          <w:tcPr>
            <w:tcW w:w="35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r>
      <w:tr>
        <w:trPr>
          <w:trHeight w:val="23"/>
        </w:trPr>
        <w:tc>
          <w:tcPr>
            <w:tcW w:w="3540" w:type="dxa"/>
            <w:vAlign w:val="bottom"/>
            <w:tcBorders>
              <w:bottom w:val="single" w:sz="8" w:color="CFF0FC"/>
            </w:tcBorders>
          </w:tcPr>
          <w:p>
            <w:pPr>
              <w:spacing w:after="0"/>
              <w:rPr>
                <w:sz w:val="2"/>
                <w:szCs w:val="2"/>
                <w:color w:val="auto"/>
              </w:rPr>
            </w:pPr>
          </w:p>
        </w:tc>
        <w:tc>
          <w:tcPr>
            <w:tcW w:w="920" w:type="dxa"/>
            <w:vAlign w:val="bottom"/>
            <w:tcBorders>
              <w:bottom w:val="single" w:sz="8" w:color="CFF0FC"/>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120" w:type="dxa"/>
            <w:vAlign w:val="bottom"/>
            <w:shd w:val="clear" w:color="auto" w:fill="CFF0FC"/>
          </w:tcPr>
          <w:p>
            <w:pPr>
              <w:spacing w:after="0"/>
              <w:rPr>
                <w:sz w:val="19"/>
                <w:szCs w:val="19"/>
                <w:color w:val="auto"/>
              </w:rPr>
            </w:pPr>
          </w:p>
        </w:tc>
      </w:tr>
      <w:tr>
        <w:trPr>
          <w:trHeight w:val="229"/>
        </w:trPr>
        <w:tc>
          <w:tcPr>
            <w:tcW w:w="3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2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120" w:type="dxa"/>
            <w:vAlign w:val="bottom"/>
            <w:tcBorders>
              <w:bottom w:val="single" w:sz="8" w:color="CFF0FC"/>
            </w:tcBorders>
          </w:tcPr>
          <w:p>
            <w:pPr>
              <w:spacing w:after="0"/>
              <w:rPr>
                <w:sz w:val="19"/>
                <w:szCs w:val="19"/>
                <w:color w:val="auto"/>
              </w:rPr>
            </w:pPr>
          </w:p>
        </w:tc>
      </w:tr>
      <w:tr>
        <w:trPr>
          <w:trHeight w:val="223"/>
        </w:trPr>
        <w:tc>
          <w:tcPr>
            <w:tcW w:w="3540" w:type="dxa"/>
            <w:vAlign w:val="bottom"/>
            <w:tcBorders>
              <w:bottom w:val="single" w:sz="8" w:color="CFF0FC"/>
            </w:tcBorders>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2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19,834</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10,957</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As of August 31, 2022, the total compensation cost related to stock-based awards not yet recognized was $85.9 million, which is expected to be amortized on a straight-line basis over the weighted-average remaining vesting period of approximately 2.9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Defined Contribution Plan</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Company sponsors a defined-contribution savings plan under Section 401(k) of the Internal Revenue Code of 1986, as amended (the 401(k) Plan), which provides for the Company to make discretionary matching or discretionary annual contributions to the 401(k) Plan, for its employees. Substantially all of the Company’s employees are eligible to participate. Employees may contribute a percentage of their annual compensation to the plan, subject to statutory limitations. The Company has made contributions to the 401(k) Plan and recorded contribution expense of $0.1 million and $0.1 million during the three months ended August 31, 2022 and 2021, respectively, and $0.8 million and $0.5 million during the nine months ended August 31, 2022 and 2021,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August 31, 2022, the Company did not record any current income tax expense or provision and for the three and nine months ended August 31, 2021, the Company recorded a current income tax benefit of $0.1 million and an expense of $0.1 million, respectively. Deferred income taxes reflect the net tax effects of loss and credit carryforwards and temporary differences between the carrying amounts of assets and liabilities for financial reporting purposes and the amounts used for income tax purposes. Realization of the deferred tax assets is dependent upon future taxable income, the amount, if any, and timing of which are uncertain. The Company has generated losses since inception and has established a valuation allowance to offset deferred tax assets as of August 31, 2022 and 2021 due to the uncertainty of realizing future tax benefits from its net operating loss carryforwards and other deferred tax assets.</w:t>
      </w:r>
    </w:p>
    <w:p>
      <w:pPr>
        <w:spacing w:after="0" w:line="8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In August 2022, the U.S. Inflation Reduction Act (the Act) was enacted into law. The Act includes various tax provisions, including an excise tax on stock repurchases, expanded tax credits for clean energy incentives and a corporate alternative minimum tax that generally applies to U.S. corporations with adjusted financial statement income in excess of $1.0 billion. The Company does not expect the Act to have a material impact on its financial statements.</w:t>
      </w:r>
    </w:p>
    <w:p>
      <w:pPr>
        <w:spacing w:after="0" w:line="72"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In January 2019, the California Franchise Tax Board (the FTB) commenced an examination of the Company’s California income tax returns for the tax years ending in 2015, 2016, 2017 and 2018. During the year ended November 30, 2021, the FTB issued proposed audit assessments related to revenue sourcing and R&amp;D credits. The Company does not agree with the FTB assessments and intends to challenge the assessments. Pursuant to a measurement analysis, the Company has not recorded an unrecognized tax benefit related to the FTB’s sourcing position. The Company maintains an unrecognized tax benefit related to its California R&amp;D credits for all years.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attributable to common stockholders, which excludes shares which are legally outstanding but subject to repurchase by the Company (in thousands, except share and per share data):</w:t>
      </w:r>
    </w:p>
    <w:p>
      <w:pPr>
        <w:spacing w:after="0" w:line="74"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2"/>
        </w:trPr>
        <w:tc>
          <w:tcPr>
            <w:tcW w:w="4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56"/>
        </w:trPr>
        <w:tc>
          <w:tcPr>
            <w:tcW w:w="426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9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(45,709)</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(28,835)</w:t>
            </w: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(133,643)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(79,492)</w:t>
            </w: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w:t>
            </w: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11"/>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number of shares outstanding, basic</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2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and diluted</w:t>
            </w:r>
            <w:r>
              <w:rPr>
                <w:rFonts w:ascii="Times New Roman" w:cs="Times New Roman" w:eastAsia="Times New Roman" w:hAnsi="Times New Roman"/>
                <w:sz w:val="15"/>
                <w:szCs w:val="15"/>
                <w:color w:val="auto"/>
              </w:rPr>
              <w:t>(1)</w:t>
            </w:r>
          </w:p>
        </w:tc>
        <w:tc>
          <w:tcPr>
            <w:tcW w:w="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50,868,542</w:t>
            </w:r>
          </w:p>
        </w:tc>
        <w:tc>
          <w:tcPr>
            <w:tcW w:w="2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44,374,389</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46,835,776</w:t>
            </w:r>
          </w:p>
        </w:tc>
        <w:tc>
          <w:tcPr>
            <w:tcW w:w="2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42,344,420</w:t>
            </w:r>
          </w:p>
        </w:tc>
        <w:tc>
          <w:tcPr>
            <w:tcW w:w="100" w:type="dxa"/>
            <w:vAlign w:val="bottom"/>
            <w:tcBorders>
              <w:bottom w:val="single" w:sz="8" w:color="CFF0FC"/>
            </w:tcBorders>
          </w:tcPr>
          <w:p>
            <w:pPr>
              <w:spacing w:after="0"/>
              <w:rPr>
                <w:sz w:val="20"/>
                <w:szCs w:val="20"/>
                <w:color w:val="auto"/>
              </w:rPr>
            </w:pPr>
          </w:p>
        </w:tc>
      </w:tr>
      <w:tr>
        <w:trPr>
          <w:trHeight w:val="223"/>
        </w:trPr>
        <w:tc>
          <w:tcPr>
            <w:tcW w:w="4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left="50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the pre-funded warrants to purchase an aggregate of 6,814,920 shares of the Company’s common stock have been included in the calculation of the weighted-average number of shares outstanding, basic and diluted, for the three and nine months ended August 31, 2022.</w:t>
      </w:r>
    </w:p>
    <w:p>
      <w:pPr>
        <w:spacing w:after="0" w:line="162"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the diluted net loss per share of common stock for the periods presented because their effect would have been anti-dilutive:</w:t>
      </w:r>
    </w:p>
    <w:p>
      <w:pPr>
        <w:spacing w:after="0" w:line="74"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August 31,</w:t>
      </w:r>
    </w:p>
    <w:p>
      <w:pPr>
        <w:spacing w:after="0" w:line="6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100" w:type="dxa"/>
            <w:vAlign w:val="bottom"/>
            <w:tcBorders>
              <w:bottom w:val="single" w:sz="8" w:color="CFF0FC"/>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CFF0FC"/>
            </w:tcBorders>
          </w:tcPr>
          <w:p>
            <w:pPr>
              <w:spacing w:after="0"/>
              <w:rPr>
                <w:sz w:val="15"/>
                <w:szCs w:val="15"/>
                <w:color w:val="auto"/>
              </w:rPr>
            </w:pPr>
          </w:p>
        </w:tc>
        <w:tc>
          <w:tcPr>
            <w:tcW w:w="180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r>
      <w:tr>
        <w:trPr>
          <w:trHeight w:val="223"/>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0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8,115,201</w:t>
            </w:r>
          </w:p>
        </w:tc>
        <w:tc>
          <w:tcPr>
            <w:tcW w:w="28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5,593,412</w:t>
            </w:r>
          </w:p>
        </w:tc>
        <w:tc>
          <w:tcPr>
            <w:tcW w:w="120" w:type="dxa"/>
            <w:vAlign w:val="bottom"/>
            <w:shd w:val="clear" w:color="auto" w:fill="CFF0FC"/>
          </w:tcPr>
          <w:p>
            <w:pPr>
              <w:spacing w:after="0"/>
              <w:rPr>
                <w:sz w:val="19"/>
                <w:szCs w:val="19"/>
                <w:color w:val="auto"/>
              </w:rPr>
            </w:pPr>
          </w:p>
        </w:tc>
      </w:tr>
      <w:tr>
        <w:trPr>
          <w:trHeight w:val="229"/>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early exercised subject to vesting</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27,424</w:t>
            </w: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76,175</w:t>
            </w:r>
          </w:p>
        </w:tc>
        <w:tc>
          <w:tcPr>
            <w:tcW w:w="120" w:type="dxa"/>
            <w:vAlign w:val="bottom"/>
          </w:tcPr>
          <w:p>
            <w:pPr>
              <w:spacing w:after="0"/>
              <w:rPr>
                <w:sz w:val="19"/>
                <w:szCs w:val="19"/>
                <w:color w:val="auto"/>
              </w:rPr>
            </w:pPr>
          </w:p>
        </w:tc>
      </w:tr>
      <w:tr>
        <w:trPr>
          <w:trHeight w:val="230"/>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expected to be purchased under employee stock purchase plan</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123,194</w:t>
            </w:r>
          </w:p>
        </w:tc>
        <w:tc>
          <w:tcPr>
            <w:tcW w:w="28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43,274</w:t>
            </w:r>
          </w:p>
        </w:tc>
        <w:tc>
          <w:tcPr>
            <w:tcW w:w="120" w:type="dxa"/>
            <w:vAlign w:val="bottom"/>
            <w:shd w:val="clear" w:color="auto" w:fill="CFF0FC"/>
          </w:tcPr>
          <w:p>
            <w:pPr>
              <w:spacing w:after="0"/>
              <w:rPr>
                <w:sz w:val="19"/>
                <w:szCs w:val="19"/>
                <w:color w:val="auto"/>
              </w:rPr>
            </w:pPr>
          </w:p>
        </w:tc>
      </w:tr>
      <w:tr>
        <w:trPr>
          <w:trHeight w:val="229"/>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753,518</w:t>
            </w:r>
          </w:p>
        </w:tc>
        <w:tc>
          <w:tcPr>
            <w:tcW w:w="2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Pr>
          <w:p>
            <w:pPr>
              <w:spacing w:after="0"/>
              <w:rPr>
                <w:sz w:val="19"/>
                <w:szCs w:val="19"/>
                <w:color w:val="auto"/>
              </w:rPr>
            </w:pPr>
          </w:p>
        </w:tc>
      </w:tr>
      <w:tr>
        <w:trPr>
          <w:trHeight w:val="223"/>
        </w:trPr>
        <w:tc>
          <w:tcPr>
            <w:tcW w:w="61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9,019,337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5,732,861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21"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The Company’s Chief Financial Officer is a trustee for the Company’s healthcare plan provider. Expenses related to the healthcare plan premiums were $1.0 million and $0.7 million for the three months ended August 31, 2022 and 2021, respectively, and $2.9 million and $1.8 million for the nine months ended August 31, 2022 and 2021, respectively. As of August 31, 2022 and November 30, 2021, the amount recorded in accrued liabilities and accounts payable in connection with this healthcare plan provider was not material.</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10"/>
        <w:spacing w:after="0" w:line="221" w:lineRule="exact"/>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(1) the unaudited condensed consolidated financial statements and the related notes included in Part I, Item 1 of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(2) the audited consolidated financial statements and related notes and management’s discussion and analysis of financial condition and results of operations for the fiscal year ended November 30, 2021 included in our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filed on January 28, 2022 (2021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As discussed in the section titled “Special Note Regarding Forward Looking Statements,” the following discussion and analysis contains forward looking statements that involve risks and uncertainties, as well as assumptions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20" w:firstLine="510"/>
        <w:spacing w:after="0" w:line="255" w:lineRule="auto"/>
        <w:rPr>
          <w:sz w:val="20"/>
          <w:szCs w:val="20"/>
          <w:color w:val="auto"/>
        </w:rPr>
      </w:pPr>
      <w:r>
        <w:rPr>
          <w:rFonts w:ascii="Times New Roman" w:cs="Times New Roman" w:eastAsia="Times New Roman" w:hAnsi="Times New Roman"/>
          <w:sz w:val="18"/>
          <w:szCs w:val="18"/>
          <w:color w:val="auto"/>
        </w:rPr>
        <w:t>We are a clinical stage biopharmaceutical company focused on the discovery, development and commercialization of small molecule and cell therapies based on the modulation of cellular protein levels as a novel treatment approach for cancer and other challenging diseases. Leveraging our extensive expertise in E3 ligases together with our proprietary DNA-encoded libraries, we have built DELigase, an integrated discovery platform to identify and advance novel drug candidates targeting E3 ligases, a broad class of enzymes that can modulate proteins within the cell. Targeted Protein Modulation, our drug discovery approach, either harnesses or inhibits the natural function of E3 ligases within the ubiquitin-proteasome system to selectively decrease or increase cellular protein levels to treat disease. Our wholly owned pipeline comprises four clinical stage drug candidates in our Targeted Protein Degradation and Targeted Protein Elevation portfolios.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Targeted Protein Degradation:</w:t>
      </w:r>
    </w:p>
    <w:p>
      <w:pPr>
        <w:spacing w:after="0" w:line="90" w:lineRule="exact"/>
        <w:rPr>
          <w:sz w:val="20"/>
          <w:szCs w:val="20"/>
          <w:color w:val="auto"/>
        </w:rPr>
      </w:pPr>
    </w:p>
    <w:p>
      <w:pPr>
        <w:ind w:firstLine="510"/>
        <w:spacing w:after="0" w:line="232" w:lineRule="exact"/>
        <w:rPr>
          <w:sz w:val="20"/>
          <w:szCs w:val="20"/>
          <w:color w:val="auto"/>
        </w:rPr>
      </w:pPr>
      <w:r>
        <w:rPr>
          <w:rFonts w:ascii="Times New Roman" w:cs="Times New Roman" w:eastAsia="Times New Roman" w:hAnsi="Times New Roman"/>
          <w:sz w:val="18"/>
          <w:szCs w:val="18"/>
          <w:color w:val="auto"/>
        </w:rPr>
        <w:t>Our portfolio of targeted protein degraders of Bruton’s tyrosine kinase (BTK), a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signaling protein, comprises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an orally bioavailable BTK degrader for the treatment of relapsed or refractory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cell malignancies, and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an orally bioavailable BTK degrader for the treatment of relapsed or refractory B-cell malignancies and potentially autoimmune diseases.</w:t>
      </w:r>
    </w:p>
    <w:p>
      <w:pPr>
        <w:spacing w:after="0" w:line="63" w:lineRule="exact"/>
        <w:rPr>
          <w:sz w:val="20"/>
          <w:szCs w:val="20"/>
          <w:color w:val="auto"/>
        </w:rPr>
      </w:pPr>
    </w:p>
    <w:p>
      <w:pPr>
        <w:jc w:val="both"/>
        <w:ind w:right="60" w:firstLine="510"/>
        <w:spacing w:after="0" w:line="232" w:lineRule="exact"/>
        <w:rPr>
          <w:sz w:val="20"/>
          <w:szCs w:val="20"/>
          <w:color w:val="auto"/>
        </w:rPr>
      </w:pPr>
      <w:r>
        <w:rPr>
          <w:rFonts w:ascii="Times New Roman" w:cs="Times New Roman" w:eastAsia="Times New Roman" w:hAnsi="Times New Roman"/>
          <w:sz w:val="18"/>
          <w:szCs w:val="18"/>
          <w:color w:val="auto"/>
        </w:rPr>
        <w:t>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We are currently enrolling patients in a Phase 1a/1b dose-escalation and cohort expansion study in patients with relapsed or refractory B-cell malignancies. We have initiated the first of several potential Phase 1b expansion cohorts for patients with relapsed chronic lymphocytic leukemia, and enrollment continues in the Phase 1a dose-escalation portion of the trial for patients with several types of non-Hodgkin lymphoma.</w:t>
      </w:r>
    </w:p>
    <w:p>
      <w:pPr>
        <w:spacing w:after="0" w:line="91"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NX-5948: We are currently enrolling patients in the Phase 1a portion of a Phase 1a/1b dose-escalation and cohort expansion study in patients with relapsed or refractory B-cell malignancies.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Targeted Protein Elevation:</w:t>
      </w:r>
    </w:p>
    <w:p>
      <w:pPr>
        <w:spacing w:after="0" w:line="11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portfolio of inhibitors of Casitas B-lineage lymphoma proto-oncogene B (CBL-B), an E3 ligase that regulates the activation of multiple immune cell types including T cells and NK cells, comprises NX-1607, an orally bioavailable CBL-B inhibitor for immuno-oncology indications and for which we were awarded an Innovative Passport from the UK Medicines and Healthcare products Regulatory Agency to accelerate time to market and facilitate patient access to novel drugs to treat serious and life-threatening diseases, and NX-0255, for ex vivo use to enhance adoptive T-cell therapy including our drug-enhanced tumor infiltrating lymphocyte (TIL) therapy, DeTIL-0255.</w:t>
      </w:r>
    </w:p>
    <w:p>
      <w:pPr>
        <w:spacing w:after="0" w:line="75"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NX-1607: We are currently enrolling patients in the Phase 1a portion of a Phase 1a/1b dose-escalation and cohort expansion study in patients with solid tumors and lymphomas.</w:t>
      </w:r>
    </w:p>
    <w:p>
      <w:pPr>
        <w:spacing w:after="0" w:line="54"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DeTIL-0255: We are currently enrolling patients in the Phase 1 clinical trial for our first cell therapy candidate, DeTIL-0255, in patients with gynecologic cancers including ovarian cancer, endometrial cancer, and cervical cancer.</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Preclinical programs:</w:t>
      </w:r>
    </w:p>
    <w:p>
      <w:pPr>
        <w:spacing w:after="0" w:line="119"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Beyond our clinical candidates, we are advancing additional wholly owned and partnered preclinical programs within our core therapeutic focus in cancer and selectively in non-oncology therapeutic areas. Our pipeline includes highly validated and classically undruggable targets across our proprietary efforts, academic collaborations and our established strategic collaborations with Sanofi S.A. (Sanofi), and Gilead Sciences, Inc. (Gilead).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4" w:name="page25"/>
    <w:bookmarkEnd w:id="24"/>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Since the commencement of our operations, we have devoted substantially all of our resources to conducting research and development activities, establishing and maintaining our intellectual property portfolio, establishing our corporate infrastructure, raising capital and providing general and administrative support for these operations. We have funded our operations to date primarily from proceeds received under collaboration and license agreements with Sanofi, Gilead, and Celgene Corporation and the issuance and sale of common stock and redeemable convertible preferred stock. We do not expect to generate product revenue unless and until we successfully develop and obtain approval for the commercialization of a drug candidate, and we cannot assure you that we will ever generate significant revenue or profits.</w:t>
      </w:r>
    </w:p>
    <w:p>
      <w:pPr>
        <w:spacing w:after="0" w:line="79"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Since inception, we have generally incurred significant losses and negative cash flows from operations. During the nine months ended August 31, 2022 and 2021, we incurred net losses of $133.6 million and $79.5 million, respectively. As of August 31, 2022, we had an accumulated deficit of $354.5 million. These losses have resulted primarily from costs incurred in connection with research and development activities and general and administrative costs associated with our operations.</w:t>
      </w:r>
    </w:p>
    <w:p>
      <w:pPr>
        <w:spacing w:after="0" w:line="72" w:lineRule="exact"/>
        <w:rPr>
          <w:sz w:val="20"/>
          <w:szCs w:val="20"/>
          <w:color w:val="auto"/>
        </w:rPr>
      </w:pPr>
    </w:p>
    <w:p>
      <w:pPr>
        <w:ind w:right="180" w:firstLine="510"/>
        <w:spacing w:after="0" w:line="254" w:lineRule="auto"/>
        <w:rPr>
          <w:sz w:val="20"/>
          <w:szCs w:val="20"/>
          <w:color w:val="auto"/>
        </w:rPr>
      </w:pPr>
      <w:r>
        <w:rPr>
          <w:rFonts w:ascii="Times New Roman" w:cs="Times New Roman" w:eastAsia="Times New Roman" w:hAnsi="Times New Roman"/>
          <w:sz w:val="18"/>
          <w:szCs w:val="18"/>
          <w:color w:val="auto"/>
        </w:rPr>
        <w:t>We do not expect to generate any revenue from commercial product sales unless and until we successfully complete development and obtain regulatory approval for one or more of our drug candidates, which we expect will take a number of years, if ever. We expect our expenses will increase substantially as we advance our drug candidates through preclinical and clinical development; enter advanced clinical development and scale up external manufacturing capabilities to supply clinical trials; apply our DELigase platform to advance additional drug candidates and expand the capabilities of our platform; seek marketing approvals for any drug candidates that successfully complete clinical trials; ultimately establish a sales, marketing and distribution infrastructure and scale up external manufacturing capabilities to commercialize any products for which we may obtain marketing approval; expand, maintain and protect our intellectual property portfolio; and hire additional clinical, regulatory, manufacturing, quality assurance and scientific personnel. Furthermore, we expect to continue to incur additional costs associated with operating as a public company, including significant legal, accounting, insurance, investor relations and other administrative and professional services expenses.</w:t>
      </w:r>
    </w:p>
    <w:p>
      <w:pPr>
        <w:spacing w:after="0" w:line="80"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Our net losses and cash flows may fluctuate significantly from period to period, depending on, among other things, variations in the level of expense related to the ongoing development of our drug candidates, our DELigase platform or future development programs; the delay, addition or termination of clinical trials; and the execution of any additional collaboration, licensing or similar arrangements, and the timing of payments we may make or receive under such arrangements.</w:t>
      </w:r>
    </w:p>
    <w:p>
      <w:pPr>
        <w:spacing w:after="0" w:line="72"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As of August 31, 2022, we had $413.6 million in cash, cash equivalents and marketable securities. We expect that our existing cash, cash equivalents and marketable securities are sufficient to fund our operations for at least the next 12 months. See the section titled “—Liquidity and Capital Resources” for more information. To finance our operations beyond that point, we will need to raise substantial additional capital to complete the development and commercialization of our drug candidates. Until such time as we can generate significant revenue from product sales, if ever, we expect to finance our operations through a combination of public or private equity offerings, debt financings, collaborations, strategic alliances, licensing arrangements and other marketing and distribution arrangements. In addition, we may seek additional capital due to favorable market conditions or strategic considerations, even if we believe we have sufficient funds for our current or future operating plans.</w:t>
      </w:r>
    </w:p>
    <w:p>
      <w:pPr>
        <w:spacing w:after="0" w:line="81" w:lineRule="exact"/>
        <w:rPr>
          <w:sz w:val="20"/>
          <w:szCs w:val="20"/>
          <w:color w:val="auto"/>
        </w:rPr>
      </w:pPr>
    </w:p>
    <w:p>
      <w:pPr>
        <w:ind w:right="40" w:firstLine="510"/>
        <w:spacing w:after="0" w:line="222" w:lineRule="exact"/>
        <w:rPr>
          <w:sz w:val="20"/>
          <w:szCs w:val="20"/>
          <w:color w:val="auto"/>
        </w:rPr>
      </w:pPr>
      <w:r>
        <w:rPr>
          <w:rFonts w:ascii="Times New Roman" w:cs="Times New Roman" w:eastAsia="Times New Roman" w:hAnsi="Times New Roman"/>
          <w:sz w:val="18"/>
          <w:szCs w:val="18"/>
          <w:color w:val="auto"/>
        </w:rPr>
        <w:t>We are subject to risks and uncertainties as a result of the current COVID-19 pandemic and increasing financial market volatility and uncertainty. The COVID-19 pandemic, including the resurgence of cases relating to the spread of new variants, is impacting worldwide economic activity and poses the risk that we or our employees, contractors, suppliers and other partners may be prevented from conducting business activities for an indefinite period of time, including due to shutdowns that may be requested or mandated by governmental authorities. While the impact of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to our current operations has been minimal as we have recently commenced clinical development of our four lead drug candidates, the extent to which the COVID-19 pandemic and increasing financial market volatility and uncertainty will impact our business, financial condition, liquidity, access to capital, and results of operations in the future will depend on future developments that are highly uncertain and cannot be predicted at this time.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and 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Collaboration, Option and License Agreement</w:t>
      </w:r>
    </w:p>
    <w:p>
      <w:pPr>
        <w:spacing w:after="0" w:line="121"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In June 2019, we entered into a global strategic collaboration agreement with Gilead, which was amended in August 2019 (the Gilead Agreement), to discover, develop and commercialize a pipeline of targeted protein degradation drugs for patients with cancer and other challenging diseases using our DELigase platform to identify novel agents that utilize E3 ligases to induce degradation of five specified drug targets. Under the Gilead Agreement, Gilead has the option to license drug candidates directed to up to five targets resulting from the collaboration and is responsible for the clinical development and commercialization of drug candidates resulting from the collaboration. We retain the option to co-develop and co-promote, under a profit share structure, up to two drug candidates in the United States under certain conditions and subject to certain limitations. The collaboration excludes our current internal protein degradation programs for which we retain all rights, and also excludes our future internal programs, provided that we have distinguished future programs as excluded from the scope of the collaboration. In August 2019 and September 2022, we entered into a first amendment and a second amendment, respectively, to the collaboration agreement with Gilead to clarify certain language of the Gilead Agreement. These amendments had no impact on revenue recognition.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5" w:name="page26"/>
    <w:bookmarkEnd w:id="25"/>
    <w:p>
      <w:pPr>
        <w:ind w:firstLine="510"/>
        <w:spacing w:after="0" w:line="254" w:lineRule="auto"/>
        <w:rPr>
          <w:sz w:val="20"/>
          <w:szCs w:val="20"/>
          <w:color w:val="auto"/>
        </w:rPr>
      </w:pPr>
      <w:r>
        <w:rPr>
          <w:rFonts w:ascii="Times New Roman" w:cs="Times New Roman" w:eastAsia="Times New Roman" w:hAnsi="Times New Roman"/>
          <w:sz w:val="18"/>
          <w:szCs w:val="18"/>
          <w:color w:val="auto"/>
        </w:rPr>
        <w:t>Upon signing the Gilead Agreement, Gilead paid us an upfront payment of $45.0 million plus $3.0 million in additional fees. In addition, from the signing of the Gilead Agreement to August 31, 2022, we received payments of $32.0 million for research milestones and additional payments. Additionally, we recognized a research milestone in August 2022 and anticipate a payment of $2.5 million in the fourth fiscal quarter of 2022. As of August 31, 2022, we are eligible to receive up to approximately $2.3 billion in total additional payments based on certain additional fees, payments and the successful completion of certain preclinical, clinical, development and sales milestones. In addition, we are eligible to receive tiered royalties from mid-single digit to low tens percentages on annual net sales from any commercial products directed to the optioned collaboration targets, subject to certain reductions and excluding sales in the United States of any products for which we exercise our option to co-develop and co-promote, for which we share profits and losses evenly.</w:t>
      </w:r>
    </w:p>
    <w:p>
      <w:pPr>
        <w:spacing w:after="0" w:line="84"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recognized collaboration revenue from the Gilead Agreement of $7.2 million and $19.5 million during the three and nine months ended August 31, 2022, respectively, and $6.1 million and $12.5 million during the three and nine months ended August 31, 2021, respectively. As of August 31, 2022 and November 30, 2021, there was $29.1 million and $41.1 million, respectively, of deferred revenue related to payments received and to be received by us under the Gilead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Sanofi Collaboration and License Agreement</w:t>
      </w:r>
    </w:p>
    <w:p>
      <w:pPr>
        <w:spacing w:after="0" w:line="121" w:lineRule="exact"/>
        <w:rPr>
          <w:sz w:val="20"/>
          <w:szCs w:val="20"/>
          <w:color w:val="auto"/>
        </w:rPr>
      </w:pPr>
    </w:p>
    <w:p>
      <w:pPr>
        <w:ind w:right="40" w:firstLine="514"/>
        <w:spacing w:after="0" w:line="254" w:lineRule="auto"/>
        <w:rPr>
          <w:sz w:val="20"/>
          <w:szCs w:val="20"/>
          <w:color w:val="auto"/>
        </w:rPr>
      </w:pPr>
      <w:r>
        <w:rPr>
          <w:rFonts w:ascii="Times New Roman" w:cs="Times New Roman" w:eastAsia="Times New Roman" w:hAnsi="Times New Roman"/>
          <w:sz w:val="18"/>
          <w:szCs w:val="18"/>
          <w:color w:val="auto"/>
        </w:rPr>
        <w:t>In December 2019, we entered into a strategic collaboration with Genzyme Corporation, a subsidiary of Sanofi, which became effective in January 2020 (as subsequently expanded and amended, the Sanofi Agreement), to discover, develop and commercialize a pipeline of targeted protein degradation drugs for patients with challenging diseases in multiple therapeutic areas using our DELigase platform to identify small molecules designed to induce degradation of three specified initial drug targets. In January 2021, as part of the existing collaboration, Sanofi paid us $22.0 million to exercise its option to expand the number of targets in the collaboration agreement from three to a total of five targets. Over time and subject to certain limitations, Sanofi may elect to replace the drug targets with other reserved targets. In January 2021, we entered into the First Sanofi Amendment to the collaboration agreement with Sanofi to modify the research term on all targets. In December 2021, we entered into the Second Sanofi Amendment to the collaboration agreement with Sanofi to extend the substitution deadline on certain targets. Under the Sanofi Agreement, Sanofi has exclusive rights and is responsible for the clinical development, commercialization and manufacture of drug candidates resulting from the collaboration, while we retain the option to co-develop, co-promote and co-commercialize all drug candidates in the United States directed to up to two targets under certain conditions, subject to certain conditions and limitations. In July 2022, we entered into the Third Sanofi Amendment to further extend the substitution deadline on certain targets. The extensions of the substitution deadline had no impact on revenue recognition. Also in July 2022, Sanofi elected to replace certain drug targets, and the substitution extended the research term of those targets by one year to 5.25 years and increased overall forecasted costs, which had an immaterial impact on revenue recognition. In August 2022, we entered into the Fourth Sanofi Amendment to modify the research plan for a certain target, which had no impact on revenue recognition.</w:t>
      </w:r>
    </w:p>
    <w:p>
      <w:pPr>
        <w:spacing w:after="0" w:line="89" w:lineRule="exact"/>
        <w:rPr>
          <w:sz w:val="20"/>
          <w:szCs w:val="20"/>
          <w:color w:val="auto"/>
        </w:rPr>
      </w:pPr>
    </w:p>
    <w:p>
      <w:pPr>
        <w:ind w:firstLine="514"/>
        <w:spacing w:after="0" w:line="255" w:lineRule="auto"/>
        <w:rPr>
          <w:sz w:val="20"/>
          <w:szCs w:val="20"/>
          <w:color w:val="auto"/>
        </w:rPr>
      </w:pPr>
      <w:r>
        <w:rPr>
          <w:rFonts w:ascii="Times New Roman" w:cs="Times New Roman" w:eastAsia="Times New Roman" w:hAnsi="Times New Roman"/>
          <w:sz w:val="18"/>
          <w:szCs w:val="18"/>
          <w:color w:val="auto"/>
        </w:rPr>
        <w:t>Upon signing the Sanofi Agreement, Sanofi paid us an upfront payment of $55.0 million. Subsequently, in January 2021, Sanofi paid us an additional $22.0 million to exercise its option to expand the number of targets beyond the initial targets included in the collaboration. In addition, from the signing of the Sanofi Agreement to August 31, 2022, we received payments of $3.0 million for research milestones. As of August 31, 2022, we are eligible to receive up to approximately $2.5 billion in total additional payments based on certain additional fees, payments and the successful completion of certain research development, regulatory and sales milestones, as well as tiered royalties ranging from mid-single digit to low teen percentages on annual net sales of any commercial products that may result from the collaboration, subject to certain reductions and excluding sales in the United States of any products for which we exercise our option to co-develop and co-promote, for which we share profits and losses evenly.</w:t>
      </w:r>
    </w:p>
    <w:p>
      <w:pPr>
        <w:spacing w:after="0" w:line="81"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recognized collaboration revenue from the Sanofi Agreement of $3.6 million and $12.4 million during the three and nine months ended August 31, 2022, respectively, and $4.2 million and $9.8 million during the three and nine months ended August 31, 2021, respectively. As of August 31, 2022 and November 30, 2021, there was $48.8 million and $59.2 million, respectively, of deferred revenue related to payments received by us under the Sanofi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right="520" w:firstLine="510"/>
        <w:spacing w:after="0" w:line="282" w:lineRule="auto"/>
        <w:rPr>
          <w:sz w:val="20"/>
          <w:szCs w:val="20"/>
          <w:color w:val="auto"/>
        </w:rPr>
      </w:pPr>
      <w:r>
        <w:rPr>
          <w:rFonts w:ascii="Times New Roman" w:cs="Times New Roman" w:eastAsia="Times New Roman" w:hAnsi="Times New Roman"/>
          <w:sz w:val="18"/>
          <w:szCs w:val="18"/>
          <w:color w:val="auto"/>
        </w:rPr>
        <w:t>We have no products approved for commercial sale and to date have not generated any revenue from the sale of products and do not expect to generate any revenue from the sale of products in the near future.</w:t>
      </w:r>
    </w:p>
    <w:p>
      <w:pPr>
        <w:spacing w:after="0" w:line="54"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Our revenue to date has been generated from payments received pursuant to collaboration and license arrangements with strategic partners. Collaboration revenue consists of revenue received from upfront, milestone and contingent payments received from our collaborators. We recognize revenue from upfront payments over the contract term using the cost-based input method. The material right to the two additional targets under the Sanofi Agreement was accounted for using the practical alternative and the expected consideration to be received on the options was included for revenue allocation. We expect to continue recognizing revenue from upfront payments related to our collaboration agreements using the cost-based input method in the foreseeable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In addition to receiving upfront payments, we may also be entitled to milestones and other contingent payments upon achieving predefined objectives. If a milestone is considered probable of being reached, and if it is probable that a significant revenue reversal would not occur, the associated milestone amount would also be included in the transaction price.</w:t>
      </w:r>
    </w:p>
    <w:p>
      <w:pPr>
        <w:spacing w:after="0" w:line="68" w:lineRule="exact"/>
        <w:rPr>
          <w:sz w:val="20"/>
          <w:szCs w:val="20"/>
          <w:color w:val="auto"/>
        </w:rPr>
      </w:pPr>
    </w:p>
    <w:p>
      <w:pPr>
        <w:jc w:val="both"/>
        <w:ind w:right="340" w:firstLine="510"/>
        <w:spacing w:after="0" w:line="266" w:lineRule="auto"/>
        <w:rPr>
          <w:sz w:val="20"/>
          <w:szCs w:val="20"/>
          <w:color w:val="auto"/>
        </w:rPr>
      </w:pPr>
      <w:r>
        <w:rPr>
          <w:rFonts w:ascii="Times New Roman" w:cs="Times New Roman" w:eastAsia="Times New Roman" w:hAnsi="Times New Roman"/>
          <w:sz w:val="18"/>
          <w:szCs w:val="18"/>
          <w:color w:val="auto"/>
        </w:rPr>
        <w:t>We expect that any collaboration revenue we generate from our current collaboration and license agreements, and from any future collaboration partners, will fluctuate in the future as a result of the timing and amount of upfront, milestones and other collaboration agreement payments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discovery and development of our drug candidates. We expense both internal and external research and development expenses to operations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the external research and development costs incurred for each of our drug candidates.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Internal research and development costs include:</w:t>
      </w:r>
    </w:p>
    <w:p>
      <w:pPr>
        <w:spacing w:after="0" w:line="117" w:lineRule="exact"/>
        <w:rPr>
          <w:sz w:val="20"/>
          <w:szCs w:val="20"/>
          <w:color w:val="auto"/>
        </w:rPr>
      </w:pPr>
    </w:p>
    <w:p>
      <w:pPr>
        <w:ind w:left="1000" w:right="620" w:hanging="493"/>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personnel expenses, including benefits, stock-based compensation and travel expenses, for our research and development functions;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research and development equipment, allocated overhead and facilities-related expenses.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External research and development expenses consist primarily of costs incurred for the development of our drug candidates and may include:</w:t>
      </w:r>
    </w:p>
    <w:p>
      <w:pPr>
        <w:spacing w:after="0" w:line="117" w:lineRule="exact"/>
        <w:rPr>
          <w:sz w:val="20"/>
          <w:szCs w:val="20"/>
          <w:color w:val="auto"/>
        </w:rPr>
      </w:pPr>
    </w:p>
    <w:p>
      <w:pPr>
        <w:ind w:left="1000" w:hanging="493"/>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such as consultants, contractors and contract research organizations to conduct our clinical trials, discovery programs and preclinical studies;</w:t>
      </w:r>
    </w:p>
    <w:p>
      <w:pPr>
        <w:spacing w:after="0" w:line="53" w:lineRule="exact"/>
        <w:rPr>
          <w:rFonts w:ascii="Times New Roman" w:cs="Times New Roman" w:eastAsia="Times New Roman" w:hAnsi="Times New Roman"/>
          <w:sz w:val="18"/>
          <w:szCs w:val="18"/>
          <w:color w:val="auto"/>
        </w:rPr>
      </w:pPr>
    </w:p>
    <w:p>
      <w:pPr>
        <w:ind w:left="1000" w:right="540" w:hanging="493"/>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acquire, develop and manufacture supplies for clinical trials and preclinical studies, including fees paid to third parties such as contract manufacturing organizations;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laboratory supplies and services.</w:t>
      </w:r>
    </w:p>
    <w:p>
      <w:pPr>
        <w:spacing w:after="0" w:line="144"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conduct clinical trials for our drug candidates, continue to invest in research and development activities for discovery programs and preclinical studies, pursue regulatory approval of our drug candidates and expand our drug candidate pipeline. The process of conducting the necessary preclinical and clinical research to obtain regulatory approval is costly and time-consuming. To the extent that our drug candidates advance to and continue to advance through clinical trials, our expenses will continue increasing substantially and may become more variable. The actual probability of success for our drug candidates may be affected by a variety of factors, including the safety and efficacy of our drug candidates, investment in our clinical programs, the ability of collaborators to successfully develop our licensed drug candidates, manufacturing capability, competition with other products and commercial viability. As a result of these variables, we are unable to determine when and to what extent we will generate revenue from the commercialization and sale of our drug candidates. We may never succeed in achieving regulatory approval for any of our drug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personnel expenses, including benefits and stock-based compensation, facilities-related expenses and professional fees for legal, consulting and audit and tax services. We expect our general and administrative expenses to increase for the foreseeable future as we continue to improve our infrastructure, increase our headcount and operate as a public company. This may include expenses related to compliance with the rules and regulations of the Securities and Exchange Commission (SEC) and listing standards applicable to companies listed on a national securities exchange, additional insurance, investor relations activities and other administrative and professional services. We also expect our intellectual property expenses to increase as we expand our intellectual property portfolio.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12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Interest and other income, net primarily consists of interest earned on our cash, cash equivalents and marketable securities. We expect interest income to vary each reporting period depending on our average bank deposit, money market fund, and marketable securities balances during the period and market interest rates.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The provision for income taxes primarily consists of reserves for unrecognized tax benefits and state taxes. The benefit for income taxes consists of a discrete tax benefit from an adjustment to the net operating loss (NOL) deferred tax asset and valuation allowance. We have generated NOLs since inception and have established a full valuation allowance against our deferred tax assets due to the uncertainty surrounding the realization of such assets.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U.S. generally accepted accounting principles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other relevant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81"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more significant areas involving management’s judgments and estimates used in preparation of our financial statements are discussed in the section titled “Management’s Discussion and Analysis of Financial Condition and Results of Operations” in our 2021 Form 10-K. There have been no significant changes to these policies for the three and nine months ended August 31,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policies—Recent accounting pronouncements” to our condensed consolidated financial statements included elsewhere in this Quarterly Report on Form 10-Q for more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August 31, 2022 and 2021</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results of operations for the three and nine months ended August 31, 2022 and 2021 are summarized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31,844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30,906</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138,391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79,903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8,343</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22,384</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39,249</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102,287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(79,933)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(28,835)</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(133,643</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(79,492)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collaboration revenue for the three and nine months ended August 31, 2022 and 2021 is summarized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7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Gilead</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6"/>
              </w:rPr>
              <w:t>19,489</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12,522</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Sanofi</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12,355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collaboration revenue</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6"/>
              </w:rPr>
              <w:t>31,844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w w:val="99"/>
              </w:rPr>
              <w:t>25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 w:name="page29"/>
    <w:bookmarkEnd w:id="28"/>
    <w:p>
      <w:pPr>
        <w:ind w:right="260" w:firstLine="510"/>
        <w:spacing w:after="0" w:line="256" w:lineRule="auto"/>
        <w:rPr>
          <w:sz w:val="20"/>
          <w:szCs w:val="20"/>
          <w:color w:val="auto"/>
        </w:rPr>
      </w:pPr>
      <w:r>
        <w:rPr>
          <w:rFonts w:ascii="Times New Roman" w:cs="Times New Roman" w:eastAsia="Times New Roman" w:hAnsi="Times New Roman"/>
          <w:sz w:val="18"/>
          <w:szCs w:val="18"/>
          <w:color w:val="auto"/>
        </w:rPr>
        <w:t>Our collaboration revenue increased by $0.5 million during the three months ended August 31, 2022 compared to the three months ended August 31, 2021. The increase of $1.1 million from our collaboration with Gilead was primarily due to increased effort resulting in a higher percentage of completion of performance obligations and an addition of $2.5 million to the transaction price from the achievement of a research milestone in August 2022. The decrease of $0.6 million from our collaboration with Sanofi was primarily due to the target substitutions in July 2022. The substitutions increased the overall forecasted costs and extended the research term of those targets, which offset the increases in revenue due to increased effort and resulted in less revenue recognized in the current period.</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collaboration revenue increased by $9.5 million during the nine months ended August 31, 2022 compared to the nine months ended August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primarily due to increased effort resulting in a higher percentage of completion of performance obligations under our collaborations with Gilead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Sanofi in the current period. The increases were also due to additions to the transaction price from the achievement of research milestones totaling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from our collaboration with Gilead and $2.0 million from our collaboration with Sanofi that resulted in higher revenue recognized in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and impacted the cumulative catch up in revenue for activities satisfied in previous periods.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for the three and nine months ended August 31, 2022 and 2021 are summarized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275"/>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jc w:val="right"/>
              <w:ind w:right="27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personnel costs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17,290</w:t>
            </w:r>
          </w:p>
        </w:tc>
        <w:tc>
          <w:tcPr>
            <w:tcW w:w="2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9,968</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48,984</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26,832</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22,152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11,766</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Supplies and contract research</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36,413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Preclinical activities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manufacturing</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Clinical costs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and other costs</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3,201</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15,162</w:t>
            </w: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47,761</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30,906</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138,391</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79,903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Our research and development expenses increased by $16.9 million during the three months ended August 31, 2022 compared to the three months ended August 31, 2021. There was an increase in compensation and related personnel costs and in non-cash stock-based compensation expense of</w:t>
      </w:r>
    </w:p>
    <w:p>
      <w:pPr>
        <w:ind w:right="200"/>
        <w:spacing w:after="0" w:line="253" w:lineRule="auto"/>
        <w:rPr>
          <w:sz w:val="20"/>
          <w:szCs w:val="20"/>
          <w:color w:val="auto"/>
        </w:rPr>
      </w:pPr>
      <w:r>
        <w:rPr>
          <w:rFonts w:ascii="Times New Roman" w:cs="Times New Roman" w:eastAsia="Times New Roman" w:hAnsi="Times New Roman"/>
          <w:sz w:val="18"/>
          <w:szCs w:val="18"/>
          <w:color w:val="auto"/>
        </w:rPr>
        <w:t>$7.3 million and $2.0 million, respectively, that were primarily attributable to higher headcount. The increase in non-cash stock-based compensation expense was also attributable to the issuance of restricted stock units (RSUs). There was also an increase in cost related to supplies and contract research and preclinical activities of $3.4 million as we continued to expand our preclinical development activities and drug discovery research, and an increase in clinical costs of $1.9 million primarily due to the ramping up of our clinical trial programs and ongoing patient enrollment.</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increased by $58.5 million during the nine months ended August 31, 2022 compared to the nine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August 31, 2021. There was an increase in compensation and related personnel costs and in non-cash stock-based compensation expense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 million and $6.3 million, respectively, that were primarily attributable to higher headcount. The increase in non-cash stock-based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was also attributable to the issuance of RSUs. There was also an increase in cost related to supplies and contract research and preclinical activities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$13.0 million as we continued to expand our preclinical development activities and drug discovery research, and an increase in contract manufacturing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clinical costs of $10.7 million primarily due to the ramping up of our clinical trial programs and ongoing patient enrollment.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260" w:firstLine="510"/>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increased by $1.4 million during the three months ended August 31, 2022 compared to the three months ended August 31, 2021. There was an increase of $0.3 million in compensation and related expenses and an increase of $0.7 million in non-cash stock-based compensation expense attributable to the issuance of RSUs and increased issuance of stock options. There was also an increase of $0.4 million in professional service and consulting expenses.</w:t>
      </w:r>
    </w:p>
    <w:p>
      <w:pPr>
        <w:spacing w:after="0" w:line="72" w:lineRule="exact"/>
        <w:rPr>
          <w:sz w:val="20"/>
          <w:szCs w:val="20"/>
          <w:color w:val="auto"/>
        </w:rPr>
      </w:pPr>
    </w:p>
    <w:p>
      <w:pPr>
        <w:ind w:right="260" w:firstLine="510"/>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increased by $6.2 million during the nine months ended August 31, 2022 compared to the nine months ended August 31, 2021. There was an increase of $1.3 million in compensation related expenses and an increase of $2.6 million in non-cash stock-based compensation expense, both of which were primarily attributable to higher headcount. There was also an increase of $2.1 million in professional service expenses, including legal and accounting expenses related to infrastructure improvements.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In July 2020, we closed our initial public offering (IPO) and issued 12,550,000 shares of our common stock (including the exercise by the underwriters of their option to purchase an additional 1,550,000 shares of common stock in August 2020) at a price to the public of $19.00 per share for net proceeds of $218.1 million, after deducting underwriting discounts and commissions of $16.7 million and expenses of $3.6 million.</w:t>
      </w:r>
    </w:p>
    <w:p>
      <w:pPr>
        <w:spacing w:after="0" w:line="68" w:lineRule="exact"/>
        <w:rPr>
          <w:sz w:val="20"/>
          <w:szCs w:val="20"/>
          <w:color w:val="auto"/>
        </w:rPr>
      </w:pPr>
    </w:p>
    <w:p>
      <w:pPr>
        <w:jc w:val="both"/>
        <w:ind w:right="40" w:firstLine="510"/>
        <w:spacing w:after="0" w:line="266" w:lineRule="auto"/>
        <w:rPr>
          <w:sz w:val="20"/>
          <w:szCs w:val="20"/>
          <w:color w:val="auto"/>
        </w:rPr>
      </w:pPr>
      <w:r>
        <w:rPr>
          <w:rFonts w:ascii="Times New Roman" w:cs="Times New Roman" w:eastAsia="Times New Roman" w:hAnsi="Times New Roman"/>
          <w:sz w:val="18"/>
          <w:szCs w:val="18"/>
          <w:color w:val="auto"/>
        </w:rPr>
        <w:t>In March 2021, we completed a follow-on offering and issued 5,175,000 shares of our common stock (including the exercise by the underwriters of their option to purchase an additional 675,000 shares of common stock) at a price to the public of $31.00 per share for net proceeds of $150.2 million, after deducting underwriting discounts and commissions of $9.6 million and expenses of $0.6 million.</w:t>
      </w:r>
    </w:p>
    <w:p>
      <w:pPr>
        <w:spacing w:after="0" w:line="6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August 2021, we filed a shelf registration statement on Form S-3 on file with the SEC. This shelf registration statement, which includes a base prospectus, allows us at any time to offer and sell registered common stock, preferred stock, debt securities, warrants, subscriptions rights and units or any combination of such securities described in the prospectus in one or more offerings. In addition, we entered into an Equity Distribution Agreement with Piper Sandler &amp; Co. (Piper Sandler) pursuant to which, from time to time, we may offer and sell through Piper Sandler up to $150.0 million of the common stock registered under the shelf registration statement pursuant to one or more “at the market” offerings. We are not required to sell any shares at any time during the term of the Equity Distribution Agreement. We agreed to pay Piper Sandler a commission of 3% of the gross sales price of any shares sold pursuant to the Equity Distribution Agreement. In June 2022, we issued and sold 2,000,000 shares of common stock under the Equity Distribution Agreement at a price of $10.0001 per share of common stock for net proceeds of approximately $19.3 million after deducting offering commissions and expenses paid by us (the June 2022 ATM Offering). As of August 31, 2022, we had $130.0 million of common stock remaining available for sale under the Equity Distribution Agreement.</w:t>
      </w:r>
    </w:p>
    <w:p>
      <w:pPr>
        <w:spacing w:after="0" w:line="57" w:lineRule="exact"/>
        <w:rPr>
          <w:sz w:val="20"/>
          <w:szCs w:val="20"/>
          <w:color w:val="auto"/>
        </w:rPr>
      </w:pPr>
    </w:p>
    <w:p>
      <w:pPr>
        <w:ind w:right="120" w:firstLine="510"/>
        <w:spacing w:after="0" w:line="223" w:lineRule="exact"/>
        <w:rPr>
          <w:sz w:val="20"/>
          <w:szCs w:val="20"/>
          <w:color w:val="auto"/>
        </w:rPr>
      </w:pPr>
      <w:r>
        <w:rPr>
          <w:rFonts w:ascii="Times New Roman" w:cs="Times New Roman" w:eastAsia="Times New Roman" w:hAnsi="Times New Roman"/>
          <w:sz w:val="18"/>
          <w:szCs w:val="18"/>
          <w:color w:val="auto"/>
        </w:rPr>
        <w:t>In July 2022, we entered into separate securities purchase agreements with certain purchasers to issue and sell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to purchase an aggregate of 6,814,920 shares of our common stock in registered direct offerings (RDOs) at a price of $13.939 per pre-funded warrant. Net proceeds from the RDOs were approximately $94.8 million, after deducting offering expenses of $0.2 million. The pre-funded warrants were immediately exercisable, have an exercise price of $0.001 and may be exercised at any time after the date of issuance. A holder of the pre-funded warrants may not exercise the warrant if the holder, together with its affiliates, would beneficially own more than 9.99% of the number of shares of our common stock outstanding immediately after giving effect to such exercise. A holder of the pre-funded warrants may increase or decrease this percentage not in excess of 19.99% by providing us at least 61 days’ prior notice. As of August 31, 2022, all of the pre-funded warrants remained available for exercise.</w:t>
      </w:r>
    </w:p>
    <w:p>
      <w:pPr>
        <w:spacing w:after="0" w:line="91" w:lineRule="exact"/>
        <w:rPr>
          <w:sz w:val="20"/>
          <w:szCs w:val="20"/>
          <w:color w:val="auto"/>
        </w:rPr>
      </w:pPr>
    </w:p>
    <w:p>
      <w:pPr>
        <w:ind w:right="280" w:firstLine="510"/>
        <w:spacing w:after="0" w:line="256" w:lineRule="auto"/>
        <w:rPr>
          <w:sz w:val="20"/>
          <w:szCs w:val="20"/>
          <w:color w:val="auto"/>
        </w:rPr>
      </w:pPr>
      <w:r>
        <w:rPr>
          <w:rFonts w:ascii="Times New Roman" w:cs="Times New Roman" w:eastAsia="Times New Roman" w:hAnsi="Times New Roman"/>
          <w:sz w:val="18"/>
          <w:szCs w:val="18"/>
          <w:color w:val="auto"/>
        </w:rPr>
        <w:t>Unless otherwise specified in a prospectus supplement accompanying the base prospectus, we intend to use the net proceeds from the sale of any securities offered pursuant to the shelf registration statement for general corporate purposes, which may include funding research, clinical and process development, increasing our working capital, reducing indebtedness, acquisitions or investments in businesses, products or technologies that are complementary to our own and capital expenditures. Pending such uses, we may invest the net proceeds in marketable securities that may include investment-grade interest-bearing securities, money market accounts, certificates of deposit, commercial paper and guaranteed obligations of the U.S. government.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ind w:right="220" w:firstLine="510"/>
        <w:spacing w:after="0" w:line="266" w:lineRule="auto"/>
        <w:rPr>
          <w:sz w:val="20"/>
          <w:szCs w:val="20"/>
          <w:color w:val="auto"/>
        </w:rPr>
      </w:pPr>
      <w:r>
        <w:rPr>
          <w:rFonts w:ascii="Times New Roman" w:cs="Times New Roman" w:eastAsia="Times New Roman" w:hAnsi="Times New Roman"/>
          <w:sz w:val="18"/>
          <w:szCs w:val="18"/>
          <w:color w:val="auto"/>
        </w:rPr>
        <w:t>As of August 31, 2022, our operations have primarily been funded through the net proceeds from equity offerings of $650.5 million and proceeds from collaborations of $310.0 million. We do not have any products approved for sale, and we have not generated any revenue from product sales. As of August 31, 2022, we had $413.6 million in cash, cash equivalents and marketable securities.</w:t>
      </w:r>
    </w:p>
    <w:p>
      <w:pPr>
        <w:spacing w:after="0" w:line="68" w:lineRule="exact"/>
        <w:rPr>
          <w:sz w:val="20"/>
          <w:szCs w:val="20"/>
          <w:color w:val="auto"/>
        </w:rPr>
      </w:pPr>
    </w:p>
    <w:p>
      <w:pPr>
        <w:ind w:firstLine="510"/>
        <w:spacing w:after="0" w:line="219" w:lineRule="exact"/>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are sufficient to meet our cash requirements and continue operating activities, including the clinical trials of our drug candidates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2127,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1607,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and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and the expansion of our intellectual property portfolio and infrastructure, for at least the next 12 months. We will need substantial additional funding to support our continuing operations and pursue our long-term business plan. We may seek to raise any necessary additional capital through a combination of public or private equity offerings, debt financings, collaborations, strategic alliances, licensing arrangements and other marketing and distribution arrangements. Because of the numerous risks and uncertainties associated with the development and commercialization of our drug candidates and the extent to which we may enter into additional collaborations with third parties to participate in their development and commercialization, we are unable to estimate the amounts of increased capital outlays and operating expenditures associated with our current and anticipated pre-clinical studies and clinical trials.</w:t>
      </w:r>
    </w:p>
    <w:p>
      <w:pPr>
        <w:spacing w:after="0" w:line="90" w:lineRule="exact"/>
        <w:rPr>
          <w:sz w:val="20"/>
          <w:szCs w:val="20"/>
          <w:color w:val="auto"/>
        </w:rPr>
      </w:pPr>
    </w:p>
    <w:p>
      <w:pPr>
        <w:ind w:right="660" w:firstLine="510"/>
        <w:spacing w:after="0" w:line="282" w:lineRule="auto"/>
        <w:rPr>
          <w:sz w:val="20"/>
          <w:szCs w:val="20"/>
          <w:color w:val="auto"/>
        </w:rPr>
      </w:pPr>
      <w:r>
        <w:rPr>
          <w:rFonts w:ascii="Times New Roman" w:cs="Times New Roman" w:eastAsia="Times New Roman" w:hAnsi="Times New Roman"/>
          <w:sz w:val="18"/>
          <w:szCs w:val="18"/>
          <w:color w:val="auto"/>
        </w:rPr>
        <w:t>In the long term, our ability to support our working capital and capital expenditure requirements will depend on many factors, including the following:</w:t>
      </w:r>
    </w:p>
    <w:p>
      <w:pPr>
        <w:spacing w:after="0" w:line="25" w:lineRule="exact"/>
        <w:rPr>
          <w:sz w:val="20"/>
          <w:szCs w:val="20"/>
          <w:color w:val="auto"/>
        </w:rPr>
      </w:pPr>
    </w:p>
    <w:p>
      <w:pPr>
        <w:ind w:left="1000" w:right="160" w:hanging="493"/>
        <w:spacing w:after="0" w:line="239" w:lineRule="exact"/>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ongoing Phase 1 clinical trials for our lead drug candidates NX-2127, NX-1607,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and DeTIL-0255, and any future clinical development of such drug candidates;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0" w:name="page31"/>
    <w:bookmarkEnd w:id="30"/>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other drug candidates and development programs;</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drug candidates that we pursue;</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advancements to our DELigase platform;</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Sanofi, Gilead and any other collaborations we may establish;</w:t>
      </w:r>
    </w:p>
    <w:p>
      <w:pPr>
        <w:spacing w:after="0" w:line="144"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144"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drug candidates for which we receive marketing approval;</w:t>
      </w:r>
    </w:p>
    <w:p>
      <w:pPr>
        <w:spacing w:after="0" w:line="144" w:lineRule="exact"/>
        <w:rPr>
          <w:rFonts w:ascii="Times New Roman" w:cs="Times New Roman" w:eastAsia="Times New Roman" w:hAnsi="Times New Roman"/>
          <w:sz w:val="18"/>
          <w:szCs w:val="18"/>
          <w:color w:val="auto"/>
        </w:rPr>
      </w:pPr>
    </w:p>
    <w:p>
      <w:pPr>
        <w:ind w:left="1000" w:right="280" w:hanging="493"/>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1000" w:right="100" w:hanging="493"/>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54"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If adequate funds are not available at favorable terms, we may be required to reduce operating expenses, delay or reduce the scope of our product development and commercial expansion programs, obtain funds through arrangements with others that may require us to relinquish rights to certain of our technologies or products that we would otherwise seek to develop or commercialize ourselves, or cease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August 31, 2022, our material cash requirements include the following contractual and other obligations (in thousands):</w:t>
      </w:r>
    </w:p>
    <w:p>
      <w:pPr>
        <w:spacing w:after="0" w:line="20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Less than 1 year</w:t>
            </w:r>
          </w:p>
        </w:tc>
        <w:tc>
          <w:tcPr>
            <w:tcW w:w="160" w:type="dxa"/>
            <w:vAlign w:val="bottom"/>
          </w:tcPr>
          <w:p>
            <w:pPr>
              <w:spacing w:after="0"/>
              <w:rPr>
                <w:sz w:val="13"/>
                <w:szCs w:val="13"/>
                <w:color w:val="auto"/>
              </w:rPr>
            </w:pPr>
          </w:p>
        </w:tc>
        <w:tc>
          <w:tcPr>
            <w:tcW w:w="1020" w:type="dxa"/>
            <w:vAlign w:val="bottom"/>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1 to 3 years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3 to 5 years</w:t>
            </w:r>
          </w:p>
        </w:tc>
        <w:tc>
          <w:tcPr>
            <w:tcW w:w="140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More than 5 years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3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2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23,248</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48,080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12,965</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48,080</w:t>
            </w:r>
          </w:p>
        </w:tc>
        <w:tc>
          <w:tcPr>
            <w:tcW w:w="100" w:type="dxa"/>
            <w:vAlign w:val="bottom"/>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right="260" w:firstLine="510"/>
        <w:spacing w:after="0" w:line="266" w:lineRule="auto"/>
        <w:rPr>
          <w:sz w:val="20"/>
          <w:szCs w:val="20"/>
          <w:color w:val="auto"/>
        </w:rPr>
      </w:pPr>
      <w:r>
        <w:rPr>
          <w:rFonts w:ascii="Times New Roman" w:cs="Times New Roman" w:eastAsia="Times New Roman" w:hAnsi="Times New Roman"/>
          <w:sz w:val="18"/>
          <w:szCs w:val="18"/>
          <w:color w:val="auto"/>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 These payments are not included in the table above.</w:t>
      </w:r>
    </w:p>
    <w:p>
      <w:pPr>
        <w:spacing w:after="0" w:line="68" w:lineRule="exact"/>
        <w:rPr>
          <w:sz w:val="20"/>
          <w:szCs w:val="20"/>
          <w:color w:val="auto"/>
        </w:rPr>
      </w:pPr>
    </w:p>
    <w:p>
      <w:pPr>
        <w:ind w:right="400" w:firstLine="510"/>
        <w:spacing w:after="0" w:line="289"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cash flows for the nine months ended August 31, 2022 and 2021 are summarized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4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 August 31,</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20" w:type="dxa"/>
            <w:vAlign w:val="bottom"/>
            <w:tcBorders>
              <w:bottom w:val="single" w:sz="8" w:color="CFF0FC"/>
            </w:tcBorders>
          </w:tcPr>
          <w:p>
            <w:pPr>
              <w:spacing w:after="0"/>
              <w:rPr>
                <w:sz w:val="19"/>
                <w:szCs w:val="19"/>
                <w:color w:val="auto"/>
              </w:rPr>
            </w:pPr>
          </w:p>
        </w:tc>
        <w:tc>
          <w:tcPr>
            <w:tcW w:w="20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0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(121,852)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(53,454)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2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(27,810)</w:t>
            </w:r>
          </w:p>
        </w:tc>
        <w:tc>
          <w:tcPr>
            <w:tcW w:w="3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(71,728)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0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117,327</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153,382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20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(32,335)</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20" w:type="dxa"/>
            <w:vAlign w:val="bottom"/>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$121.9 million for the nine months ended August 31, 2022 and consisted of a net loss of $133.6 million and an increase in net assets of $17.1 million, offset by non-cash adjustments of $28.9 million. The increase in net assets consisted of a decrease in deferred revenue of $22.3 million as we increased effort in our programs and recognized revenue, a decrease in operating lease liabilities of $3.7 million and an increase in prepaid expenses and other assets of $2.3 million primarily related to increased prepaid clinical and contract manufacturing costs and software license costs, offset by a decrease in accounts receivable of $6.0 million related to payments received under the Gilead Agreement, an increase in accrued expenses and other liabilities of $4.2 million primarily related to equipment purchases and the accrual of annual incentive compensation and an increase in accounts payable of $1.0 million. Non-cash adjustments primarily consisted of stock-based compensation expenses of $19.8 million, amortization of operating lease right-of-use assets of $4.0 million and depreciation and amortization expenses of $3.7 million.</w:t>
      </w:r>
    </w:p>
    <w:p>
      <w:pPr>
        <w:spacing w:after="0" w:line="84"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$53.5 million for the nine months ended August 31, 2021 and consisted of our net loss of $79.5 million, offset by a decrease in net assets of $9.4 million and non-cash adjustments of $16.7 million. The decrease in net assets consisted primarily of an increase in deferred revenue of $10.6 million, a decrease in income tax receivable of $3.6 million due to refunds received, an increase in accrued and other liabilities of $2.8 million, offset by an increase in prepaid expenses and other assets of $6.0 million primarily due to increased prepaid clinical costs and a decrease in operating lease liabilities of $2.4 million. Non-cash adjustments primarily consisted of stock-based compensation expenses of $11.0 million, amortization of operating lease right-of-use assets of $2.4 million and depreciation and amortization expenses of $2.0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80" w:firstLine="510"/>
        <w:spacing w:after="0" w:line="312" w:lineRule="auto"/>
        <w:rPr>
          <w:sz w:val="20"/>
          <w:szCs w:val="20"/>
          <w:color w:val="auto"/>
        </w:rPr>
      </w:pPr>
      <w:r>
        <w:rPr>
          <w:rFonts w:ascii="Times New Roman" w:cs="Times New Roman" w:eastAsia="Times New Roman" w:hAnsi="Times New Roman"/>
          <w:sz w:val="17"/>
          <w:szCs w:val="17"/>
          <w:color w:val="auto"/>
        </w:rPr>
        <w:t>Net cash used in investing activities was $27.8 million for the nine months ended August 31, 2022 and consisted of the purchase of marketable securities of $212.5 million and the purchase of property and equipment of $9.7 million, offset by the maturity of marketable securities of $194.3 million.</w:t>
      </w:r>
    </w:p>
    <w:p>
      <w:pPr>
        <w:spacing w:after="0" w:line="32"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$71.7 million for the nine months ended August 31, 2021 and consisted of the purchase of marketable securities of $257.8 million and the purchase of property and equipment of $4.8 million, offset by the sale of marketable securities of $7.0 million and the maturity of marketable securities of $183.9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300" w:firstLine="51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$117.3 million for the nine months ended August 31, 2022 and consisted primarily of net proceeds from the issuance of pre-funded warrants in the RDOs of $94.9 million and from the issuance of common stock in the June 2022 ATM Offering of $19.4 million.</w:t>
      </w:r>
    </w:p>
    <w:p>
      <w:pPr>
        <w:spacing w:after="0" w:line="68"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$153.4 million for the nine months ended August 31, 2021 and consisted primarily of proceeds from the issuance of common stock from a follow-on offering in March 2021.</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40" w:firstLine="510"/>
        <w:spacing w:after="0" w:line="266" w:lineRule="auto"/>
        <w:rPr>
          <w:sz w:val="20"/>
          <w:szCs w:val="20"/>
          <w:color w:val="auto"/>
        </w:rPr>
      </w:pPr>
      <w:r>
        <w:rPr>
          <w:rFonts w:ascii="Times New Roman" w:cs="Times New Roman" w:eastAsia="Times New Roman" w:hAnsi="Times New Roman"/>
          <w:sz w:val="18"/>
          <w:szCs w:val="18"/>
          <w:color w:val="auto"/>
        </w:rPr>
        <w:t>Our market risks, as of August 31, 2022, have not changed materially from those discussed in “Item 7A. Quantitative and Qualitative Disclosures About Market Risk” of our Annual Report on Form 10-K for the year ended November 30, 2021, filed with the SEC on January 28, 2022. As a “smaller reporting company” we are no longer required to provide the information required under this Item.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August 31, 2022.</w:t>
      </w:r>
    </w:p>
    <w:p>
      <w:pPr>
        <w:spacing w:after="0" w:line="6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President and Chief Executive Officer and our Chief Financial Officer, to allow timely decisions regarding required disclosure. Based on the evaluation of our disclosure controls and procedures, our President and Chief Executive Officer and our Chief Financial Officer concluded that our disclosure controls and procedures were not effective as of August 31, 2022 due to the material weakness in our internal control over financial reporting described below.</w:t>
      </w:r>
    </w:p>
    <w:p>
      <w:pPr>
        <w:spacing w:after="0" w:line="8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In light of this fact, our management has performed additional analyses, reconciliations, and other post-closing procedures and has concluded that, notwithstanding the material weakness in our internal control over financial reporting, the condensed consolidated financial statements for the periods covered by and included in this Quarterly Report on Form 10-Q fairly present, in all material respects, our financial position, results of operations and cash flows as of and for the periods presented in conformity with U.S.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Reported Material Weakness in Internal Control over Financial Reporting</w:t>
      </w:r>
    </w:p>
    <w:p>
      <w:pPr>
        <w:spacing w:after="0" w:line="121" w:lineRule="exact"/>
        <w:rPr>
          <w:sz w:val="20"/>
          <w:szCs w:val="20"/>
          <w:color w:val="auto"/>
        </w:rPr>
      </w:pPr>
    </w:p>
    <w:p>
      <w:pPr>
        <w:ind w:right="500" w:firstLine="510"/>
        <w:spacing w:after="0" w:line="282" w:lineRule="auto"/>
        <w:rPr>
          <w:sz w:val="20"/>
          <w:szCs w:val="20"/>
          <w:color w:val="auto"/>
        </w:rPr>
      </w:pPr>
      <w:r>
        <w:rPr>
          <w:rFonts w:ascii="Times New Roman" w:cs="Times New Roman" w:eastAsia="Times New Roman" w:hAnsi="Times New Roman"/>
          <w:sz w:val="18"/>
          <w:szCs w:val="18"/>
          <w:color w:val="auto"/>
        </w:rPr>
        <w:t>We have previously identified in our Annual Report on Form 10-K filed on January 28, 2022 the following control deficiencies that constitute material weaknesses in our internal control over financial reporting:</w:t>
      </w:r>
    </w:p>
    <w:p>
      <w:pPr>
        <w:spacing w:after="0" w:line="54" w:lineRule="exact"/>
        <w:rPr>
          <w:sz w:val="20"/>
          <w:szCs w:val="20"/>
          <w:color w:val="auto"/>
        </w:rPr>
      </w:pPr>
    </w:p>
    <w:p>
      <w:pPr>
        <w:ind w:left="1000" w:hanging="493"/>
        <w:spacing w:after="0" w:line="253"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certain information technology (IT) general controls for IT systems that are relevant to the preparation of the financial statements. Specifically, we did not design and maintain: (a) user access controls to ensure appropriate segregation of duties and that adequately restrict user and privileged access to financial applications, programs, and data to appropriate personnel, and (b) program change management controls to ensure that IT program and data changes affecting financial IT applications and underlying accounting records are identified, tested, authorized and implemented appropriately. These IT deficiencies did not result in any misstatements to the financial statements; however, the deficiencies, when aggregated, could impact our ability to maintain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result in a material misstatement to the annual or interim financial statements that would not be prevented or detected. Accordingly, management has determined that these deficiencies in the aggregate constitute a material weakness.</w:t>
      </w:r>
    </w:p>
    <w:p>
      <w:pPr>
        <w:spacing w:after="0" w:line="83" w:lineRule="exact"/>
        <w:rPr>
          <w:rFonts w:ascii="Times New Roman" w:cs="Times New Roman" w:eastAsia="Times New Roman" w:hAnsi="Times New Roman"/>
          <w:sz w:val="18"/>
          <w:szCs w:val="18"/>
          <w:color w:val="auto"/>
        </w:rPr>
      </w:pPr>
    </w:p>
    <w:p>
      <w:pPr>
        <w:ind w:left="1000" w:right="60" w:hanging="493"/>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segregation of duty controls over the review and approval of account reconciliations and manual journal entries. This material weakness did not result in any misstatements to the financial statements; however, the deficiency could result in a misstatement of substantially all of our account balances or disclosures that would result in a material misstatement to the annual or interim financial statements that would not be prevented or detected.</w:t>
      </w:r>
    </w:p>
    <w:p>
      <w:pPr>
        <w:spacing w:after="0" w:line="72"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These material weaknesses could result in a misstatement of substantially all of our account balances or disclosures that would result in a material misstatement to the annual or interim financial statements that would not be prevented or detected.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w:t>
      </w:r>
    </w:p>
    <w:p>
      <w:pPr>
        <w:spacing w:after="0" w:line="121"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To address our material weaknesses, we have implemented and continue to implement new IT controls. We intend to continue to take steps to remediate the material weaknesses through formalizing documentation of IT policies and procedures and ensuring the ongoing operating effectiveness of the newly implemented IT controls to support effective IT dependent controls and our ability to maintain segregation of duties for our accounting staff in relation to account reconciliations and manual journal entries.</w:t>
      </w:r>
    </w:p>
    <w:p>
      <w:pPr>
        <w:spacing w:after="0" w:line="72"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While we believe that these efforts will improve our internal control over financial reporting, the design and implementation of our remediation is ongoing and will require validation and testing of the design and operating effectiveness of our internal controls over a sustained period of financial reporting cycles. The actions that we are taking are subject to ongoing senior management review, as well as audit committee oversight. We will not be able to conclude whether the steps we are taking will fully remediate the material weaknesses in our internal control over financial reporting until we have completed our remediation efforts and subsequent evaluation of their effectiveness.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As described under the Remediation Plan above, we continued formalizing documentation of our IT policies and procedures and implementing new controls during the three months ended August 31, 2022. Such remediation actions were changes in our internal control over financial reporting identified in connection with the evaluation required by Rule 13a-15(d) and 15d-15(d) of the Exchange Act that occurred during the three months ended August 31, 2022 that have materially affected, or are reasonably likely to materially affect, our internal control over financial reporting.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We are not presently a party to any legal proceedings that, in the opinion of management, would have a material adverse effect on our business or condensed consolidated financial statements. Regardless of outcome, litigation can have an adverse impact on us due to defense and settlement costs, diversion of management resources, negative publicity and reputational harm and other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firstLine="468"/>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making your decision to invest in shares of our common stock, you should carefully consider the risks and uncertainties described below, together with all of the other information contained in this Quarterly Report on Form 10-Q, including our condensed consolidated financial statements and related notes and the section titled “Management’s Discussion and Analysis of Financial Condition and Results of Operations.” We cannot assure you that any of the events discussed below will not occur.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If that were to happen, the trading price of our common stock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at-length below. These risks include, among others, the following:</w:t>
      </w:r>
    </w:p>
    <w:p>
      <w:pPr>
        <w:spacing w:after="0" w:line="54" w:lineRule="exact"/>
        <w:rPr>
          <w:sz w:val="20"/>
          <w:szCs w:val="20"/>
          <w:color w:val="auto"/>
        </w:rPr>
      </w:pPr>
    </w:p>
    <w:p>
      <w:pPr>
        <w:ind w:left="1000" w:right="120" w:hanging="493"/>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at least the next several years and may never achieve or maintain profitability.</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 profitable.</w:t>
      </w:r>
    </w:p>
    <w:p>
      <w:pPr>
        <w:spacing w:after="0" w:line="117"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53" w:lineRule="exact"/>
        <w:rPr>
          <w:rFonts w:ascii="Times New Roman" w:cs="Times New Roman" w:eastAsia="Times New Roman" w:hAnsi="Times New Roman"/>
          <w:sz w:val="18"/>
          <w:szCs w:val="18"/>
          <w:color w:val="auto"/>
        </w:rPr>
      </w:pPr>
    </w:p>
    <w:p>
      <w:pPr>
        <w:ind w:left="1000" w:right="120" w:hanging="493"/>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Our lead drug candidates, NX-2127, NX-1607, NX-5948 and DeTIL-0255 recently entered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6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may make it difficult to evaluate the success of our business to date and to assess our future viability.</w:t>
      </w:r>
    </w:p>
    <w:p>
      <w:pPr>
        <w:spacing w:after="0" w:line="117" w:lineRule="exact"/>
        <w:rPr>
          <w:rFonts w:ascii="Times New Roman" w:cs="Times New Roman" w:eastAsia="Times New Roman" w:hAnsi="Times New Roman"/>
          <w:sz w:val="18"/>
          <w:szCs w:val="18"/>
          <w:color w:val="auto"/>
        </w:rPr>
      </w:pPr>
    </w:p>
    <w:p>
      <w:pPr>
        <w:ind w:left="1000" w:right="60" w:hanging="493"/>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53" w:lineRule="exact"/>
        <w:rPr>
          <w:rFonts w:ascii="Times New Roman" w:cs="Times New Roman" w:eastAsia="Times New Roman" w:hAnsi="Times New Roman"/>
          <w:sz w:val="18"/>
          <w:szCs w:val="18"/>
          <w:color w:val="auto"/>
        </w:rPr>
      </w:pPr>
    </w:p>
    <w:p>
      <w:pPr>
        <w:ind w:left="1000" w:right="60" w:hanging="493"/>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studies and early-stage clinical trials may not be predictive of future results. Initial success in clinical trials may not be indicative of results obtained when these trials are completed or in later-stage trials.</w:t>
      </w:r>
    </w:p>
    <w:p>
      <w:pPr>
        <w:spacing w:after="0" w:line="53" w:lineRule="exact"/>
        <w:rPr>
          <w:rFonts w:ascii="Times New Roman" w:cs="Times New Roman" w:eastAsia="Times New Roman" w:hAnsi="Times New Roman"/>
          <w:sz w:val="18"/>
          <w:szCs w:val="18"/>
          <w:color w:val="auto"/>
        </w:rPr>
      </w:pPr>
    </w:p>
    <w:p>
      <w:pPr>
        <w:jc w:val="both"/>
        <w:ind w:left="1000" w:right="20" w:hanging="493"/>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67" w:lineRule="exact"/>
        <w:rPr>
          <w:rFonts w:ascii="Times New Roman" w:cs="Times New Roman" w:eastAsia="Times New Roman" w:hAnsi="Times New Roman"/>
          <w:sz w:val="18"/>
          <w:szCs w:val="18"/>
          <w:color w:val="auto"/>
        </w:rPr>
      </w:pPr>
    </w:p>
    <w:p>
      <w:pPr>
        <w:ind w:left="1000" w:right="80" w:hanging="493"/>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w:t>
      </w:r>
    </w:p>
    <w:p>
      <w:pPr>
        <w:spacing w:after="0" w:line="67" w:lineRule="exact"/>
        <w:rPr>
          <w:rFonts w:ascii="Times New Roman" w:cs="Times New Roman" w:eastAsia="Times New Roman" w:hAnsi="Times New Roman"/>
          <w:sz w:val="18"/>
          <w:szCs w:val="18"/>
          <w:color w:val="auto"/>
        </w:rPr>
      </w:pPr>
    </w:p>
    <w:p>
      <w:pPr>
        <w:ind w:left="1000" w:right="420" w:hanging="493"/>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in an environment of rapid technological change, which may result in others discovering, developing or commercializing products before or more successfully than we do.</w:t>
      </w:r>
    </w:p>
    <w:p>
      <w:pPr>
        <w:spacing w:after="0" w:line="53" w:lineRule="exact"/>
        <w:rPr>
          <w:rFonts w:ascii="Times New Roman" w:cs="Times New Roman" w:eastAsia="Times New Roman" w:hAnsi="Times New Roman"/>
          <w:sz w:val="18"/>
          <w:szCs w:val="18"/>
          <w:color w:val="auto"/>
        </w:rPr>
      </w:pPr>
    </w:p>
    <w:p>
      <w:pPr>
        <w:ind w:left="1000" w:right="220" w:hanging="493"/>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5" w:name="page36"/>
    <w:bookmarkEnd w:id="35"/>
    <w:p>
      <w:pPr>
        <w:ind w:left="1000" w:right="40" w:hanging="493"/>
        <w:spacing w:after="0" w:line="26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contract manufacturing organizations (CMOs)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71" w:lineRule="exact"/>
        <w:rPr>
          <w:rFonts w:ascii="Times New Roman" w:cs="Times New Roman" w:eastAsia="Times New Roman" w:hAnsi="Times New Roman"/>
          <w:sz w:val="18"/>
          <w:szCs w:val="18"/>
          <w:color w:val="auto"/>
        </w:rPr>
      </w:pPr>
    </w:p>
    <w:p>
      <w:pPr>
        <w:ind w:left="1000" w:right="120" w:hanging="493"/>
        <w:spacing w:after="0" w:line="261"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71"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could adversely affect our business, financial condition, stock price and results of operations.</w:t>
      </w:r>
    </w:p>
    <w:p>
      <w:pPr>
        <w:spacing w:after="0" w:line="117" w:lineRule="exact"/>
        <w:rPr>
          <w:rFonts w:ascii="Times New Roman" w:cs="Times New Roman" w:eastAsia="Times New Roman" w:hAnsi="Times New Roman"/>
          <w:sz w:val="18"/>
          <w:szCs w:val="18"/>
          <w:color w:val="auto"/>
        </w:rPr>
      </w:pPr>
    </w:p>
    <w:p>
      <w:pPr>
        <w:ind w:left="1000" w:right="280" w:hanging="493"/>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at least the next several years and may never achieve or maintain profitability.</w:t>
      </w:r>
    </w:p>
    <w:p>
      <w:pPr>
        <w:spacing w:after="0" w:line="51" w:lineRule="exact"/>
        <w:rPr>
          <w:sz w:val="20"/>
          <w:szCs w:val="20"/>
          <w:color w:val="auto"/>
        </w:rPr>
      </w:pPr>
    </w:p>
    <w:p>
      <w:pPr>
        <w:ind w:firstLine="510"/>
        <w:spacing w:after="0" w:line="219" w:lineRule="exact"/>
        <w:rPr>
          <w:sz w:val="20"/>
          <w:szCs w:val="20"/>
          <w:color w:val="auto"/>
        </w:rPr>
      </w:pPr>
      <w:r>
        <w:rPr>
          <w:rFonts w:ascii="Times New Roman" w:cs="Times New Roman" w:eastAsia="Times New Roman" w:hAnsi="Times New Roman"/>
          <w:sz w:val="18"/>
          <w:szCs w:val="18"/>
          <w:color w:val="auto"/>
        </w:rPr>
        <w:t>Our net loss was $117.2 million for the fiscal year ended November 30, 2021, and $133.6 million for the nine months ended August 31, 2022. As of August 31, 2022, we had an accumulated deficit of $354.5 million. To date, we have not generated any revenue from product sales and have financed our operations primarily through our collaborations and sales of our equity interests. We are in the early stages of development of our drug candidates. Our lead drug candidates, NX-2127, NX-1607, NX-5948 and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recently entered clinical development. We expect to continue to incur significant expenses and increasing operating losses for at least the next several years. We anticipate that our operating expenses and capital expenditure requirements will increase substantially if and as we:</w:t>
      </w:r>
    </w:p>
    <w:p>
      <w:pPr>
        <w:spacing w:after="0" w:line="95" w:lineRule="exact"/>
        <w:rPr>
          <w:sz w:val="20"/>
          <w:szCs w:val="20"/>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enrollment in our Phase 1 clinical trials of our drug candidates NX-2127, NX-1607, NX-5948 and DeTIL-0255;</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investigational new drug applications (INDs) and initiate clinical trials of our other drug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advanced clinical development and scale up external manufacturing capabilities to supply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capabilities of our DELigase platform and apply our DELigase platform to advance additional drug candidates into preclinical and clinical development;</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process development for manufacturing of our DeTIL cell therapy products;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drug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00" w:right="160" w:hanging="493"/>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and scale up external manufacturing capabilities to commercialize any products for which we may obtain marketing approval;</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maintain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manufacturing, quality assurance and scientific personnel; and</w:t>
      </w:r>
    </w:p>
    <w:p>
      <w:pPr>
        <w:spacing w:after="0" w:line="117"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to support our research, product development and future commercialization efforts and support our operations as a public company.</w:t>
      </w:r>
    </w:p>
    <w:p>
      <w:pPr>
        <w:spacing w:after="0" w:line="54" w:lineRule="exact"/>
        <w:rPr>
          <w:sz w:val="20"/>
          <w:szCs w:val="20"/>
          <w:color w:val="auto"/>
        </w:rPr>
      </w:pPr>
    </w:p>
    <w:p>
      <w:pPr>
        <w:jc w:val="both"/>
        <w:ind w:right="160" w:firstLine="510"/>
        <w:spacing w:after="0" w:line="266" w:lineRule="auto"/>
        <w:rPr>
          <w:sz w:val="20"/>
          <w:szCs w:val="20"/>
          <w:color w:val="auto"/>
        </w:rPr>
      </w:pPr>
      <w:r>
        <w:rPr>
          <w:rFonts w:ascii="Times New Roman" w:cs="Times New Roman" w:eastAsia="Times New Roman" w:hAnsi="Times New Roman"/>
          <w:sz w:val="18"/>
          <w:szCs w:val="18"/>
          <w:color w:val="auto"/>
        </w:rPr>
        <w:t>Our expenses could increase beyond our expectations if we are required by the FDA, the European Medicines Agency (EMA) or other regulatory authorities to perform trials in addition to those we currently expect, or if there are any delays in establishing appropriate manufacturing arrangements for or in completing our planned clinical trials or the development of any of our drug candidates.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6" w:name="page37"/>
    <w:bookmarkEnd w:id="36"/>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will incur or when, if ever, we will be able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 profitable.</w:t>
      </w:r>
    </w:p>
    <w:p>
      <w:pPr>
        <w:spacing w:after="0" w:line="121"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We recently commenced clinical development of our drug candidates NX-2127, NX-1607, NX-5948 and DeTIL-0255. We expect that it will be many years, if ever, before we have a drug candidate ready for commercialization. We may never succeed in these activities and, even if we do, may never generate revenues that are significant enough to achieve profitability. To become and remain profitable, we must succeed in developing, obtaining marketing approval for and commercializing products that generate significant revenue. This will require us to be successful in a range of challenging activities, including completing preclinical testing and clinical trials of our drug candidates, discovering additional drug candidates, establishing and maintaining arrangements with third parties for the manufacture of clinical supplies of our drug candidates, obtaining marketing approval for our drug candidates and manufacturing, marketing, selling and obtaining reimbursement for any products for which we may obtain marketing approval.</w:t>
      </w:r>
    </w:p>
    <w:p>
      <w:pPr>
        <w:spacing w:after="0" w:line="81" w:lineRule="exact"/>
        <w:rPr>
          <w:sz w:val="20"/>
          <w:szCs w:val="20"/>
          <w:color w:val="auto"/>
        </w:rPr>
      </w:pPr>
    </w:p>
    <w:p>
      <w:pPr>
        <w:jc w:val="both"/>
        <w:ind w:right="400" w:firstLine="510"/>
        <w:spacing w:after="0" w:line="266" w:lineRule="auto"/>
        <w:rPr>
          <w:sz w:val="20"/>
          <w:szCs w:val="20"/>
          <w:color w:val="auto"/>
        </w:rPr>
      </w:pPr>
      <w:r>
        <w:rPr>
          <w:rFonts w:ascii="Times New Roman" w:cs="Times New Roman" w:eastAsia="Times New Roman" w:hAnsi="Times New Roman"/>
          <w:sz w:val="18"/>
          <w:szCs w:val="18"/>
          <w:color w:val="auto"/>
        </w:rPr>
        <w:t>If one or more of the drug candidates that we develop is approved for commercial sale, we anticipate incurring significant costs associated with commercializing any approved drug candidate. Even if we are able to generate revenues from the sale of any approved products, we may not become profitable and may need to obtain additional funding to continue operations.</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may be required to delay, limit, reduce or terminate our research or product development programs or future commercialization efforts.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substantially in connection with our ongoing activities, particularly as we conduct our Phase 1 clinical trials of NX-2127, NX-1607, NX-5948 and DeTIL-0255, grow our pipeline of drug candidates, expand the breadth of our DELigase platform, continue research and development, and initiate additional clinical trials of and potentially seek marketing approval for our lead programs and other drug candidates. In addition, if we obtain marketing approval for any of our drug candidates, we expect to incur significant commercialization expenses related to product manufacturing, marketing, reimbursement, and sales and distribution. Furthermore, we expect to incur additional costs associated with operating as a public company. Accordingly, we will need to obtain substantial additional funding in connection with our continuing operations. If we are unable to raise capital when needed or on attractive terms, we may be required to delay, limit, reduce or terminate our research, product development programs or any future commercialization efforts or grant rights to develop and market drug candidates that we otherwise would prefer to develop and market ourselves.</w:t>
      </w:r>
    </w:p>
    <w:p>
      <w:pPr>
        <w:spacing w:after="0" w:line="84" w:lineRule="exact"/>
        <w:rPr>
          <w:sz w:val="20"/>
          <w:szCs w:val="20"/>
          <w:color w:val="auto"/>
        </w:rPr>
      </w:pPr>
    </w:p>
    <w:p>
      <w:pPr>
        <w:ind w:right="260" w:firstLine="510"/>
        <w:spacing w:after="0" w:line="256" w:lineRule="auto"/>
        <w:rPr>
          <w:sz w:val="20"/>
          <w:szCs w:val="20"/>
          <w:color w:val="auto"/>
        </w:rPr>
      </w:pPr>
      <w:r>
        <w:rPr>
          <w:rFonts w:ascii="Times New Roman" w:cs="Times New Roman" w:eastAsia="Times New Roman" w:hAnsi="Times New Roman"/>
          <w:sz w:val="18"/>
          <w:szCs w:val="18"/>
          <w:color w:val="auto"/>
        </w:rPr>
        <w:t>We had cash, cash equivalents and marketable securities of $413.6 million as of August 31, 2022. We believe that our existing cash, cash equivalents and marketable securities, will be sufficient to fund our operating expenses and capital expenditure requirements through at least the next 12 months. However, our future capital requirements and the period for which we expect our existing resources to support our operations may vary significantly from what we expect, and we may need to seek additional funds sooner than planned. In addition, we may seek additional capital due to favorable market conditions or strategic considerations, even if we believe we have sufficient funds for our current or future operating plans. Our future capital requirements will depend on many factors, including:</w:t>
      </w:r>
    </w:p>
    <w:p>
      <w:pPr>
        <w:spacing w:after="0" w:line="51" w:lineRule="exact"/>
        <w:rPr>
          <w:sz w:val="20"/>
          <w:szCs w:val="20"/>
          <w:color w:val="auto"/>
        </w:rPr>
      </w:pPr>
    </w:p>
    <w:p>
      <w:pPr>
        <w:ind w:left="1000" w:right="840" w:hanging="493"/>
        <w:spacing w:after="0" w:line="239" w:lineRule="exact"/>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Phase 1 clinical trials for NX-2127, NX-1607, NX-5948,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and any future clinical development of such drug candidates;</w:t>
      </w:r>
    </w:p>
    <w:p>
      <w:pPr>
        <w:spacing w:after="0" w:line="90"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costs and results of preclinical and clinical development for our other drug candidates and development programs;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drug candidates that we pursue;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advancements to our DELigase platform;</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and costs associated with, future preclinical development of our DeTIL cell therapy products;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Sanofi, Gilead and any other collaborations we may establish;</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117" w:lineRule="exact"/>
        <w:rPr>
          <w:rFonts w:ascii="Times New Roman" w:cs="Times New Roman" w:eastAsia="Times New Roman" w:hAnsi="Times New Roman"/>
          <w:sz w:val="18"/>
          <w:szCs w:val="18"/>
          <w:color w:val="auto"/>
        </w:rPr>
      </w:pPr>
    </w:p>
    <w:p>
      <w:pPr>
        <w:ind w:left="1000" w:right="6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drug candidates for which we receive marketing approval;</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ind w:left="1000" w:right="26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53"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additional collaboration arrangements with other biotechnology or pharmaceutical companies on favorable terms, if at all, for the development or commercialization of our drug candidates.</w:t>
      </w:r>
    </w:p>
    <w:p>
      <w:pPr>
        <w:spacing w:after="0" w:line="54"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will need to raise substantial additional capital to complete the development and commercialization of our drug candidates. In addition, our drug candidates, if approved, may not achieve commercial success. Our commercial revenues, if any, will be derived from sales of products that we do not expect to be commercially available for many years, if at all. Accordingly, we will need to obtain substantial additional funds to achieve our business objectives. Adequate additional funds may not be available to us on acceptable terms, or at all.</w:t>
      </w:r>
    </w:p>
    <w:p>
      <w:pPr>
        <w:spacing w:after="0" w:line="17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Although we may receive potential future milestone payments under our collaborations with Sanofi and Gilead,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81" w:lineRule="exact"/>
        <w:rPr>
          <w:sz w:val="20"/>
          <w:szCs w:val="20"/>
          <w:color w:val="auto"/>
        </w:rPr>
      </w:pPr>
    </w:p>
    <w:p>
      <w:pPr>
        <w:jc w:val="both"/>
        <w:ind w:right="340" w:firstLine="510"/>
        <w:spacing w:after="0" w:line="26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intellectual property, technologies, future revenue streams, research programs or drug candidates or grant licenses on terms that may not be favorable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to evaluate the success of our business to date and to assess our future viability.</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commenced operations in 2009, and our operations to date have been limited to organizing and staffing our company, business planning, raising capital, conducting discovery and research activities, filing patent applications, identifying potential drug candidates, undertaking preclinical studies, establishing arrangements with third parties for the manufacture of initial quantities of our drug candidates and conducting early stage clinical trials. Our lead drug candidates recently entered clinical development and their risk of failure is high. We have not yet demonstrated our ability to successfully: complete any clinical trials, including large-scale, pivotal clinical trials; obtain marketing approvals; manufacture a commercial-scale product or arrange for a third party to do so on our behalf; or conduct market access,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84" w:lineRule="exact"/>
        <w:rPr>
          <w:sz w:val="20"/>
          <w:szCs w:val="20"/>
          <w:color w:val="auto"/>
        </w:rPr>
      </w:pPr>
    </w:p>
    <w:p>
      <w:pPr>
        <w:jc w:val="both"/>
        <w:ind w:right="200" w:firstLine="510"/>
        <w:spacing w:after="0" w:line="266" w:lineRule="auto"/>
        <w:rPr>
          <w:sz w:val="20"/>
          <w:szCs w:val="20"/>
          <w:color w:val="auto"/>
        </w:rPr>
      </w:pPr>
      <w:r>
        <w:rPr>
          <w:rFonts w:ascii="Times New Roman" w:cs="Times New Roman" w:eastAsia="Times New Roman" w:hAnsi="Times New Roman"/>
          <w:sz w:val="18"/>
          <w:szCs w:val="18"/>
          <w:color w:val="auto"/>
        </w:rPr>
        <w:t>In addition, as an early-stage business,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68"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Drug Candidates</w:t>
      </w:r>
    </w:p>
    <w:p>
      <w:pPr>
        <w:spacing w:after="0" w:line="117" w:lineRule="exact"/>
        <w:rPr>
          <w:sz w:val="20"/>
          <w:szCs w:val="20"/>
          <w:color w:val="auto"/>
        </w:rPr>
      </w:pPr>
    </w:p>
    <w:p>
      <w:pPr>
        <w:ind w:right="8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Our lead drug candidates, NX-2127, NX-1607, NX-5948 and DeTIL-0255, recently entered clinical development. If we are unable to advance our drug candidates through clinical development, develop, obtain regulatory approval for and commercialize our drug candidates or experience significant delays in doing so, our business may be materially harmed.</w:t>
      </w:r>
    </w:p>
    <w:p>
      <w:pPr>
        <w:spacing w:after="0" w:line="38" w:lineRule="exact"/>
        <w:rPr>
          <w:sz w:val="20"/>
          <w:szCs w:val="20"/>
          <w:color w:val="auto"/>
        </w:rPr>
      </w:pPr>
    </w:p>
    <w:p>
      <w:pPr>
        <w:ind w:right="40" w:firstLine="510"/>
        <w:spacing w:after="0" w:line="224" w:lineRule="exact"/>
        <w:rPr>
          <w:sz w:val="20"/>
          <w:szCs w:val="20"/>
          <w:color w:val="auto"/>
        </w:rPr>
      </w:pPr>
      <w:r>
        <w:rPr>
          <w:rFonts w:ascii="Times New Roman" w:cs="Times New Roman" w:eastAsia="Times New Roman" w:hAnsi="Times New Roman"/>
          <w:sz w:val="18"/>
          <w:szCs w:val="18"/>
          <w:color w:val="auto"/>
        </w:rPr>
        <w:t>We are early in our development efforts. Our lead drug candidates, NX-2127, NX-1607, NX-5948 and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recently entered clinical development and their risk of failure is high. We have invested substantially all of our efforts and financial resources in building our DELigase platform, in the identification and preclinical development of our current drug candidates, and in the preparation for and initiation of Phase 1 clinical trials for our lead drug candidates. Our ability to generate revenue from product sales, which we do not expect will occur for many years, if ever, will depend heavily on the successful development and eventual commercialization of one or more of our drug candidates. The success of our drug candidates will depend on several factors, including the following:</w:t>
      </w:r>
    </w:p>
    <w:p>
      <w:pPr>
        <w:spacing w:after="0" w:line="92" w:lineRule="exact"/>
        <w:rPr>
          <w:sz w:val="20"/>
          <w:szCs w:val="20"/>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submission of INDs or Clinical Trial Applications and initiation of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related terms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drug candidates;</w:t>
      </w:r>
    </w:p>
    <w:p>
      <w:pPr>
        <w:spacing w:after="0" w:line="117"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drug candidates;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desirable therapeutic properties for our drug candidates’ intended indications;</w:t>
      </w:r>
    </w:p>
    <w:p>
      <w:pPr>
        <w:spacing w:after="0" w:line="117" w:lineRule="exact"/>
        <w:rPr>
          <w:rFonts w:ascii="Times New Roman" w:cs="Times New Roman" w:eastAsia="Times New Roman" w:hAnsi="Times New Roman"/>
          <w:sz w:val="18"/>
          <w:szCs w:val="18"/>
          <w:color w:val="auto"/>
        </w:rPr>
      </w:pPr>
    </w:p>
    <w:p>
      <w:pPr>
        <w:ind w:left="1000" w:right="280" w:hanging="493"/>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continued acceptable safety profile of the products and maintaining such a profile following approval;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17" w:lineRule="exact"/>
        <w:rPr>
          <w:sz w:val="20"/>
          <w:szCs w:val="20"/>
          <w:color w:val="auto"/>
        </w:rPr>
      </w:pPr>
    </w:p>
    <w:p>
      <w:pPr>
        <w:jc w:val="both"/>
        <w:ind w:right="100" w:firstLine="510"/>
        <w:spacing w:after="0" w:line="266" w:lineRule="auto"/>
        <w:rPr>
          <w:sz w:val="20"/>
          <w:szCs w:val="20"/>
          <w:color w:val="auto"/>
        </w:rPr>
      </w:pPr>
      <w:r>
        <w:rPr>
          <w:rFonts w:ascii="Times New Roman" w:cs="Times New Roman" w:eastAsia="Times New Roman" w:hAnsi="Times New Roman"/>
          <w:sz w:val="18"/>
          <w:szCs w:val="18"/>
          <w:color w:val="auto"/>
        </w:rPr>
        <w:t>If we do not successfully achieve one or more of these factors in a timely manner, or at all, we could experience significant delays or an inability to successfully commercialize our drug candidates, which could materially harm our business. Moreover, if we do not receive regulatory approvals, we may not be able to continue our operations.</w:t>
      </w:r>
    </w:p>
    <w:p>
      <w:pPr>
        <w:spacing w:after="0" w:line="172"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of our approaches to the discovery and development of drug candidates based on our targeted protein degradation platform is unproven, which makes it difficult to predict the time, cost of development and likelihood of successfully developing any products.</w:t>
      </w:r>
    </w:p>
    <w:p>
      <w:pPr>
        <w:spacing w:after="0" w:line="5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Treating diseases using targeted protein degradation is a new treatment modality. Our future success depends on the successful development of this novel therapeutic approach. Very few small molecule drug candidates designed to control cellular protein levels, such as our BTK degraders, have been tested in humans, none has been approved in the United States or Europe, and the data underlying the feasibility of developing these therapeutic products is both preliminary and limited. Discovery and development of targeted protein degraders that harness ligases to degrade protein targets have been impeded largely by the complexities and limited understanding of the functions, biochemistry and structural biology of E3 ligases as well as by challenges of engineering compounds that promote protein-protein interactions.</w:t>
      </w:r>
    </w:p>
    <w:p>
      <w:pPr>
        <w:spacing w:after="0" w:line="7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believe that our targeted protein degrader drug candidates may offer an improved therapeutic approach by removing the disease-causing proteins instead of simply inhibiting their activities. However, the scientific research that forms the basis of our efforts to develop our targeted protein degrader drug candidates is ongoing and the scientific evidence to support the feasibility of developing targeted protein degrader-based therapeutic treatments is both preliminary and limited. Further, certain patients have shown inherent primary resistance to approved BTK inhibitors and other patients have developed acquired secondary resistance to these inhibitors. Based on preclinical animal models and observations in human primary blood cells, we believe that both NX-2127 and NX-5948 are able to degrade BTK with mutations that confer resistance to currently marketed BTK inhibitors, and we believe that preliminary data from our ongoing Phase 1 trial of NX-2127 may provide evidence of such degradation in humans. However, any inherent primary or acquired secondary resistance to our BTK degraders in patients would prevent or diminish their clinical benefit.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9" w:name="page40"/>
    <w:bookmarkEnd w:id="39"/>
    <w:p>
      <w:pPr>
        <w:ind w:right="100" w:firstLine="510"/>
        <w:spacing w:after="0" w:line="228" w:lineRule="exact"/>
        <w:rPr>
          <w:sz w:val="20"/>
          <w:szCs w:val="20"/>
          <w:color w:val="auto"/>
        </w:rPr>
      </w:pPr>
      <w:r>
        <w:rPr>
          <w:rFonts w:ascii="Times New Roman" w:cs="Times New Roman" w:eastAsia="Times New Roman" w:hAnsi="Times New Roman"/>
          <w:sz w:val="18"/>
          <w:szCs w:val="18"/>
          <w:color w:val="auto"/>
        </w:rPr>
        <w:t>We recently initiated clinical development of NX-2127 and NX-5948 and currently we have limited safety data of NX-2127 and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in humans. Although some of our drug candidates have produced observable results in animal studies, these drug candidates may not demonstrate the same chemical and pharmacological properties in humans, and may interact with human biological systems in unforeseen, ineffective or harmful ways. As such, there may be adverse effects from treatment with any of our current or future drug candidates that we cannot predict at this time.</w:t>
      </w:r>
    </w:p>
    <w:p>
      <w:pPr>
        <w:spacing w:after="0" w:line="90" w:lineRule="exact"/>
        <w:rPr>
          <w:sz w:val="20"/>
          <w:szCs w:val="20"/>
          <w:color w:val="auto"/>
        </w:rPr>
      </w:pPr>
    </w:p>
    <w:p>
      <w:pPr>
        <w:ind w:right="240" w:firstLine="510"/>
        <w:spacing w:after="0" w:line="255" w:lineRule="auto"/>
        <w:rPr>
          <w:sz w:val="20"/>
          <w:szCs w:val="20"/>
          <w:color w:val="auto"/>
        </w:rPr>
      </w:pPr>
      <w:r>
        <w:rPr>
          <w:rFonts w:ascii="Times New Roman" w:cs="Times New Roman" w:eastAsia="Times New Roman" w:hAnsi="Times New Roman"/>
          <w:sz w:val="18"/>
          <w:szCs w:val="18"/>
          <w:color w:val="auto"/>
        </w:rPr>
        <w:t>Additionally, the regulatory approval process for novel drug candidates such as ours can be more expensive and take longer than for other, better-known or extensively-studied drug candidates. Although other companies are also developing therapeutics based on targeted protein degradation, no regulatory authority has granted approval for any such therapeutic. As a result of these factors, it is more difficult for us to predict the time and cost of targeted protein degrader drug candidate development, and we cannot predict whether targeted protein degradation will result in the development and marketing approval of any products. Any development problems we experience in the future related to any of our targeted protein degrader research programs may cause significant delays or unanticipated costs or may prevent the development of a commercially viable product. Advancing our targeted protein degrader products creates significant challenges for us, including:</w:t>
      </w:r>
    </w:p>
    <w:p>
      <w:pPr>
        <w:spacing w:after="0" w:line="81" w:lineRule="exact"/>
        <w:rPr>
          <w:sz w:val="20"/>
          <w:szCs w:val="20"/>
          <w:color w:val="auto"/>
        </w:rPr>
      </w:pPr>
    </w:p>
    <w:p>
      <w:pPr>
        <w:ind w:left="1000" w:right="72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efficacy and safety benefits, as well as the challenges, of incorporating our drug candidates, if approved, into treatment regimens;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the sales and marketing capabilities to gain market acceptance, if approved.</w:t>
      </w:r>
    </w:p>
    <w:p>
      <w:pPr>
        <w:spacing w:after="0" w:line="117"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Any of these factors may prevent us from completing our preclinical studies or any clinical trials that we may initiate, or from commercializing any targeted protein degrader drug candidates we may develop on a timely or profitable basis, if at all.</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Drug development is a lengthy and expensive process, with an uncertain outcome. We may incur unexpected costs or experience delays in completing, or ultimately be unable to complete, the development and commercialization of our drug candidates.</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Our lead drug candidates recently entered clinical development and their risk of failure is high. We are unable to predict when or if any of our drug candidates will prove effective or safe in humans or will receive marketing approval. Before obtaining marketing approval from regulatory authorities for the sale of any drug candidate, we must conduct extensive clinical trials to demonstrate the safety and efficacy of our drug candidates in humans. Before we can commence clinical trials for a drug candidate, we must complete extensive preclinical testing and studies that support our planned INDs in the United States or similar applications in other jurisdictions. We cannot be certain of the timely completion or outcome of our preclinical testing and studies and cannot predict if the FDA or similar regulatory authorities outside the United States will accept our proposed clinical programs or if the outcome of our preclinical testing and studies ultimately will support the further development of our programs.</w:t>
      </w:r>
    </w:p>
    <w:p>
      <w:pPr>
        <w:spacing w:after="0" w:line="81" w:lineRule="exact"/>
        <w:rPr>
          <w:sz w:val="20"/>
          <w:szCs w:val="20"/>
          <w:color w:val="auto"/>
        </w:rPr>
      </w:pPr>
    </w:p>
    <w:p>
      <w:pPr>
        <w:ind w:right="20" w:firstLine="510"/>
        <w:spacing w:after="0" w:line="271" w:lineRule="auto"/>
        <w:rPr>
          <w:sz w:val="20"/>
          <w:szCs w:val="20"/>
          <w:color w:val="auto"/>
        </w:rPr>
      </w:pPr>
      <w:r>
        <w:rPr>
          <w:rFonts w:ascii="Times New Roman" w:cs="Times New Roman" w:eastAsia="Times New Roman" w:hAnsi="Times New Roman"/>
          <w:sz w:val="17"/>
          <w:szCs w:val="17"/>
          <w:color w:val="auto"/>
        </w:rPr>
        <w:t>Clinical testing is expensive, difficult to design and implement, can take many years to complete and is uncertain as to the outcome. A failure of one or more clinical trials can occur at any stage of testing. Clinical trials may produce negative or inconclusive results, and we or any future collaborators may decide, or regulators may require us, to conduct additional clinical trials or preclinical studies. We will be required to demonstrate with substantial evidence through adequate and well-controlled clinical trials that our drug candidates are safe and effective for use in treating specific conditions in order to obtain marketing approvals for their commercial sale. Success in preclinical studies and early-stage clinical trials does not mean that any future larger registration clinical trials will be successful because drug candidates in later-stage clinical trials may fail to demonstrate safety and efficacy to the satisfaction of the FDA and non-U.S. regulatory authorities despite having progressed through preclinical studies and early-stage clinical trials. Drug candidates that have shown promising results in preclinical studies and early-stage clinical trials may still suffer significant setbacks in subsequent registration clinical trials. Additionally, the outcome of preclinical studies and early-stage clinical trials may not be predictive of the success of later-stage clinical trials.</w:t>
      </w:r>
    </w:p>
    <w:p>
      <w:pPr>
        <w:spacing w:after="0" w:line="65"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or commercialize our drug candidates, including:</w:t>
      </w:r>
    </w:p>
    <w:p>
      <w:pPr>
        <w:spacing w:after="0" w:line="54" w:lineRule="exact"/>
        <w:rPr>
          <w:sz w:val="20"/>
          <w:szCs w:val="20"/>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may fail to reach, a consensus with regulators on trial design;</w:t>
      </w:r>
    </w:p>
    <w:p>
      <w:pPr>
        <w:spacing w:after="0" w:line="117" w:lineRule="exact"/>
        <w:rPr>
          <w:rFonts w:ascii="Times New Roman" w:cs="Times New Roman" w:eastAsia="Times New Roman" w:hAnsi="Times New Roman"/>
          <w:sz w:val="18"/>
          <w:szCs w:val="18"/>
          <w:color w:val="auto"/>
        </w:rPr>
      </w:pPr>
    </w:p>
    <w:p>
      <w:pPr>
        <w:jc w:val="both"/>
        <w:ind w:left="1000" w:right="160" w:hanging="493"/>
        <w:spacing w:after="0" w:line="26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 including as a result of delays in the testing, validation, manufacturing and delivery of drug candidates to the clinical sites by us or by third parties with whom we have contracted to perform certain of those functions;</w:t>
      </w:r>
    </w:p>
    <w:p>
      <w:pPr>
        <w:spacing w:after="0" w:line="67" w:lineRule="exact"/>
        <w:rPr>
          <w:rFonts w:ascii="Times New Roman" w:cs="Times New Roman" w:eastAsia="Times New Roman" w:hAnsi="Times New Roman"/>
          <w:sz w:val="18"/>
          <w:szCs w:val="18"/>
          <w:color w:val="auto"/>
        </w:rPr>
      </w:pPr>
    </w:p>
    <w:p>
      <w:pPr>
        <w:ind w:left="1000" w:right="34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may fail to reach, agreement on acceptable clinical trial contracts or clinical trial protocols with prospective trial sites;</w:t>
      </w:r>
    </w:p>
    <w:p>
      <w:pPr>
        <w:spacing w:after="0" w:line="53" w:lineRule="exact"/>
        <w:rPr>
          <w:rFonts w:ascii="Times New Roman" w:cs="Times New Roman" w:eastAsia="Times New Roman" w:hAnsi="Times New Roman"/>
          <w:sz w:val="18"/>
          <w:szCs w:val="18"/>
          <w:color w:val="auto"/>
        </w:rPr>
      </w:pPr>
    </w:p>
    <w:p>
      <w:pPr>
        <w:ind w:left="1000" w:right="280" w:hanging="493"/>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receive feedback from regulatory authorities that requires us to modify the design of our clinical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7" w:right="339" w:bottom="1440" w:gutter="0" w:footer="0" w:header="0"/>
        </w:sectPr>
      </w:pPr>
    </w:p>
    <w:bookmarkStart w:id="40" w:name="page41"/>
    <w:bookmarkEnd w:id="40"/>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delays under human tissue act legislation and restrictions across various jurisdictions;</w:t>
      </w:r>
    </w:p>
    <w:p>
      <w:pPr>
        <w:spacing w:after="0" w:line="117"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difficulty in designing clinical trials and in selecting endpoints for diseases that have not been well-studied and for which the natural history and course of the disease is poorly understood;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of certain clinical endpoints may require prolonged periods of clinical observation or analysis of the resulting data;</w:t>
      </w:r>
    </w:p>
    <w:p>
      <w:pPr>
        <w:spacing w:after="0" w:line="117" w:lineRule="exact"/>
        <w:rPr>
          <w:rFonts w:ascii="Times New Roman" w:cs="Times New Roman" w:eastAsia="Times New Roman" w:hAnsi="Times New Roman"/>
          <w:sz w:val="18"/>
          <w:szCs w:val="18"/>
          <w:color w:val="auto"/>
        </w:rPr>
      </w:pPr>
    </w:p>
    <w:p>
      <w:pPr>
        <w:ind w:left="1000" w:right="20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enrollment in these clinical trials may be slower than we anticipate or participants may drop out of these clinical trials at a higher rate than we anticipate;</w:t>
      </w:r>
    </w:p>
    <w:p>
      <w:pPr>
        <w:spacing w:after="0" w:line="53" w:lineRule="exact"/>
        <w:rPr>
          <w:rFonts w:ascii="Times New Roman" w:cs="Times New Roman" w:eastAsia="Times New Roman" w:hAnsi="Times New Roman"/>
          <w:sz w:val="18"/>
          <w:szCs w:val="18"/>
          <w:color w:val="auto"/>
        </w:rPr>
      </w:pPr>
    </w:p>
    <w:p>
      <w:pPr>
        <w:ind w:left="1000" w:right="4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have undesirable side effects or other unexpected characteristics, causing us or our investigators, regulators or IRBs to suspend or terminate the trials;</w:t>
      </w:r>
    </w:p>
    <w:p>
      <w:pPr>
        <w:spacing w:after="0" w:line="53" w:lineRule="exact"/>
        <w:rPr>
          <w:rFonts w:ascii="Times New Roman" w:cs="Times New Roman" w:eastAsia="Times New Roman" w:hAnsi="Times New Roman"/>
          <w:sz w:val="18"/>
          <w:szCs w:val="18"/>
          <w:color w:val="auto"/>
        </w:rPr>
      </w:pPr>
    </w:p>
    <w:p>
      <w:pPr>
        <w:ind w:left="1000" w:right="180" w:hanging="493"/>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drug candidates for various reasons, including a partial or full clinical hold based on a finding that our drug candidates have undesirable side effects or other unexpected characteristics, or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that we or our investigators suspend or terminate clinical trials for various reasons, including noncompliance with regulatory requirements;</w:t>
      </w:r>
    </w:p>
    <w:p>
      <w:pPr>
        <w:spacing w:after="0" w:line="53" w:lineRule="exact"/>
        <w:rPr>
          <w:rFonts w:ascii="Times New Roman" w:cs="Times New Roman" w:eastAsia="Times New Roman" w:hAnsi="Times New Roman"/>
          <w:sz w:val="18"/>
          <w:szCs w:val="18"/>
          <w:color w:val="auto"/>
        </w:rPr>
      </w:pPr>
    </w:p>
    <w:p>
      <w:pPr>
        <w:ind w:left="1000" w:right="48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drug candidates may be greater than we anticipate;</w:t>
      </w:r>
    </w:p>
    <w:p>
      <w:pPr>
        <w:spacing w:after="0" w:line="117"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drug candidates, or such requirements may not be as we anticipate;</w:t>
      </w:r>
    </w:p>
    <w:p>
      <w:pPr>
        <w:spacing w:after="0" w:line="11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also conduct clinical trials in ways they view as advantageous to them but that are suboptimal for us; and</w:t>
      </w:r>
    </w:p>
    <w:p>
      <w:pPr>
        <w:spacing w:after="0" w:line="53" w:lineRule="exact"/>
        <w:rPr>
          <w:rFonts w:ascii="Times New Roman" w:cs="Times New Roman" w:eastAsia="Times New Roman" w:hAnsi="Times New Roman"/>
          <w:sz w:val="18"/>
          <w:szCs w:val="18"/>
          <w:color w:val="auto"/>
        </w:rPr>
      </w:pPr>
    </w:p>
    <w:p>
      <w:pPr>
        <w:ind w:left="1000" w:right="42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caused by the COVID-19 pandemic, including supply chain disruptions, may increase the likelihood that we encounter such difficulties or delays in initiating, enrolling, conducting or completing our planned and ongoing clinical trials.</w:t>
      </w:r>
    </w:p>
    <w:p>
      <w:pPr>
        <w:spacing w:after="0" w:line="54"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drug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efficacy and safety sufficient to obtain marketing approval to market our drug candidates.</w:t>
      </w:r>
    </w:p>
    <w:p>
      <w:pPr>
        <w:spacing w:after="0" w:line="72"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drug candidates;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 changes in the way the product is administered; or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41" w:name="page42"/>
    <w:bookmarkEnd w:id="41"/>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Our product development costs also will increase if we experience delays in preclinical studies or clinical trials or in obtaining marketing approvals.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could allow our competitors to bring products to market before we do and impair our ability to successfully commercialize our drug candidates, which may harm our business, results of operations, financial condition and prospects.</w:t>
      </w:r>
    </w:p>
    <w:p>
      <w:pPr>
        <w:spacing w:after="0" w:line="75"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Further, cancer therapies sometimes are characterized as first-line, second-line, or third-line, and the FDA often approves new therapies initially only for third-line or later use, meaning for use after two or more other treatments have failed. When cancer is detected early enough, first-line therapy, usually chemotherapy, hormone therapy, immunotherapy, radiation therapy, surgery, targeted therapy or a combination of these, is sometimes adequate to cure the cancer or prolong life without a cure. Second- and third-line therapies are administered to patients when prior therapy is not effective. Our current and planned clinical trials for our drug candidates NX-2127, NX-1607, NX-5948 and DeTIL-0255 are and will be with patients who have received one or more prior treatments. Subsequently, for those products that prove to be sufficiently beneficial, if any, we may seek approval potentially as a first-line therapy, but any drug candidates we develop, even if approved, may not be approved for first-line therapy, and, prior to any such approvals, we may have to conduct additional clinical trials.</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serious adverse events, undesirable side effects, or unexpected characteristics are identified during the development of any drug candidates we may develop, we may need to abandon or limit our further clinical development of those drug candidates.</w:t>
      </w:r>
    </w:p>
    <w:p>
      <w:pPr>
        <w:spacing w:after="0" w:line="51" w:lineRule="exact"/>
        <w:rPr>
          <w:sz w:val="20"/>
          <w:szCs w:val="20"/>
          <w:color w:val="auto"/>
        </w:rPr>
      </w:pPr>
    </w:p>
    <w:p>
      <w:pPr>
        <w:ind w:right="200" w:firstLine="510"/>
        <w:spacing w:after="0" w:line="219" w:lineRule="exact"/>
        <w:rPr>
          <w:sz w:val="20"/>
          <w:szCs w:val="20"/>
          <w:color w:val="auto"/>
        </w:rPr>
      </w:pPr>
      <w:r>
        <w:rPr>
          <w:rFonts w:ascii="Times New Roman" w:cs="Times New Roman" w:eastAsia="Times New Roman" w:hAnsi="Times New Roman"/>
          <w:sz w:val="18"/>
          <w:szCs w:val="18"/>
          <w:color w:val="auto"/>
        </w:rPr>
        <w:t>We have recently begun to evaluate our lead drug candidates in human clinical trials, and there have been very few clinical trials to date involving small molecule drug candidates designed to control cellular protein levels through targeted protein degradation. It is impossible to predict when or if any drug candidates we may develop will prove safe in humans. There is a limited safety data set for the effects of NX-2127, NX-1607, NX-5948 and DeTIL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0255 in animals and we only recently have begun to test the safety of our drug candidates in humans. There can be no assurance that our current drug candidates or any future drug candidate will not cause undesirable side effects. Unforeseen side effects from our drug candidates could arise at any time during preclinical or clinical development.</w:t>
      </w:r>
    </w:p>
    <w:p>
      <w:pPr>
        <w:spacing w:after="0" w:line="95"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A potential risk in any protein modulation product is that healthy proteins or proteins not targeted for modulation will be modulated or that the modulation of the targeted protein in itself could cause adverse events, undesirable side effects or unexpected characteristics. It is possible that healthy proteins or proteins not targeted for modulation could be modulated by our drug candidates in any of our current or future clinical studies. There also is the potential risk of delayed adverse events following treatment with our drug candidates.</w:t>
      </w:r>
    </w:p>
    <w:p>
      <w:pPr>
        <w:spacing w:after="0" w:line="72"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If any drug candidates we develop are associated with serious adverse events, or undesirable side effects, or have characteristics that are unexpected, including in preclinical studies, we may need to abandon their development or limit development to certain uses or subpopulations in which the adverse events, undesirable side effects or other characteristics are less prevalent, less severe, or more acceptable from a risk-benefit perspective, any of which would have a material adverse effect on our business, financial condition, results of operations, and prospects. For example, increased bleeding risk and cardiac arrhythmia such as atrial fibrillation have been reported side effects of approved BTK inhibitors. Furthermore, NX-1607 could activate the immune response to unsafe levels and may have the potential to induce hypercytokinemia, or cytokine storm, which is the overstimulation of immune cells and subsequent overproduction of their activating compounds. Many drug candidates that initially showed promise in early-stage testing for treating cancer or other diseases later have been found to cause side effects that prevented further clinical development of the drug candidates or limited their competitiveness in the market.</w:t>
      </w:r>
    </w:p>
    <w:p>
      <w:pPr>
        <w:spacing w:after="0" w:line="184"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early-stage clinical trials may not be predictive of future results. Initial success in clinical trials may not be indicative of results obtained when these trials are completed or in later-stage trials.</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and the results of any early-stage clinical trials we commence may not be predictive of the results of the later-stage clinical trials. In addition, initial success in clinical trials may not be indicative of results obtained when such trials are completed. In particular, the small number of patients in our planned early clinical trials may make the results of these trials less predictive of the outcome of later clinical trials. For example, even if successful, the results of our initial clinical trials for NX-2127, NX-1607, NX-5948 and DeTIL-0255 may not be predictive of the results of further clinical trials of these drug candidates or any of our other drug candidates. Moreover, preclinical and clinical data often are susceptible to varying interpretations and analyses, and many companies that have believed their drug candidates performed satisfactorily in preclinical studies and clinical trials nonetheless have failed to obtain marketing approval of their products. Our future clinical trials may not ultimately be successful or support further clinical development of any of our drug candidates. There is a high failure rate for drug candidates proceeding through clinical trials. A number of companies in the pharmaceutical and biotechnology industries have suffered significant setbacks in clinical development even after achieving encouraging results in earlier studies. Any such setbacks in our clinical development could materially harm our business, results of operations, financial condition and prospects.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planned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planned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reputation, business, results of operations, financial condition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experience delays or difficulties in enrolling patients in clinical trials, our receipt of necessary marketing approvals could be delayed or prevented.</w:t>
      </w:r>
    </w:p>
    <w:p>
      <w:pPr>
        <w:spacing w:after="0" w:line="133" w:lineRule="exact"/>
        <w:rPr>
          <w:sz w:val="20"/>
          <w:szCs w:val="20"/>
          <w:color w:val="auto"/>
        </w:rPr>
      </w:pPr>
    </w:p>
    <w:p>
      <w:pPr>
        <w:ind w:right="20" w:firstLine="510"/>
        <w:spacing w:after="0" w:line="218" w:lineRule="exact"/>
        <w:rPr>
          <w:sz w:val="20"/>
          <w:szCs w:val="20"/>
          <w:color w:val="auto"/>
        </w:rPr>
      </w:pPr>
      <w:r>
        <w:rPr>
          <w:rFonts w:ascii="Times New Roman" w:cs="Times New Roman" w:eastAsia="Times New Roman" w:hAnsi="Times New Roman"/>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of the United States. In particular, we are currently conducting Phase 1 clinical trials for each of our four lead drug candidates: NX-2127, NX-1607, NX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5948 and DeTIL-0255. We cannot predict how difficult it will be to enroll patients for these trials. Therefore, our ability to identify and enroll eligible patients for our NX-2127, NX-1607, NX-5948 and DeTIL-0255 clinical trials may be limited or may result in slower enrollment than we anticipate. In addition, some of our competitors have ongoing clinical trials for drug candidates that treat the same indications as our drug candidates, and patients who otherwise would be eligible for our planned clinical trials instead may enroll in clinical trials of our competitors’ drug candidates. Moreover, the size of the relevant patient populations for the diseases that our lead drug candidates target is small, and as more companies begin to focus attention and resources on drug candidates to treat the same indications as our drug candidates, we may experience delays or be unable to successfully recruit and enroll a sufficient number of eligible patients in our clinical trials. Patient enrollment is affected by other factors including:</w:t>
      </w:r>
    </w:p>
    <w:p>
      <w:pPr>
        <w:spacing w:after="0" w:line="95" w:lineRule="exact"/>
        <w:rPr>
          <w:sz w:val="20"/>
          <w:szCs w:val="20"/>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efficacy of approved medications for the disease under investigation;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 in question;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drug candidates under study;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attitudes and practices with respect to clinical trial enrollment;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on patients due to inconvenient procedures;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 and</w:t>
      </w:r>
    </w:p>
    <w:p>
      <w:pPr>
        <w:spacing w:after="0" w:line="117"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current COVID-19 pandemic, which may affect the conduct of a clinical trial, including by slowing potential enrollment or reducing the number of eligible patients for clinical trials.</w:t>
      </w:r>
    </w:p>
    <w:p>
      <w:pPr>
        <w:spacing w:after="0" w:line="54"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current or planned clinical trials would result in significant delays and could require us to abandon one or more clinical trials altogether. Enrollment delays in our current or planned clinical trials may result in increased development costs for our drug candidates, which would cause the value of our company to decline and limit our ability to obtain additional financing.</w:t>
      </w:r>
    </w:p>
    <w:p>
      <w:pPr>
        <w:spacing w:after="0" w:line="172"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51"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we and our third-party manufacturers are early in our manufacturing efforts.</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have established manufacturing relationships with a limited number of suppliers to manufacture raw materials and the drug substance of any drug candidate for which we now are pursuing, or may in the future pursue, preclinical or clinical development. Our systems for complying with current good manufacturing practices (cGMPs), manufacturing process development with our third-party manufacturers and scale-up is at an early stage. The actual cost to manufacture and process our drug candidates could be greater than we expect and could materially and adversely affect the commercial viability of our drug candidates. Our third-party manufacturers may encounter difficulties in production, including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any of our third-party manufacturers encounter such difficulties, our ability to provide supply of our current or future drug candidates for clinical trials, our ability to obtain marketing approval, or our ability to provide supply of our drug candidates for patients, if approved, could be delayed or stopped.</w:t>
      </w:r>
    </w:p>
    <w:p>
      <w:pPr>
        <w:spacing w:after="0" w:line="190"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with the development and manufacturing of adoptive cellular therapeutics, which is a relatively new and expanding category of therapeutics with unique development, manufacturing and regulatory risks.</w:t>
      </w:r>
    </w:p>
    <w:p>
      <w:pPr>
        <w:spacing w:after="0" w:line="51" w:lineRule="exact"/>
        <w:rPr>
          <w:sz w:val="20"/>
          <w:szCs w:val="20"/>
          <w:color w:val="auto"/>
        </w:rPr>
      </w:pPr>
    </w:p>
    <w:p>
      <w:pPr>
        <w:ind w:right="140" w:firstLine="510"/>
        <w:spacing w:after="0" w:line="252" w:lineRule="auto"/>
        <w:rPr>
          <w:sz w:val="20"/>
          <w:szCs w:val="20"/>
          <w:color w:val="auto"/>
        </w:rPr>
      </w:pPr>
      <w:r>
        <w:rPr>
          <w:rFonts w:ascii="Times New Roman" w:cs="Times New Roman" w:eastAsia="Times New Roman" w:hAnsi="Times New Roman"/>
          <w:sz w:val="18"/>
          <w:szCs w:val="18"/>
          <w:color w:val="auto"/>
        </w:rPr>
        <w:t>We are exploring the use of T cell-enhancing compounds to improve the current industry-standard methods and technology for adoptive cellular therapies (ACTs) in both hematologic cancers and solid tumors. ACTs represent a class of immunotherapy in which T cells are isolated directly from patient tumors, as with TIL, or from patient blood with subsequent genetic modification to recognize specific antigens present on cancer cells, as with CAR-T therapies. These tumor-reactive T cells are then expanded and infused back into the patient. These cell therapy technologies are a relatively new and expanding category of therapeutics, with which we have limited experience. We may observe undesirable characteristics such as cytokine storm, immunogenicity, infection or other adverse events. Additionally, because TIL and CAR-T therapies are manufactured on a patient-by-patient basis, they require extensive research and development and involve complex and costly manufacturing. Moreover, we anticipate that we will have to rely on third-party manufacturers to manufacture our ACT products for pre-clinical studies and clinical trials and if they fail to commence or complete, or experience delays in, manufacturing ACT products, our pre-clinical studies and clinical trials will be delayed. The FDA and other regulatory bodies also have limited experience with ACTs, which may result in regulatory delays. The regulatory pathway is complex and may take more time and be more expensive to pursue than the regulatory pathway for other established drug candidates. Moreover, the FDA regulatory pathway for our DeTIL and CAR-T programs is not clear and may require us to file a Biologics License Application or an application for a Combination Product and will be subject to further discussion with regulators. Because this is a relatively new and expanding area, there are many uncertainties related to the appropriate regulatory pathway, development, manufacturing, marketing, reimbursement, and the commercial potential for these drug candidates, and we may never be successful in developing these therapeutics.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potential drug candidates.</w:t>
      </w:r>
    </w:p>
    <w:p>
      <w:pPr>
        <w:spacing w:after="0" w:line="121"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A key element of our strategy is to apply our DELigase platform to address a broad array of targets and new therapeutic areas. The therapeutic discovery activities we are conducting may not be successful in identifying drug candidates that are useful in treating hematologic cancers, immune-mediated diseases or any other diseases. Our research programs initially may show promise in identifying potential drug candidates, yet fail to yield drug candidates for clinical development for a number of reasons, including:</w:t>
      </w:r>
    </w:p>
    <w:p>
      <w:pPr>
        <w:spacing w:after="0" w:line="72" w:lineRule="exact"/>
        <w:rPr>
          <w:sz w:val="20"/>
          <w:szCs w:val="20"/>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research methodology used may not be successful in identifying potential drug candidates;</w:t>
      </w:r>
    </w:p>
    <w:p>
      <w:pPr>
        <w:spacing w:after="0" w:line="117" w:lineRule="exact"/>
        <w:rPr>
          <w:rFonts w:ascii="Times New Roman" w:cs="Times New Roman" w:eastAsia="Times New Roman" w:hAnsi="Times New Roman"/>
          <w:sz w:val="18"/>
          <w:szCs w:val="18"/>
          <w:color w:val="auto"/>
        </w:rPr>
      </w:pPr>
    </w:p>
    <w:p>
      <w:pPr>
        <w:ind w:left="1000" w:right="500" w:hanging="493"/>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drug candidates may, on further study, be shown to have harmful side effects or other characteristics that indicate that they are unlikely to be drugs that will receive marketing approval or achieve market acceptance; or</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drug candidates may not be effective in treating their targeted diseases.</w:t>
      </w:r>
    </w:p>
    <w:p>
      <w:pPr>
        <w:spacing w:after="0" w:line="117"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Research programs to identify new drug candidates require substantial technical, financial and human resources. We may choose to focus our efforts and resources on a potential drug candidate that ultimately proves to be unsuccessful. If we are unable to identify suitable drug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the breadth of our DELigase platform.</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expand the capabilities of our DELigase platform and leverage our platform to discover, develop and potentially commercialize additional drug candidates beyond our current portfolio to target diseases in a wide range of organ systems and tissues and treat various disease states. These enhancements require substantial technical, financial and human resources, and may not result in the discovery or development of additional drug candidates or therapies. We may pursue what we believe is a promising opportunity to leverage our platform only to discover that certain of our risk or resource allocation decisions were incorrect or insufficient, or that individual products or our science in general has technology or biology risks that were previously unknown or underappreciated. Our strategy of pursuing the value of our DELigase platform over a long-time horizon and across a broad array of human diseases may not be effective. In the event material decisions in any of these areas turn out to be incorrect or sub-optimal, we may experience a material adverse impact on our business and ability to fund our operations and we may never realize what we believe is the potential of our DELigase platform.</w:t>
      </w:r>
    </w:p>
    <w:p>
      <w:pPr>
        <w:spacing w:after="0" w:line="184" w:lineRule="exact"/>
        <w:rPr>
          <w:sz w:val="20"/>
          <w:szCs w:val="20"/>
          <w:color w:val="auto"/>
        </w:rPr>
      </w:pPr>
    </w:p>
    <w:p>
      <w:pPr>
        <w:ind w:right="1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in an environment of rapid technological change, which may result in others discovering, developing or commercializing products before or more successfully than we do.</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Moreover, the biotechnology and pharmaceutical industries are characterized by rapidly advancing technologies, intense competition and a strong emphasis on proprietary products. We face and will continue to face competition from third parties that use protein modulation, antibody therapy, ACT, inhibitory nucleic acid, gene editing or gene therapy development platforms and from companies focused on more traditional therapeutic modalities, such as small molecule inhibitors. The competition is likely to come from multiple sources, including major pharmaceutical, specialty pharmaceutical and biotechnology companies, academic institutions, government agencies and other public and private research institutions that conduct research, seek patent protection, and establish collaborative arrangements for research, development, manufacturing and commercialization.</w:t>
      </w:r>
    </w:p>
    <w:p>
      <w:pPr>
        <w:spacing w:after="0" w:line="8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are aware of several biotechnology companies focused on developing small molecules that degrade target proteins including but not limited to Arvinas, Inc., BioTheryX, Inc., C4 Therapeutics, Inc., Cullgen Inc., Foghorn Therapeutics Inc., Kymera Therapeutics, Inc. and Monte Rosa Therapeutics, all of which currently are in preclinical or clinical development. In addition, several large pharmaceutical companies have disclosed preclinical investments in this field, including Amgen Inc., AstraZeneca plc, Bayer AG, Bristol-Myers Squibb Company, Genentech, Inc., GlaxoSmithKline plc and Novartis International AG. Furthermore, we are aware of several biotech companies focused on developing tumor infiltrating lymphocyte (TIL) therapies for the treatment of cancer, including Instil Bio, Inc., Iovance Biotherapeutics, Inc., PACT Pharma, Inc. and Lyell Immunopharma, Inc.</w:t>
      </w:r>
    </w:p>
    <w:p>
      <w:pPr>
        <w:spacing w:after="0" w:line="7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have significantly greater financial resources and expertise in research and development, manufacturing, preclinical testing, conducting clinical trials, obtaining regulatory approvals and marketing approved products than we do.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Mergers and acquisitions in the pharmaceutical and biotechnology industries may result in even more resources being concentrated among a smaller number of our competitors. Smaller or early-stage companies also may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we may develop. Our competitors also may obtain FDA or other regulatory approval for their products more rapidly than we may obtain approval for ours, which could result in preventing us from obtaining the orphan designation in the European Union (EU) and/or in the United Kingdom (UK) and our competitors establishing a strong market position before we are able to enter the market. In addition, our ability to compete may be affected in many cases by insurers or other third-party payors seeking to encourage the use of generic products. There are generic products currently on the market for certain of the indications that we are pursuing, and additional products are expected to become available on a generic basis over the coming years. If our drug candidates are approved, we expect that they will be priced at a significant premium over competitive generic products.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5" w:name="page46"/>
    <w:bookmarkEnd w:id="45"/>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achieve our projected development goals in the time frames we announce and expect, the commercialization of our products may be delayed and, as a result, our stock price may decline.</w:t>
      </w:r>
    </w:p>
    <w:p>
      <w:pPr>
        <w:spacing w:after="0" w:line="51"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and may be associated with payments from third-party collaborators such as Sanofi or Gilead.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our revenue may be lower than expected, the commercialization of our products may be delayed or never achieved and, as a result, our stock price may decline.</w:t>
      </w:r>
    </w:p>
    <w:p>
      <w:pPr>
        <w:spacing w:after="0" w:line="18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estimated market opportunities for our drug candidates are subject to numerous uncertainties and may prove to be inaccurate. If we have overestimated the size of our market opportunities, our future growth may be limited.</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estimated addressable markets and market opportunities for our drug candidates are based on a variety of inputs, including data published by third parties, our own market insights and internal market intelligence, and internally generated data and assumptions. We have not independently verified any third-party information and cannot be assured of its accuracy or completeness. Market opportunity estimates, whether obtained or derived from third-party sources or developed internally, are subject to significant uncertainty and are based on assumptions and estimates that may prove not to be accurate. Although we believe our market opportunity estimates are reasonable, such information is inherently imprecise. In addition, our assumptions and estimates of market opportunities are necessarily subject to a high degree of uncertainty and risk due to a variety of factors, including but not limited to those described in this report. If this third-party or internally generated data prove to be inaccurate or if we make errors in our assumptions based on that data, our actual market may be more limited than we estimate it to be. In addition, these inaccuracies or errors may cause us to misallocate capital and other critical business resources, which could harm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Dependence on Third Parties</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depend on collaborations with third parties for the research, development, and commercialization of certain of the drug candidates we may develop. If any such collaborations are not successful, we may not be able to capitalize on the market potential of those drug candidates.</w:t>
      </w:r>
    </w:p>
    <w:p>
      <w:pPr>
        <w:spacing w:after="0" w:line="5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We have sought third-party collaborators for the research, development, and commercialization of some of our targeted protein degrader programs. For example, in June 2019 we entered into a collaboration with Gilead and in December 2019 we entered into a collaboration with Sanofi, which was subsequently expanded and amended in January 2021. Both collaborations require us to conduct certain research activities. Our likely collaborators for any other collaboration arrangements include large and mid-size pharmaceutical companies, biotechnology companies and universities. These and any future arrangements with third parties limit our control over the amount and timing of resources that our collaborators dedicate to the development or commercialization of any drug candidates we may seek to develop with them. Our ability to generate revenues from these arrangements will depend on our collaborators’ abilities to successfully perform the functions assigned to them in these arrangements. We cannot predict the success of any collaboration that we enter into.</w:t>
      </w:r>
    </w:p>
    <w:p>
      <w:pPr>
        <w:spacing w:after="0" w:line="84"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Collaborations involving our research programs or any drug candidates we may develop, including our collaborations with Sanofi and Gilead, pose risks to us, including:</w:t>
      </w:r>
    </w:p>
    <w:p>
      <w:pPr>
        <w:spacing w:after="0" w:line="54" w:lineRule="exact"/>
        <w:rPr>
          <w:sz w:val="20"/>
          <w:szCs w:val="20"/>
          <w:color w:val="auto"/>
        </w:rPr>
      </w:pPr>
    </w:p>
    <w:p>
      <w:pPr>
        <w:ind w:left="1000" w:hanging="493"/>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collaborations with us.</w:t>
      </w:r>
    </w:p>
    <w:p>
      <w:pPr>
        <w:spacing w:after="0" w:line="117" w:lineRule="exact"/>
        <w:rPr>
          <w:rFonts w:ascii="Times New Roman" w:cs="Times New Roman" w:eastAsia="Times New Roman" w:hAnsi="Times New Roman"/>
          <w:sz w:val="18"/>
          <w:szCs w:val="18"/>
          <w:color w:val="auto"/>
        </w:rPr>
      </w:pPr>
    </w:p>
    <w:p>
      <w:pPr>
        <w:jc w:val="both"/>
        <w:ind w:left="1000" w:right="260" w:hanging="493"/>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drug candidates we may develop or may elect not to continue or renew development or commercialization programs based on clinical trial results, changes in the collaborator’s strategic focus or available funding or external factors such as an acquisition or business combination that diverts resources or creates competing priorities.</w:t>
      </w:r>
    </w:p>
    <w:p>
      <w:pPr>
        <w:spacing w:after="0" w:line="67" w:lineRule="exact"/>
        <w:rPr>
          <w:rFonts w:ascii="Times New Roman" w:cs="Times New Roman" w:eastAsia="Times New Roman" w:hAnsi="Times New Roman"/>
          <w:sz w:val="18"/>
          <w:szCs w:val="18"/>
          <w:color w:val="auto"/>
        </w:rPr>
      </w:pPr>
    </w:p>
    <w:p>
      <w:pPr>
        <w:jc w:val="both"/>
        <w:ind w:left="1000" w:right="240" w:hanging="493"/>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Sanofi and Gilead have broad option rights to select up to five targets each for exclusive targeted protein degrader development, so long as not excluded by us under the terms of each collaboration, and may select targets we are considering but have not taken sufficient action to exclude under each collaboration.</w:t>
      </w:r>
    </w:p>
    <w:p>
      <w:pPr>
        <w:spacing w:after="0" w:line="67" w:lineRule="exact"/>
        <w:rPr>
          <w:rFonts w:ascii="Times New Roman" w:cs="Times New Roman" w:eastAsia="Times New Roman" w:hAnsi="Times New Roman"/>
          <w:sz w:val="18"/>
          <w:szCs w:val="18"/>
          <w:color w:val="auto"/>
        </w:rPr>
      </w:pPr>
    </w:p>
    <w:p>
      <w:pPr>
        <w:ind w:left="1000" w:right="640" w:hanging="493"/>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drug candidate, repeat or conduct new clinical trials, or require a new formulation of a drug candidate for clinical testing.</w:t>
      </w:r>
    </w:p>
    <w:p>
      <w:pPr>
        <w:spacing w:after="0" w:line="53" w:lineRule="exact"/>
        <w:rPr>
          <w:rFonts w:ascii="Times New Roman" w:cs="Times New Roman" w:eastAsia="Times New Roman" w:hAnsi="Times New Roman"/>
          <w:sz w:val="18"/>
          <w:szCs w:val="18"/>
          <w:color w:val="auto"/>
        </w:rPr>
      </w:pPr>
    </w:p>
    <w:p>
      <w:pPr>
        <w:ind w:left="1000" w:right="100" w:hanging="493"/>
        <w:spacing w:after="0" w:line="266"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develop independently, or develop with third parties, products that compete directly or indirectly with our products or drug candidates if the collaborators believe that competitive products are more likely to be successfully developed or can be commercialized under terms that are more economically attractive than ours.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6" w:name="page47"/>
    <w:bookmarkEnd w:id="46"/>
    <w:p>
      <w:pPr>
        <w:ind w:left="1000" w:right="500" w:hanging="493"/>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1000" w:right="120" w:hanging="493"/>
        <w:spacing w:after="0" w:line="258"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or defend our intellectual property or proprietary rights or may use our proprietary information in such a way that could jeopardize or invalidate our proprietary information or expose us to potential litigation. For example, Sanofi and Gilead have the first right to enforce or defend certain intellectual property rights under the applicable collaboration arrangement with respect to particular licensed programs, and although we may have the right to assume the enforcement and defense of such intellectual property rights if the collaborator does not, our ability to do so may be compromised by their actions.</w:t>
      </w:r>
    </w:p>
    <w:p>
      <w:pPr>
        <w:spacing w:after="0" w:line="75"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drug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1000" w:right="280" w:hanging="493"/>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including if we undergo a change of control. For example, Sanofi may terminate its agreement with us if we undergo a change of control.</w:t>
      </w:r>
    </w:p>
    <w:p>
      <w:pPr>
        <w:spacing w:after="0" w:line="53" w:lineRule="exact"/>
        <w:rPr>
          <w:rFonts w:ascii="Times New Roman" w:cs="Times New Roman" w:eastAsia="Times New Roman" w:hAnsi="Times New Roman"/>
          <w:sz w:val="18"/>
          <w:szCs w:val="18"/>
          <w:color w:val="auto"/>
        </w:rPr>
      </w:pPr>
    </w:p>
    <w:p>
      <w:pPr>
        <w:ind w:left="1000" w:hanging="493"/>
        <w:spacing w:after="0" w:line="26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drug candidates. For example, each of Sanofi and Gilead can terminate its agreement with us in its entirety or with respect to a specific target for convenience upon written notice or in connection with a material breach of the agreement by us that remains uncured for a specified period of time.</w:t>
      </w:r>
    </w:p>
    <w:p>
      <w:pPr>
        <w:spacing w:after="0" w:line="71" w:lineRule="exact"/>
        <w:rPr>
          <w:rFonts w:ascii="Times New Roman" w:cs="Times New Roman" w:eastAsia="Times New Roman" w:hAnsi="Times New Roman"/>
          <w:sz w:val="18"/>
          <w:szCs w:val="18"/>
          <w:color w:val="auto"/>
        </w:rPr>
      </w:pPr>
    </w:p>
    <w:p>
      <w:pPr>
        <w:ind w:left="1000" w:right="80" w:hanging="493"/>
        <w:spacing w:after="0" w:line="266"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drug candidates in the most efficient manner, or at all. For instance, 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68"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drug candidates could be delayed, and we may need additional resources to develop drug candidates. In addition, if one of our collaborators terminates its agreement with us, we may find it more difficult to find a suitable replacement collaborator or attract new collaborators, and our development programs may be delayed or the perception of us in the business and financial communities could be adversely affected. All of the risks relating to product development, marketing approval, and commercialization described in this report apply to the activities of our collaborators.</w:t>
      </w:r>
    </w:p>
    <w:p>
      <w:pPr>
        <w:spacing w:after="0" w:line="8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may in the future decide to collaborate with pharmaceutical and biotechnology companies for the development and potential commercialization of any drug candidates we may develop. These relationships may require us to incur non-recurring and other charges, increase our near- and long-term expenditures, issue securities that dilute the ownership interest of our existing stockholders, or disrupt our management and business. In addition, we could face significant competition in seeking appropriate collaborators, and the negotiation process is time-consuming and complex. Our ability to reach a definitive collaboration agreement will depend upon, among other things, our assessment of the proposed collaborator’s resources and expertise, the terms and conditions of the proposed collaboration, and the proposed collaborator’s evaluation of several factors. If we license rights to any drug candidates we or our collaborators may develop, we may not be able to realize the benefit of such transactions if we are unable to successfully integrate them with our existing operations and company culture.</w:t>
      </w:r>
    </w:p>
    <w:p>
      <w:pPr>
        <w:spacing w:after="0" w:line="18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If we are not able to establish collaborations on commercially reasonable terms, we may have to alter our development and commercialization plans.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plan to continue to selectively pursue collaborations with leading biopharmaceutical companies with development and commercial expertise and capabilities. We face significant competition in attracting appropriate collaborators to advance the development of any drug candidates for which we may seek a collaboration. Whether we reach a definitive agreement for a collaboration will depend upon, among other things, our assessment of the collaborator’s resources and expertise, the terms and conditions of the proposed collaboration and the proposed collaborator’s evaluation of a number of factors. Those factors may include the design or results of preclinical studies and clinical trials, the likelihood of approval by the FDA or other regulatory authorities, the potential market for the subject drug candidate, the costs and complexities of manufacturing and delivering such drug candidate to patients, the potential of competing products, uncertainty with respect to our ownership of technology (which can exist if there is a challenge to such ownership without regard to the merits of the challenge), the terms of any existing collaboration agreements, and industry and market conditions generally. The collaborator also may have the opportunity to collaborate on other drug candidates or technologies for similar indications and will have to evaluate whether such a collaboration could be more attractive than one with us.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7" w:name="page48"/>
    <w:bookmarkEnd w:id="47"/>
    <w:p>
      <w:pPr>
        <w:ind w:right="240" w:firstLine="510"/>
        <w:spacing w:after="0" w:line="289" w:lineRule="auto"/>
        <w:rPr>
          <w:sz w:val="20"/>
          <w:szCs w:val="20"/>
          <w:color w:val="auto"/>
        </w:rPr>
      </w:pPr>
      <w:r>
        <w:rPr>
          <w:rFonts w:ascii="Times New Roman" w:cs="Times New Roman" w:eastAsia="Times New Roman" w:hAnsi="Times New Roman"/>
          <w:sz w:val="17"/>
          <w:szCs w:val="17"/>
          <w:color w:val="auto"/>
        </w:rPr>
        <w:t>Collaborations are complex and time-consuming to negotiate, document and execute. In addition, consolidation among large pharmaceutical companies has reduced the number of potential future collaborators, and we may not be able to locate a suitable collaborator. Any collaboration we enter into may limit our ability to enter into future agreements on particular terms or covering similar target indications with other potential collaborators.</w:t>
      </w:r>
    </w:p>
    <w:p>
      <w:pPr>
        <w:spacing w:after="0" w:line="50" w:lineRule="exact"/>
        <w:rPr>
          <w:sz w:val="20"/>
          <w:szCs w:val="20"/>
          <w:color w:val="auto"/>
        </w:rPr>
      </w:pPr>
    </w:p>
    <w:p>
      <w:pPr>
        <w:ind w:right="60" w:firstLine="510"/>
        <w:spacing w:after="0" w:line="25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revenue from product sales, which could have an adverse effect on our business, financial condition, results of operations and prospects.</w:t>
      </w:r>
    </w:p>
    <w:p>
      <w:pPr>
        <w:spacing w:after="0" w:line="18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deadlines for completing such trials.</w:t>
      </w:r>
    </w:p>
    <w:p>
      <w:pPr>
        <w:spacing w:after="0" w:line="5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We rely on third-party contract research organizations (CROs) to conduct our Phase 1 clinical trial programs for NX-2127, NX-1607, NX-5948 and DeTIL-0255 and we will rely on third-party CROs to conduct any clinical trials for other drug candidates. Agreements with these CROs might terminate for a variety of reasons, including for such CRO’s failure to perform. Entry into alternative arrangements, if necessary, could significantly delay our product development activities.</w:t>
      </w:r>
    </w:p>
    <w:p>
      <w:pPr>
        <w:spacing w:after="0" w:line="72"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Our reliance on these CROs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in the applicable IND. Moreover, the FDA requires compliance with standards, commonly referred to as GCPs, for conducting, recording and reporting the results of clinical trials to assure that data and reported results are credible and accurate and that the rights, integrity and confidentiality of trial participants are protected.</w:t>
      </w:r>
    </w:p>
    <w:p>
      <w:pPr>
        <w:spacing w:after="0" w:line="75"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If these CROs do not successfully carry out their contractual duties, meet expected deadlines or conduct our clinical trials in accordance with regulatory requirements or our stated protocols, we will not be able to obtain, or may be delayed in obtaining, marketing approvals for our drug candidates and will not be able to, or may be delayed in our efforts to, successfully commercialize our drug candidates.</w:t>
      </w:r>
    </w:p>
    <w:p>
      <w:pPr>
        <w:spacing w:after="0" w:line="17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contract manufacturing organizations for the manufacture of both drug substance and finished drug product for our drug candidates for preclinical and clinical testing and expect to continue to do so for any future clinical trials and commercialization. This reliance on third parties may increase the risk that we will not have sufficient quantities of our drug candidates or products or such quantities at an acceptable cost or quality, which could delay, prevent or impair our development or commercialization efforts.</w:t>
      </w:r>
    </w:p>
    <w:p>
      <w:pPr>
        <w:spacing w:after="0" w:line="72" w:lineRule="exact"/>
        <w:rPr>
          <w:sz w:val="20"/>
          <w:szCs w:val="20"/>
          <w:color w:val="auto"/>
        </w:rPr>
      </w:pPr>
    </w:p>
    <w:p>
      <w:pPr>
        <w:jc w:val="both"/>
        <w:ind w:right="100" w:firstLine="510"/>
        <w:spacing w:after="0" w:line="281" w:lineRule="auto"/>
        <w:rPr>
          <w:sz w:val="20"/>
          <w:szCs w:val="20"/>
          <w:color w:val="auto"/>
        </w:rPr>
      </w:pPr>
      <w:r>
        <w:rPr>
          <w:rFonts w:ascii="Times New Roman" w:cs="Times New Roman" w:eastAsia="Times New Roman" w:hAnsi="Times New Roman"/>
          <w:sz w:val="17"/>
          <w:szCs w:val="17"/>
          <w:color w:val="auto"/>
        </w:rPr>
        <w:t>We do not own or operate, and currently have no plans to establish, any manufacturing facilities. We rely on and expect to continue to rely on third-party CMOs for both drug substance and finished drug product, and ACT product. This reliance on CMOs, particularly where one CMO is the sole source of the drug substance or finished drug product, or ACT product, may increase the risk that we will not have sufficient quantities of our drug candidates or products or such quantities at an acceptable cost or quality, which could delay, prevent or impair our development or commercialization efforts.</w:t>
      </w:r>
    </w:p>
    <w:p>
      <w:pPr>
        <w:spacing w:after="0" w:line="56" w:lineRule="exact"/>
        <w:rPr>
          <w:sz w:val="20"/>
          <w:szCs w:val="20"/>
          <w:color w:val="auto"/>
        </w:rPr>
      </w:pPr>
    </w:p>
    <w:p>
      <w:pPr>
        <w:ind w:right="360" w:firstLine="510"/>
        <w:spacing w:after="0" w:line="282" w:lineRule="auto"/>
        <w:rPr>
          <w:sz w:val="20"/>
          <w:szCs w:val="20"/>
          <w:color w:val="auto"/>
        </w:rPr>
      </w:pPr>
      <w:r>
        <w:rPr>
          <w:rFonts w:ascii="Times New Roman" w:cs="Times New Roman" w:eastAsia="Times New Roman" w:hAnsi="Times New Roman"/>
          <w:sz w:val="18"/>
          <w:szCs w:val="18"/>
          <w:color w:val="auto"/>
        </w:rPr>
        <w:t>We may be unable to establish agreements with CMOs or to do so on acceptable terms. Even if we are able to establish agreements with CMOs, reliance on them entails additional risks, including:</w:t>
      </w:r>
    </w:p>
    <w:p>
      <w:pPr>
        <w:spacing w:after="0" w:line="54" w:lineRule="exact"/>
        <w:rPr>
          <w:sz w:val="20"/>
          <w:szCs w:val="20"/>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CMO for regulatory, compliance and quality assurance;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CMO;</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CMO at a time that is costly or inconvenient for us.</w:t>
      </w:r>
    </w:p>
    <w:p>
      <w:pPr>
        <w:spacing w:after="0" w:line="117"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We have only limited technology transfer agreements in place with respect to our drug candidates, and these arrangements do not extend to commercial supply. We acquire many key materials on a purchase order basis. As a result, we do not have long-term committed arrangements with respect to our drug candidates and other materials. If we receive marketing approval for any of our drug candidates, we will need to establish an agreement for commercial manufacture with a third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8" w:name="page49"/>
    <w:bookmarkEnd w:id="48"/>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The CMOs we retain may not be able to comply with cGMP regulations or similar regulatory requirements outside of the United States. Our failure, or the failure of our CMOs, to comply with applicable regulations could result in sanctions or other adverse regulatory actions, including untitled or warning letters, clinical holds, fines, injunctions, civil penalties, delays, suspension or withdrawal of approvals, failure to approve pending applications, license revocation, seizures or recalls of drug candidates or products, operating restrictions and criminal prosecutions, any of which could significantly and adversely affect supplies of our products.</w:t>
      </w:r>
    </w:p>
    <w:p>
      <w:pPr>
        <w:spacing w:after="0" w:line="75"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drug candidates must be approved by the FDA or the EMA or other national or international regulatory agencies pursuant to inspections that will be conducted after we submit our NDA to the FDA or our marketing authorization application (MAA) to the EMA or other regulatory authority. 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the EMA or comparable foreign regulatory bodies, they will not be able to secure and/or maintain marketing approval for their manufacturing facilities. In addition, we do not have complete control over the ability of our contract manufacturers to maintain adequate quality control, quality assurance and qualified personnel. If the FDA, the EMA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w:t>
      </w:r>
    </w:p>
    <w:p>
      <w:pPr>
        <w:spacing w:after="0" w:line="84"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Our drug candidates and any products that we may develop may compete with other drug candidates and products for access to suitable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68"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or could result in withdrawal of marketing approval. We do not currently have arrangements in place for redundant supply or a second source for bulk drug substance. If our current CMOs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 manufacturer or may not be able to reach agreement with any alternative manufacturer.</w:t>
      </w:r>
    </w:p>
    <w:p>
      <w:pPr>
        <w:spacing w:after="0" w:line="75"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products may adversely affect our future profit margins and our ability to commercialize any products that receive marketing approval on a timely and competitive basis.</w:t>
      </w:r>
    </w:p>
    <w:p>
      <w:pPr>
        <w:spacing w:after="0" w:line="15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suppliers may experience disruption to their respective supply chain due to the effects of the COVID-19 pandemic, which could delay, prevent or impair our development or commercialization efforts.</w:t>
      </w:r>
    </w:p>
    <w:p>
      <w:pPr>
        <w:spacing w:after="0" w:line="5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We obtain certain chemical or biological intermediates in the synthesis of our drug candidates and NHPs for toxicology testing in countries affected by the COVID-19 pandemic. If we are unable to obtain these chemical or biological intermediates or NHPs in sufficient quantity and in a timely manner due to disruptions in the global supply chain caused by the COVID-19 pandemic, the development, testing and clinical trials of that drug candidate may be delayed or infeasible, and regulatory approval or commercial launch of any resulting product may be delayed or not obtained, which could significantly harm our business.</w:t>
      </w:r>
    </w:p>
    <w:p>
      <w:pPr>
        <w:spacing w:after="0" w:line="179"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CMOs may be unable to successfully scale-up manufacturing of our drug candidates in sufficient quality and quantity, which would delay or prevent us from developing our drug candidates and commercializing approved products, if any.</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In order to conduct clinical trials of our drug candidates, we will need to manufacture our drug candidates in large quantities. Quality issues may arise during scale-up activities. Our reliance on a limited number of CMOs, the complexity of drug manufacturing and the difficulty of scaling up a manufacturing process could cause the delay of clinical trials, regulatory submissions, required approvals or commercialization of our drug candidates, cause us to incur higher costs and prevent us from commercializing our drug candidates successfully. Furthermore, if our CMOs fail to deliver the required commercial quality and quantities of materials on a timely basis and at commercially reasonable prices, and we are unable to secure one or more replacement CMOs capable of production in a timely manner at a substantially equivalent cost, then testing and clinical trials of that drug candidate may be delayed or infeasible, and regulatory approval or commercial launch of any resulting product may be delayed or not obtained, which could significantly harm our business.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Drug Candidates</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drug candidates receive marketing approval, a drug candidate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If any of our drug candidates receive marketing approval, they may nonetheless fail to gain sufficient market acceptance by physicians, patients, third-party payors and others in the medical community. For example, ibrutinib is a well-established current treatment for CLL and other B-cell malignancies, and doctors may continue to rely on this and other treatments. If our drug candidates do not achieve an adequate level of acceptance, we may not generate significant revenue from product sales and we may not become profitable. The degree of market acceptance of our drug candidates, if approved for commercial sale, will depend on a number of factors, including:</w:t>
      </w:r>
    </w:p>
    <w:p>
      <w:pPr>
        <w:spacing w:after="0" w:line="75" w:lineRule="exact"/>
        <w:rPr>
          <w:sz w:val="20"/>
          <w:szCs w:val="20"/>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 particular compared to alternative treatments;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sales and distribution support;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payor coverage and adequate reimbursement;</w:t>
      </w:r>
    </w:p>
    <w:p>
      <w:pPr>
        <w:spacing w:after="0" w:line="117" w:lineRule="exact"/>
        <w:rPr>
          <w:rFonts w:ascii="Times New Roman" w:cs="Times New Roman" w:eastAsia="Times New Roman" w:hAnsi="Times New Roman"/>
          <w:sz w:val="18"/>
          <w:szCs w:val="18"/>
          <w:color w:val="auto"/>
        </w:rPr>
      </w:pPr>
    </w:p>
    <w:p>
      <w:pPr>
        <w:ind w:left="1000" w:right="60" w:hanging="493"/>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a positive health technology appraisal (HTA) recommendation for the product to be prescribed and reimbursed under the national health system;</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marketing approval in relation to other product approvals;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we may not be successful in commercializing our drug candidates if and when they are approved.</w:t>
      </w:r>
    </w:p>
    <w:p>
      <w:pPr>
        <w:spacing w:after="0" w:line="5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biopharmaceutical products. To achieve commercial success for any product for which we obtain marketing approval, we will need to establish sales, marketing and distribution capabilities, either by ourselves or through collaboration or other arrangements with third parties.</w:t>
      </w:r>
    </w:p>
    <w:p>
      <w:pPr>
        <w:spacing w:after="0" w:line="68"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currently expect that we may build our own focused, specialized sales and marketing organization to support the commercialization in the United States of drug candidates for which we receive marketing approval and that can be commercialized with such capabilities. There are risks involved with establishing our own sales and marketing capabilities. For example, recruiting and training a sales force is expensive and time-consuming and could delay any product launch. If the commercial launch of a drug candidate for which we recruit a sales force and establish marketing capabilities is delayed or does not occur for any reason, we would have incurred these commercialization expenses prematurely or unnecessarily. These efforts may be costly, and our investment would be lost if we cannot retain or reposition our sales and marketing personnel.</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17" w:lineRule="exact"/>
        <w:rPr>
          <w:sz w:val="20"/>
          <w:szCs w:val="20"/>
          <w:color w:val="auto"/>
        </w:rPr>
      </w:pPr>
    </w:p>
    <w:p>
      <w:pPr>
        <w:ind w:left="1000" w:right="20" w:hanging="493"/>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reimbursement, customer service, medical affairs, and other support personnel;</w:t>
      </w:r>
    </w:p>
    <w:p>
      <w:pPr>
        <w:spacing w:after="0" w:line="53" w:lineRule="exact"/>
        <w:rPr>
          <w:rFonts w:ascii="Times New Roman" w:cs="Times New Roman" w:eastAsia="Times New Roman" w:hAnsi="Times New Roman"/>
          <w:sz w:val="18"/>
          <w:szCs w:val="18"/>
          <w:color w:val="auto"/>
        </w:rPr>
      </w:pPr>
    </w:p>
    <w:p>
      <w:pPr>
        <w:ind w:left="1000" w:right="160" w:hanging="493"/>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If we are unable to establish our own sales and marketing capabilities or enter into arrangements with third parties to perform these services, our revenue from product sales and our profitability, if any, are likely to be lower than if we ourselves were to market and sell any products that we develop. In addition, we may not be successful in entering into arrangements with third parties to market and sell our drug candidates or may be unable to do so on terms that are acceptable to us.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our drug candidates.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50" w:name="page51"/>
    <w:bookmarkEnd w:id="50"/>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drug candidates, the products may become subject to unfavorable pricing regulations, third-party reimbursement practices or healthcare reform initiatives, which would harm our business.</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cost-effectiveness of our drug candidate to other available therapies.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drug candidates, even if our drug candidates obtain marketing approval.</w:t>
      </w:r>
    </w:p>
    <w:p>
      <w:pPr>
        <w:spacing w:after="0" w:line="80"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ability to commercialize any drug candidates successfully also will depend in part on the extent to which coverage and adequate reimbursement for these products and related treatments will be available from government healthcare programs, private health insurers, national health technology assessment authorities in Europe and other organizations, and if reimbursement and coverage is available, the level of reimbursement and coverage. Government authorities and third-party payors, such as private health insurers and health maintenance organizations, decide which medications they will pay for and establish reimbursement levels. A key focus in the U.S. healthcare industry and elsewhere is cost containment. Government authorities and third-party payors have attempted to control costs by limiting coverage and the amount of reimbursement for particular medications. Increasingly, government authorities and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drug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drug candidate for which we obtain marketing approval.</w:t>
      </w:r>
    </w:p>
    <w:p>
      <w:pPr>
        <w:spacing w:after="0" w:line="7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also may not be sufficient to cover our costs and may not be made permanent. Reimbursement rates may vary according to the use of the drug and the clinical setting in which it is used, may be based on reimbursement levels already set for lower cost drugs, may take into account comparative cost-effectiveness, in particular in European jurisdictions,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21"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drug candidates in human clinical trials and will face an even greater risk if we commercially sell any products that we may develop. If we cannot successfully defend ourselves against claims that our drug candidates or products caused injuries, we will incur substantial liabilities. Regardless of merit or eventual outcome, liability claims may result in:</w:t>
      </w:r>
    </w:p>
    <w:p>
      <w:pPr>
        <w:spacing w:after="0" w:line="68" w:lineRule="exact"/>
        <w:rPr>
          <w:sz w:val="20"/>
          <w:szCs w:val="20"/>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drug candidates or products that we may develop;</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marketing approval, recall, restriction on the approval or a “black box” warning or contraindication for an approved drug;</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51" w:name="page52"/>
    <w:bookmarkEnd w:id="51"/>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product liability insurance coverage as we initiate our clinical trials, as we expand our clinical trials and if we commence commercialization of our drug candidates. Insurance coverage is increasingly expensive. We may not be able to maintain or increase our insurance coverage at a reasonable cost or in an amount adequate to satisfy any liability that may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our current drug candidates and any future drug candidates that we may develop, or if the scope of the patent protection obtained is not sufficiently broad, our competitors and other third parties could develop and commercialize technology and drug candidates similar or identical to ours, and our ability to successfully commercialize our technology and drug candidates may be impaired, and we may not be able to compete effectively in our market.</w:t>
      </w:r>
    </w:p>
    <w:p>
      <w:pPr>
        <w:spacing w:after="0" w:line="7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patent and other intellectual property and proprietary protection in the United States and other countries with respect to our drug candidates and proprietary technology. We seek to protect our proprietary position by filing patent applications in the United States and abroad related to our novel technologies and drug candidates. If we are unable to obtain or maintain patent protection with respect to our proprietary drug candidates and technology or do not otherwise adequately protect our intellectual property, competitors and other third parties may be able to use our drug candidates and technologies and erode or negate any competitive advantage that we may have, which could have a material adverse effect on our business. Any disclosure to or misappropriation by third parties of our confidential proprietary information could enable competitors and other third parties to quickly duplicate or surpass our technological achievements, thus eroding our competitive position in our market. Moreover, the patent applications we own, co-own or license may fail to result in issued patents that cover our current and future drug candidates in the United States or in other foreign countries. Our patent applications cannot be enforced against third parties practicing the technology claimed in such applications unless, and until, a patent issues from such applications, and then only to the extent the issued claims cover the technology. If the patent applications we hold with respect to our development programs and drug candidates fail to issue, if their breadth or strength of protection is threatened, or if they fail to provide meaningful exclusivity for our current and future drug candidates, it could have a material adverse effect on our ability to commercialize our drug candidates and our business.</w:t>
      </w:r>
    </w:p>
    <w:p>
      <w:pPr>
        <w:spacing w:after="0" w:line="79"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To protect our proprietary positions, we file patent applications in the United States and other countries related to our novel technologies and drug candidates that are important to our business. The patent application and prosecution process is expensive, complex and time-consuming, and we may not be able to file and prosecute all necessary or desirable patent applications in all potential jurisdictions at a reasonable cost or in a timely manner. It is also possible that we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the public domain. It is possible that defects of form in the preparation or filing of our patents or patent applications may exist, or may arise in the future, such as with respect to proper priority claims, inventorship, claim scope or patent term adjustments. If any current or future licensors or licensees are not fully cooperative or disagree with us as to the prosecution, maintenance or enforcement of any patent rights, such patent rights could be compromised and we might not be able to prevent third parties from making, using and selling competing products. If there are material defects in the form or preparation of our patents or patent applications, such patents or applications may be invalid and unenforceable. Moreover, our competitors and other third parties may independently develop equivalent knowledge, methods and know-how. Any of these outcomes could impair our ability to prevent competition from third parties.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ind w:right="60" w:firstLine="510"/>
        <w:spacing w:after="0" w:line="269" w:lineRule="auto"/>
        <w:rPr>
          <w:sz w:val="20"/>
          <w:szCs w:val="20"/>
          <w:color w:val="auto"/>
        </w:rPr>
      </w:pPr>
      <w:r>
        <w:rPr>
          <w:rFonts w:ascii="Times New Roman" w:cs="Times New Roman" w:eastAsia="Times New Roman" w:hAnsi="Times New Roman"/>
          <w:sz w:val="17"/>
          <w:szCs w:val="17"/>
          <w:color w:val="auto"/>
        </w:rPr>
        <w:t>The patent position of biotechnology and pharmaceutical companies generally is highly uncertain, involves complex legal and factual questions and has in recent years been the subject of much litigation. In addition, the protections offered by laws of different countries vary and the laws of foreign countries may not protect our rights to the same extent as the laws of the United States. For example, European patent law restricts the patentability of methods of treatment of the human body more than United States law does.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As a result, the issuance, scope, validity, enforceability and commercial value of our patent rights, whether owned or in-licensed, are highly uncertain. 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 Patent and Trademark Office (USPTO), the laws and regulations governing patents could change in unpredictable ways that could weaken our ability to obtain patents or to enforce any patents that we might obtain in the future.</w:t>
      </w:r>
    </w:p>
    <w:p>
      <w:pPr>
        <w:spacing w:after="0" w:line="71"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 xml:space="preserve">We may not be aware of all third-party intellectual property rights potentially relating to our current and future drug candidates. Publications of discoveries in the scientific literature often lag behind the actual discoveries, and patent applications in the United States and other jurisdictions typically are not published until 18 months after filing, or in some cases not at all. Therefore, we cannot know with certainty whether we were the first to make the inventions claimed in our patents or pending patent applications, or that we or our licensors were the first inventors to file for patent protection of such inventions. As a result, the issuance, scope, validity, enforceability and commercial value of our patent rights are highly uncertain. Our pending and future patent applications, whether owned or in-licensed, may not result in patents being issued that protect our technology or drug candidates, in whole or in part, or that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Moreover, we may be subject to a third-party preissuance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We may become involved in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other post-grant proceedings, in the United States or elsewhere, challenging our or our licensors’ patent rights or the patent rights of others. An adverse determination in any such submission, proceeding or litigation could reduce the scope of, or invalidate, our patent rights, allow third parties to commercialize our technology or drug candidates and compete directly with us, without payment to us, or result in our inability to manufacture or commercialize products without infringing third-party patent rights, which could significantly harm our business and results of operations. Moreover, we, or one of our licensors,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exclusivity, freedom to operate, or in patent claims being narrowed, invalidated, or held unenforceable, in whole or in part, which could limit our ability to stop others from using or commercializing similar or identical technology and drug candidates, or limit the duration of the patent protection of our technology and drug candidates. Such proceedings also may result in substantial cost and require significant time from our scientists and management, even if the eventual outcome is favorable to us. In addition, any threat to the breadth or strength of protection provided by our patents and patent applications could dissuade companies from collaborating with us to license, develop or commercialize current or future drug candidates.</w:t>
      </w:r>
    </w:p>
    <w:p>
      <w:pPr>
        <w:spacing w:after="0" w:line="98"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Even if our patent applications issue as patents and are unchallenged, they may not issue in a form that will provide us with any meaningful protection against competing products or processes sufficient to achieve our business objectives, prevent competitors and other third parties from competing with us or otherwise provide us with any competitive advantage. Our competitors and other third parties may be able to design around or circumvent our patents, should they issue, by developing similar or alternative technologies or products in a non-infringing manner. Our competitors and other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other agency with jurisdiction may find our patents invalid and/or unenforceable. If the patent protection provided by the patents and patent applications we own or license is not sufficiently broad to impede such competition, our ability to successfully commercialize our drug candidates could be negatively affected, which could have a material adverse effect on our business, financial condition, results of operations and prospects.</w:t>
      </w:r>
    </w:p>
    <w:p>
      <w:pPr>
        <w:spacing w:after="0" w:line="80"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similar or identical to ours. Any of the foregoing could have a material adverse effect on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3" w:name="page54"/>
    <w:bookmarkEnd w:id="53"/>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drug candidates.</w:t>
      </w:r>
    </w:p>
    <w:p>
      <w:pPr>
        <w:spacing w:after="0" w:line="51" w:lineRule="exact"/>
        <w:rPr>
          <w:sz w:val="20"/>
          <w:szCs w:val="20"/>
          <w:color w:val="auto"/>
        </w:rPr>
      </w:pPr>
    </w:p>
    <w:p>
      <w:pPr>
        <w:ind w:right="20" w:firstLine="510"/>
        <w:spacing w:after="0" w:line="269" w:lineRule="auto"/>
        <w:rPr>
          <w:sz w:val="20"/>
          <w:szCs w:val="20"/>
          <w:color w:val="auto"/>
        </w:rPr>
      </w:pPr>
      <w:r>
        <w:rPr>
          <w:rFonts w:ascii="Times New Roman" w:cs="Times New Roman" w:eastAsia="Times New Roman" w:hAnsi="Times New Roman"/>
          <w:sz w:val="17"/>
          <w:szCs w:val="17"/>
          <w:color w:val="auto"/>
        </w:rPr>
        <w:t xml:space="preserve">As is the case with other biopharmaceutical companies, our success is heavily dependent on intellectual property, particularly patents. Obtaining and enforcing patents in the biopharmaceutical industry involves both technological and legal complexity, and therefore is costly, time-consuming and inherently uncertain. Past or future patent reform legislation in the United States and other countries could increase the uncertainties and costs surrounding the prosecution of patent applications and the enforcement or defense of issued patents, may diminish the value of our patents or narrow the scope of our patent protection and may affect the scope, strength and enforceability of our patent rights or the nature of proceedings that may be brought by or against us related to our patent rights. Under the Leahy-Smith America Invents Act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includes a number of other significant changes to U.S. patent law, including provisions that affect the way patent applications are prosecuted and may also affect patent litigation.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and derivation proceedings.</w:t>
      </w:r>
    </w:p>
    <w:p>
      <w:pPr>
        <w:spacing w:after="0" w:line="74" w:lineRule="exact"/>
        <w:rPr>
          <w:sz w:val="20"/>
          <w:szCs w:val="20"/>
          <w:color w:val="auto"/>
        </w:rPr>
      </w:pPr>
    </w:p>
    <w:p>
      <w:pPr>
        <w:jc w:val="both"/>
        <w:ind w:right="120" w:firstLine="510"/>
        <w:spacing w:after="0" w:line="256" w:lineRule="auto"/>
        <w:rPr>
          <w:sz w:val="20"/>
          <w:szCs w:val="20"/>
          <w:color w:val="auto"/>
        </w:rPr>
      </w:pPr>
      <w:r>
        <w:rPr>
          <w:rFonts w:ascii="Times New Roman" w:cs="Times New Roman" w:eastAsia="Times New Roman" w:hAnsi="Times New Roman"/>
          <w:sz w:val="18"/>
          <w:szCs w:val="18"/>
          <w:color w:val="auto"/>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and the USPTO, the laws and regulations governing patents could change in unpredictable ways that would weaken our ability to obtain new patents or to enforce our existing patents and patents that we might obtain in the future. Any of the foregoing, including any similar adverse changes in the patent laws of other jurisdictions, could also have a material adverse effect on our business, financial condition, results of operations and prospects.</w:t>
      </w:r>
    </w:p>
    <w:p>
      <w:pPr>
        <w:spacing w:after="0" w:line="18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obtain patent protection for our drug candidates, the life of such protection, if any, is limited, and third parties could develop and commercialize products and technologies similar or identical to ours and compete directly against us after the expiration of our patent rights, if any, and our ability to successfully commercialize any product or technology would be materially adversely affected.</w:t>
      </w:r>
    </w:p>
    <w:p>
      <w:pPr>
        <w:spacing w:after="0" w:line="67"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The life of a patent and the protection it affords is limited. For example, in the United States, if all maintenance fees are timely paid, the natural expiration of a patent is generally 20 years from its earliest U.S. non provisional filing date. Even if we successfully obtain patent protection for an approved drug candidate, it may face competition from generic or biosimilar medications. Manufacturers of generic or biosimilar drugs may challenge the scope, validity or enforceability of our patents in court or before a patent office, and we may not be successful in enforcing or defending those intellectual property rights and, as a result, may not be able to develop or market the relevant product exclusively, which would materially adversely affect any potential sales of that product.</w:t>
      </w:r>
    </w:p>
    <w:p>
      <w:pPr>
        <w:spacing w:after="0" w:line="7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drug candidates, patents protecting such drug candidates might expire before or shortly after such drug candidates are commercialized. As a result, our patents and patent applications may not provide us with sufficient rights to exclude others from commercializing products similar or identical to ours. Even if we believe we are eligible for certain patent term extensions, there can be no assurance that the applicable authorities, including the FDA and the USPTO in the United States, and any equivalent regulatory authority in other countries, will agree with our assessment of whether such extensions are available, and such authorities may refuse to grant extensions to our patents, or may grant more limited extensions than we request. Upon the expiration of patents that may issue from our pending patent applications, we will not be able to assert such patent rights against potential competitors and other third parties, which would materially adversely affect our business, financial condition, results of operations and prospects.</w:t>
      </w:r>
    </w:p>
    <w:p>
      <w:pPr>
        <w:spacing w:after="0" w:line="18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5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of our drug candidates. It may be necessary for us to use the patented or proprietary technology of a third party to commercialize our own technology or drug candidates, in which case we would be required to obtain a license from such third party. A license to such intellectual property may not be available or may not be available on commercially reasonable terms, which could have a material adverse effect on our business, financial condition, results of operations and prospects.</w:t>
      </w:r>
    </w:p>
    <w:p>
      <w:pPr>
        <w:spacing w:after="0" w:line="72"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practice, and companies that may be more established, or have greater resources than we do, also may be pursuing strategies to license or acquire third-party intellectual property rights that we may consider necessary or attractive in order to commercialize our drug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drug candidates we may seek to acquire.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4" w:name="page55"/>
    <w:bookmarkEnd w:id="54"/>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our business.</w:t>
      </w:r>
    </w:p>
    <w:p>
      <w:pPr>
        <w:spacing w:after="0" w:line="51" w:lineRule="exact"/>
        <w:rPr>
          <w:sz w:val="20"/>
          <w:szCs w:val="20"/>
          <w:color w:val="auto"/>
        </w:rPr>
      </w:pPr>
    </w:p>
    <w:p>
      <w:pPr>
        <w:ind w:right="320" w:firstLine="510"/>
        <w:spacing w:after="0" w:line="266" w:lineRule="auto"/>
        <w:rPr>
          <w:sz w:val="20"/>
          <w:szCs w:val="20"/>
          <w:color w:val="auto"/>
        </w:rPr>
      </w:pPr>
      <w:r>
        <w:rPr>
          <w:rFonts w:ascii="Times New Roman" w:cs="Times New Roman" w:eastAsia="Times New Roman" w:hAnsi="Times New Roman"/>
          <w:sz w:val="18"/>
          <w:szCs w:val="18"/>
          <w:color w:val="auto"/>
        </w:rPr>
        <w:t>Our commercial success depends, in part, upon our ability, and the ability of our collaborators to develop, manufacture, market and sell our drug candidates and future drug candidates and use our proprietary technologies without infringing, misappropriating or otherwise violating the intellectual property and other proprietary rights of third parties.</w:t>
      </w:r>
    </w:p>
    <w:p>
      <w:pPr>
        <w:spacing w:after="0" w:line="68" w:lineRule="exact"/>
        <w:rPr>
          <w:sz w:val="20"/>
          <w:szCs w:val="20"/>
          <w:color w:val="auto"/>
        </w:rPr>
      </w:pPr>
    </w:p>
    <w:p>
      <w:pPr>
        <w:ind w:right="140" w:firstLine="510"/>
        <w:spacing w:after="0" w:line="253" w:lineRule="auto"/>
        <w:rPr>
          <w:sz w:val="20"/>
          <w:szCs w:val="20"/>
          <w:color w:val="auto"/>
        </w:rPr>
      </w:pPr>
      <w:r>
        <w:rPr>
          <w:rFonts w:ascii="Times New Roman" w:cs="Times New Roman" w:eastAsia="Times New Roman" w:hAnsi="Times New Roman"/>
          <w:sz w:val="18"/>
          <w:szCs w:val="18"/>
          <w:color w:val="auto"/>
        </w:rPr>
        <w:t xml:space="preserve">Numerous third-party U.S. and non-U.S. issued patents exist in the area of biotechnology, including in the area of targeted protein degraders and including patents owned or controlled by our competitors. There is considerable and complex intellectual property litigation in the biotechnology and pharmaceutical industries, as well as administrative proceedings for challenging patents, including interference, reexamination,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and oppositions and other comparable proceedings in foreign jurisdictions. We may in the future become party to, or be threatened with, adversarial proceedings or litigation regarding intellectual property rights with respect to our drug candidates, future drug candidates and technology, including interference, derivation, reexamination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before the USPTO. Our competitors or other third parties may assert infringement claims against us based on existing patents or patents that may be granted in the future and claims may also come from competitors or other third parties against whom our own patent portfolio may have no deterrent effect. The outcome of intellectual property litigation is subject to uncertainties that cannot be adequately quantified in advance. Other parties may allege that our drug candidates or the use of our technologies infringe patent claims or other intellectual property rights held by them or that we are employing their proprietary technology without authorization.</w:t>
      </w:r>
    </w:p>
    <w:p>
      <w:pPr>
        <w:spacing w:after="0" w:line="86"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As we continue to develop and, if approved, commercialize our current and future drug candidates, competitors or other third parties may claim that our technology infringes, misappropriates or otherwise violates their intellectual property rights. There are and may in the future be additional U.S. and foreign-issued patents and pending patent applications owned by third parties in the fields in which we are pursuing drug candidates. For example, we are aware of a patent owned by a third party with a claim that covers many potential targeted protein degraders. This patent may be alleged to cover one or more of our targeted protein degrader drug candidates, including our NX-2127 and NX-5948 drug candidates. While we believe that we have valid defenses against any assertion of such patent against us, such defenses may be unsuccessful. If we are unsuccessful and any of our targeted protein degrader drug candidates is found to infringe this patent, we could be required to obtain a license to such patent or forced to permanently cease developing, manufacturing, marketing and commercializing the infringing targeted protein degrader drug candidate. We may not be able to obtain any required license on commercially reasonable terms or at all, and even if we were able to obtain a license, it could be non-exclusive, thereby giving the licensor and other third parties the right to use the same technologies licensed to us, and it could require us to make substantial licensing, royalty and other payments. We also could be forced, including by court order, to permanently cease developing, manufacturing, marketing and commercializing the drug candidate. In addition, we could be found liable for significant monetary damages, including treble damages and attorneys’ fees, if we are found to have willingly infringed any such patent. Even if we were ultimately to prevail, any litigation could require us to divert substantial financial and management resources that we would otherwise be able to devote to our business.</w:t>
      </w:r>
    </w:p>
    <w:p>
      <w:pPr>
        <w:spacing w:after="0" w:line="8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Moreover, as the biotechnology and pharmaceutical industries expand and more patents are issued, the risk increases that our drug candidates may give rise to claims of infringement of the patent rights of others. There may be third-party patents of which we are currently unaware with claims to materials, formulations, methods of manufacture or methods for treatment related to the use or manufacture of our drug candidates or we may incorrectly conclude that a third-party patent is invalid, unenforceable or not infringed by our activities. Because patent applications can take many years to issue, there may be currently pending patent applications that may later result in issued patents that our drug candidates may infringe. In addition, third parties may obtain patents in the future and claim that use of our technologies infringes upon these patents.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5" w:name="page56"/>
    <w:bookmarkEnd w:id="55"/>
    <w:p>
      <w:pPr>
        <w:ind w:right="80" w:firstLine="510"/>
        <w:spacing w:after="0" w:line="252" w:lineRule="auto"/>
        <w:rPr>
          <w:sz w:val="20"/>
          <w:szCs w:val="20"/>
          <w:color w:val="auto"/>
        </w:rPr>
      </w:pPr>
      <w:r>
        <w:rPr>
          <w:rFonts w:ascii="Times New Roman" w:cs="Times New Roman" w:eastAsia="Times New Roman" w:hAnsi="Times New Roman"/>
          <w:sz w:val="18"/>
          <w:szCs w:val="18"/>
          <w:color w:val="auto"/>
        </w:rPr>
        <w:t>Patent and other types of the intellectual property litigation can involve complex factual and legal questions, and their outcome is uncertain. If we are found, or believe there is a risk we may be found, by a court of competent jurisdiction to infringe, misappropriate or otherwise violate a third party’s intellectual property rights, we could be required or may choose to obtain a license from such third party to continue developing and marketing our products and technology. However, we may not be able to obtain any such license on commercially reasonable terms or at all. Even if we were able to obtain a license, it could be non-exclusive, thereby giving our competitors and other third parties access to the same technologies licensed to us, and it could require us to make substantial licensing, royalty or other payments. Without such a license, we could be forced, including by court order, to cease commercializing the infringing technology or drug candidate. In addition, we could be found liable for monetary damages, which could be significant, including treble damages and attorneys’ fees if we are found to have willfully infringed a patent or other intellectual property right. A finding of infringement could prevent us from commercializing our drug candidates or future drug candidates or force us to cease some of our business operations, which could materially harm our business. Alternatively, we may need to redesign our infringing products, which may be impossible or require substantial time and monetary expenditure. If we lose a foreign patent lawsuit alleging our infringement of a competitor’s patents, we could be prevented from marketing our therapeutics in one or more foreign countries and/or be required to pay monetary damages for infringement or royalties in order to continue marketing. Claims that we have misappropriated the confidential information, trade secrets or other intellectual property of third parties could have a similar negative impact on our business. Any of these outcomes would have a material adverse effect on our business.</w:t>
      </w:r>
    </w:p>
    <w:p>
      <w:pPr>
        <w:spacing w:after="0" w:line="8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Further, we do not know which processes we will use for commercial manufacture of our future products, or which technologies owned or controlled by third parties may prove important or essential to those processes. Many companies have filed, and continue to file, patent applications related to novel protein modulation therapies that target disease-causing proteins and many companies have filed and continue to file patent applications related to ACT. Some of these patent applications have already been allowed or issued and others may issue in the future. Because this area is competitive and of strong interest to pharmaceutical and biotechnology companies, there likely will be additional patent applications filed and additional patents granted in the future, as well as additional research and development programs expected in the future. Furthermore, because patent applications can take many years to issue, may be confidential for 18 months or more after filing and can be revised before issuance, there may be applications now pending that we are not aware of that may later result in issued patents that may be infringed by the manufacture, use, sale or importation of our drug candidates or future products. If a patent holder believes the manufacture, use, sale, offer for sale or importation of one of our drug candidates or future products infringes its patent, the patent holder may sue us even if we have licensed other patent protection for our technology. Moreover, we may face patent infringement claims from non-practicing entities that have no relevant product revenue and against whom our licensed patent portfolio may therefore have no deterrent effect.</w:t>
      </w:r>
    </w:p>
    <w:p>
      <w:pPr>
        <w:spacing w:after="0" w:line="84"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It is also possible that we have failed to identify all relevant third-party patents or applications.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importation or use of a current or future drug candidate, or we may incorrectly conclude that a third-party patent is invalid, unenforceable or not infringed by our activities. Additionally, pending patent applications that have been published can, subject to certain limitations, later be amended in a manner that could cover our technologies, our future products or the manufacture or use of our future products.</w:t>
      </w:r>
    </w:p>
    <w:p>
      <w:pPr>
        <w:spacing w:after="0" w:line="8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drug candidates or future drug candidates or manufacture or methods of use, we would need to overcome a statutory presumption of validity that attaches to every U.S. patent. This burden is a high one and in order to prevail, we would have to present clear and convincing evidence as to the invalidity of the patent’s claims. Even if we believe third-party intellectual property claims are without merit, there is no assurance that a court would find in our favor on questions of infringement, validity or enforceability by invalidating the claims of any such U.S. patent or finding that our drug candidates or technology did not infringe any such claims.</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56" w:name="page57"/>
    <w:bookmarkEnd w:id="56"/>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be time-consuming, cause us to incur significant expenses, and could distract our technical and management personnel from their normal responsibilities and ongoing business operations. If we are unable to avoid infringing the patent rights of others, we may be required to seek a license, defend an infringement action or challenge the validity of the patents in court, or redesign our future products or processes.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Unlike some of our larger competitors and other third parties, we may not have sufficient financial or other resources to conduct such litigation or proceedings adequately. Furthermore, because of the substantial amount of discovery required in connection with intellectual property litigation or administrative proceedings, there is a risk that some of our confidential information could be compromised by disclosure. Uncertainties resulting from the litigation of patent litigation and other proceedings could delay our research and development efforts, adversely affect our ability to raise additional funds, and could limit our ability to continue our operations. Any of the foregoing could have a material adverse effect on our business.</w:t>
      </w:r>
    </w:p>
    <w:p>
      <w:pPr>
        <w:spacing w:after="0" w:line="186"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by third parties asserting that we or our employees, consultants, contractors or advisors have misappropriated, wrongfully used or disclosed alleged trade secrets or other intellectual property, or claiming ownership of what we regard as our own intellectual property.</w:t>
      </w:r>
    </w:p>
    <w:p>
      <w:pPr>
        <w:spacing w:after="0" w:line="28"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as well as other biotechnology or pharmaceutical companies, including our competitors or potential competitors. We have received confidential and proprietary information from collaborators, prospective licensees and other third parties. Although we try to ensure that our employees, consultants and advisors do not use the proprietary information or know-how of others in their work for us, we may be subject to claims that these individuals or we have inadvertently or otherwise used or disclosed intellectual property, including trade secrets or other proprietary information, of any such individual’s former employer. We also may in the future be subject to claims that we have caused such individual to breach the terms of his or her non-competition or non-solicitation agreement or from former employers or other third parties claiming to have an ownership interest in our patents or other intellectual property. Litigation may be necessary to defend against these claims. We may not be successful in defending these claims, and if we fail in defending any such claims, in addition to paying monetary damages, we may lose valuable intellectual property rights, such as exclusive ownership of, or right to use, valuable intellectual property.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drug candidates, which would have a material adverse effect on our business, results of operations, financial condition and prospects. Even if we are successful, litigation could result in substantial cost and reputational loss and be a distraction to our management and other employees.</w:t>
      </w:r>
    </w:p>
    <w:p>
      <w:pPr>
        <w:spacing w:after="0" w:line="7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In addition, although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Moreover, even when we obtain agreements assigning intellectual property to us, such assignment agreements may not be self-executing or may be breached, and we may be forced to bring claims against third parties, or defend claims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In addition, we or our licensors may in the future be subject to claims by former employees, consultants or other third parties asserting an ownership right in our owned or licensed patents or patent applications. An adverse determination in any such litigation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and drug candidates. Such challenges may also result in our inability to develop, manufacture or commercialize our drug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drug candidates. Any of the foregoing could have a material adverse effect on our business, financial condition, results of operations and prospects.</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7" w:name="page58"/>
    <w:bookmarkEnd w:id="57"/>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the patents of our licensors, or other intellectual property, which could be expensive, time-consuming and unsuccessful.</w:t>
      </w:r>
    </w:p>
    <w:p>
      <w:pPr>
        <w:spacing w:after="0" w:line="51" w:lineRule="exact"/>
        <w:rPr>
          <w:sz w:val="20"/>
          <w:szCs w:val="20"/>
          <w:color w:val="auto"/>
        </w:rPr>
      </w:pPr>
    </w:p>
    <w:p>
      <w:pPr>
        <w:ind w:right="20" w:firstLine="510"/>
        <w:spacing w:after="0" w:line="268" w:lineRule="auto"/>
        <w:rPr>
          <w:sz w:val="20"/>
          <w:szCs w:val="20"/>
          <w:color w:val="auto"/>
        </w:rPr>
      </w:pPr>
      <w:r>
        <w:rPr>
          <w:rFonts w:ascii="Times New Roman" w:cs="Times New Roman" w:eastAsia="Times New Roman" w:hAnsi="Times New Roman"/>
          <w:sz w:val="17"/>
          <w:szCs w:val="17"/>
          <w:color w:val="auto"/>
        </w:rPr>
        <w:t xml:space="preserve">Competitors or other third parties may infringe our patents, the patents of our licensors, or other intellectual property. To counter infringement or unauthorized use, we may be required to file infringement claims, which, regardless of merit, can be expensive, time-consuming, unpredictable and divert the time and attention of our management and scientific personnel. Any claims we assert against perceived infringers could provoke those parties to assert counterclaims against us alleging that we infringe their patents or other intellectual property. In addition, in a patent infringement proceeding, a court may decide that a patent of ours or our licensors is invalid or unenforceable, in whole or in part, construe the patent’s claims narrowly or refuse to stop the other party from using the technology at issue on the grounds that our patents do not cover the technology in question.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 interference proceedings, derivation proceedings and equivalent proceedings in foreign jurisdictions. Such proceedings could result in the revocation or cancellation of or amendment to our patents in such a way that they no longer cover our drug candidates or prevent third parties from competing with our drug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drug candidates. An adverse result in any litigation or proceeding involving our patents or patent applications may put one or more of our patents at risk of being invalidated, held unenforceable or interpreted narrowly.</w:t>
      </w:r>
    </w:p>
    <w:p>
      <w:pPr>
        <w:spacing w:after="0" w:line="69"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Even if we successfully assert our patents or other intellectual property rights, a court may not award remedies that sufficiently compensate us for our losses. The impact of public announcements of the results of hearings related to such awards on the price of our common stock may be uncertain. If securities analysts or investors perceive such results to be negative, it could have a substantial adverse effect on the price of our common stock. Moreover, there can be no assurance that we will have sufficient financial or other resources to file and pursue such infringement claims, which typically last for years before they are concluded. Some of our competitors or other third parties may be able to sustain the costs of such litigation or proceedings more effectively than we can because of their greater financial resources and more mature and developed intellectual property portfolios. Even if we ultimately prevail in such claims, the monetary cost of such litigation and the diversion of the attention of our management and scientific personnel for significant periods of time during such litigation could outweigh any benefit we receive as a result of the proceedings. Accordingly, despite our efforts, we may not be able to prevent third parties from infringing, misappropriating or successfully challenging our intellectual property rights. Uncertainties resulting from the initiation and continuation of patent litigation or other proceedings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and to secure patent term extensions throughout the world.</w:t>
      </w:r>
    </w:p>
    <w:p>
      <w:pPr>
        <w:spacing w:after="0" w:line="121"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drug candidates in all countries throughout the world would be prohibitively expensive, and our intellectual property rights in some countries outside the United States could be less extensive than those in the United States. In some cases, we may not be able to obtain patent protection for certain technology and drug candidates outside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do pursue patent protection, or from selling or importing products made using our inventions in and into the United States or other jurisdictions. Competitors or other third parties may use our technologies in jurisdictions where we have not pursued and obtained patent protection to develop their own products and, further, may export otherwise infringing products to territories where we have patent protection, but enforcement is not as strong as that in the United States. These products may compete with our drug candidates and our patents or other intellectual property rights may not be effective or sufficient to prevent them from competing.</w:t>
      </w:r>
    </w:p>
    <w:p>
      <w:pPr>
        <w:spacing w:after="0" w:line="86"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if pursued and obtained,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8" w:name="page59"/>
    <w:bookmarkEnd w:id="58"/>
    <w:p>
      <w:pPr>
        <w:jc w:val="both"/>
        <w:ind w:right="100" w:firstLine="510"/>
        <w:spacing w:after="0" w:line="26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5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Periodic maintenance, renewal and annuity fees and various other government fees on any issued patent are due to be paid to the USPTO and patent offices in foreign countries in several stages over the lifetime of the patent. The USPTO and patent offices in various foreign countries require compliance with a number of procedural, documentary, fee payment and other similar requirements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or other third parties might be able to enter the market, which would have a material adverse effect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drug candidates, we also rely on trade secrets, including unpatented know-how, technology and other proprietary information, and confidentiality agreements to maintain our competitive position. However, trade secrets can be difficult to protect. We seek to protect our trade secrets, proprietary technology and processes,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Monitoring unauthorized uses and disclosures of our intellectual property is difficult, and we do not know whether the steps we have taken to protect our intellectual property will be effective.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of the United States are less willing or unwilling to protect trade secrets. As a result, we could lose our trade secrets and third parties could use our trade secrets to compete with our drug candidates and technology.</w:t>
      </w:r>
    </w:p>
    <w:p>
      <w:pPr>
        <w:spacing w:after="0" w:line="84"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We cannot guarantee that we have entered into such agreements with each party that may have or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w:t>
      </w:r>
    </w:p>
    <w:p>
      <w:pPr>
        <w:spacing w:after="0" w:line="72"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Moreover, our competitors or other third parties may independently develop knowledge, methods and know-how equivalent to our trade secrets. If any of our trade secrets were to be lawfully obtained or independently developed by a competitor or other third parties, we would have no right to prevent them, or those to whom they communicate it, from using that technology or information to compete with us. If any of our trade secrets were to be disclosed to or independently developed by a competitor or other third parties, our competitive position would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00" w:right="34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any drug candidates we may develop or utilize similar technology but that are not covered by the claims of the patents that we own or license now or in the future;</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make the inventions covered by the issued patent or pending patent application that we own or license now or in the future;</w:t>
      </w:r>
    </w:p>
    <w:p>
      <w:pPr>
        <w:spacing w:after="0" w:line="53"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current or future license partners or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1000" w:right="24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9" w:name="page60"/>
    <w:bookmarkEnd w:id="59"/>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patent applications or those that we may own or license in the future will not lead to issued patents;</w:t>
      </w:r>
    </w:p>
    <w:p>
      <w:pPr>
        <w:spacing w:after="0" w:line="117" w:lineRule="exact"/>
        <w:rPr>
          <w:rFonts w:ascii="Times New Roman" w:cs="Times New Roman" w:eastAsia="Times New Roman" w:hAnsi="Times New Roman"/>
          <w:sz w:val="18"/>
          <w:szCs w:val="18"/>
          <w:color w:val="auto"/>
        </w:rPr>
      </w:pPr>
    </w:p>
    <w:p>
      <w:pPr>
        <w:ind w:left="1000" w:right="140" w:hanging="493"/>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may hold rights to in the future may be held invalid or unenforceable, including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00" w:right="680" w:hanging="493"/>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000" w:right="260" w:hanging="493"/>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and Marketing of Our Drug Candidates</w:t>
      </w:r>
    </w:p>
    <w:p>
      <w:pPr>
        <w:spacing w:after="0" w:line="117"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 of the FDA is lengthy, time-consuming and inherently unpredictable, and if we are ultimately unable to obtain marketing approval for our drug candidates, our business will be substantially harmed.</w:t>
      </w:r>
    </w:p>
    <w:p>
      <w:pPr>
        <w:spacing w:after="0" w:line="5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The time required to obtain approval by the FDA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among jurisdictions. We have not obtained marketing approval for any drug candidate and it is possible that none of our existing drug candidates, or any drug candidates we may seek to develop in the future, will ever obtain marketing approval.</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drug candidates could be delayed or fail to receive marketing approval for many reasons, including the following:</w:t>
      </w:r>
    </w:p>
    <w:p>
      <w:pPr>
        <w:spacing w:after="0" w:line="117" w:lineRule="exact"/>
        <w:rPr>
          <w:sz w:val="20"/>
          <w:szCs w:val="20"/>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disagree with the design or implementation of our planned clinical trials;</w:t>
      </w:r>
    </w:p>
    <w:p>
      <w:pPr>
        <w:spacing w:after="0" w:line="117" w:lineRule="exact"/>
        <w:rPr>
          <w:rFonts w:ascii="Times New Roman" w:cs="Times New Roman" w:eastAsia="Times New Roman" w:hAnsi="Times New Roman"/>
          <w:sz w:val="18"/>
          <w:szCs w:val="18"/>
          <w:color w:val="auto"/>
        </w:rPr>
      </w:pPr>
    </w:p>
    <w:p>
      <w:pPr>
        <w:ind w:left="1000" w:right="38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collected from clinical trials of our drug candidates may not be sufficient to support the submission of an NDA to the FDA or other submissions necessary to obtain marketing approval in the United States;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that a drug candidate is safe and effective for its proposed indication;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for approval;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drug candidates’ clinical and other benefits outweigh their safety risks;</w:t>
      </w:r>
    </w:p>
    <w:p>
      <w:pPr>
        <w:spacing w:after="0" w:line="117" w:lineRule="exact"/>
        <w:rPr>
          <w:rFonts w:ascii="Times New Roman" w:cs="Times New Roman" w:eastAsia="Times New Roman" w:hAnsi="Times New Roman"/>
          <w:sz w:val="18"/>
          <w:szCs w:val="18"/>
          <w:color w:val="auto"/>
        </w:rPr>
      </w:pPr>
    </w:p>
    <w:p>
      <w:pPr>
        <w:ind w:left="1000" w:right="160" w:hanging="493"/>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find deficiencies with or fail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may significantly change in a manner rendering our clinical data insufficient for approval.</w:t>
      </w:r>
    </w:p>
    <w:p>
      <w:pPr>
        <w:spacing w:after="0" w:line="117"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our drug candidates, which would significantly harm our business, results of operations, financial condition and prospects. The FDA has substantial discretion in the approval process, and in determining when or whether regulatory approval will be obtained for any of our drug candidates. Even if we believe the data collected from clinical trials of our drug candidates are promising, such data may not be sufficient to support approval by the FDA.</w:t>
      </w:r>
    </w:p>
    <w:p>
      <w:pPr>
        <w:spacing w:after="0" w:line="75"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or they may impose significant limitations in the form of narrow indications, warnings or a risk evaluation and mitigation strategy (REMS). In addition, regulatory authorities may not approve the price we intend to charge for our products, may require precautions or contra-indications with respect to conditions of use,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60" w:name="page61"/>
    <w:bookmarkEnd w:id="60"/>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submit an NDA for our drug candidates under the Accelerated Approval Pathway. If we are unable to obtain approval of our drug candidates through the Accelerated Approval Program in the United States, we may be required to conduct additional nonclinical and clinical studies and trials beyond those that we currently contemplate, which could increase the expense of obtaining, reduce the likelihood of obtaining and/or delay the timing of obtaining, necessary marketing approval. Even if we receive approval from the FDA through the Accelerated Approval Program, if our confirmatory postmarketing trial does not verify clinical benefit, or if we do not comply with rigorous postmarketing requirements, the FDA may seek to withdraw the approval.</w:t>
      </w:r>
    </w:p>
    <w:p>
      <w:pPr>
        <w:spacing w:after="0" w:line="7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may submit an NDA for one or more of our drug candidates seeking approval through the Accelerated Approval pathway. For any approval to market a drug product, we must provide the FDA and foreign regulatory agencies with clinical data that adequately demonstrate the safety and efficacy of the product for the indication applied for in the NDA or other respective regulatory filings. The Accelerated Approval Program is one of several approaches used by the FDA to make prescription drugs more rapidly available for the treatment of serious or life-threatening diseases. Section 506(c) of the Federal Food, Drug and Cosmetic Act (FDCA) provides that the FDA may grant accelerated approval to “a product for a serious or life-threatening condition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through the Accelerated Approval Program is subject, however, to the requirement that the applicant conduct additional postmarketing clinical trials to verify and describe the drug’s clinical benefit, where there is uncertainty as to the relationship of the surrogate endpoint to the clinical benefit, or of the observed clinical endpoint to ultimate outcome. Typically, clinical benefit is verified when postmarketing clinical trials show that the drug provides a clinically meaningful positive therapeutic effect, that is, an effect on how a patient feels, functions, or survives. If such confirmatory postmarketing trial fails to confirm the drug’s clinical profile or risks and benefits, the FDA may withdraw its approval of the drug.</w:t>
      </w:r>
    </w:p>
    <w:p>
      <w:pPr>
        <w:spacing w:after="0" w:line="79" w:lineRule="exact"/>
        <w:rPr>
          <w:sz w:val="20"/>
          <w:szCs w:val="20"/>
          <w:color w:val="auto"/>
        </w:rPr>
      </w:pPr>
    </w:p>
    <w:p>
      <w:pPr>
        <w:ind w:right="420" w:firstLine="510"/>
        <w:spacing w:after="0" w:line="261" w:lineRule="auto"/>
        <w:rPr>
          <w:sz w:val="20"/>
          <w:szCs w:val="20"/>
          <w:color w:val="auto"/>
        </w:rPr>
      </w:pPr>
      <w:r>
        <w:rPr>
          <w:rFonts w:ascii="Times New Roman" w:cs="Times New Roman" w:eastAsia="Times New Roman" w:hAnsi="Times New Roman"/>
          <w:sz w:val="18"/>
          <w:szCs w:val="18"/>
          <w:color w:val="auto"/>
        </w:rPr>
        <w:t>The FDA has broad discretion with regard to approval through the Accelerated Approval Program, and even if we believe that the Accelerated Approval Program is appropriate for one of our drug candidates, we cannot assure you that the FDA will ultimately agree. Furthermore, even if we do obtain approval through the Accelerated Approval Program, we may not experience a faster development process, review or approval compared to conventional FDA procedures.</w:t>
      </w:r>
    </w:p>
    <w:p>
      <w:pPr>
        <w:spacing w:after="0" w:line="72" w:lineRule="exact"/>
        <w:rPr>
          <w:sz w:val="20"/>
          <w:szCs w:val="20"/>
          <w:color w:val="auto"/>
        </w:rPr>
      </w:pPr>
    </w:p>
    <w:p>
      <w:pPr>
        <w:ind w:right="140" w:firstLine="510"/>
        <w:spacing w:after="0" w:line="254" w:lineRule="auto"/>
        <w:rPr>
          <w:sz w:val="20"/>
          <w:szCs w:val="20"/>
          <w:color w:val="auto"/>
        </w:rPr>
      </w:pPr>
      <w:r>
        <w:rPr>
          <w:rFonts w:ascii="Times New Roman" w:cs="Times New Roman" w:eastAsia="Times New Roman" w:hAnsi="Times New Roman"/>
          <w:sz w:val="18"/>
          <w:szCs w:val="18"/>
          <w:color w:val="auto"/>
        </w:rPr>
        <w:t>Even if the FDA reviews an NDA seeking accelerated approval, there can be no assurance that approval will be granted on a timely basis, or at all. The FDA may disagree that the design of, or results from, our studies support accelerated approval. Additionally, the FDA could require us to conduct further studies or trials prior to granting approval of any type, including by determining that approval through the Accelerated Approval Program is not appropriate and that our clinical trials may not be used to support approval through the conventional pathway. We might not be able to fulfill the FDA’s requirements in a timely manner, which would cause delays, or approval might not be granted because our submission is deemed incomplete by the FDA. There also can be no assurance that after subsequent FDA feedback we will continue to pursue approval through the Accelerated Approval Program. A failure to obtain approval through the Accelerated Approval Program could result in a longer time period to obtain approval of our drug candidates, could increase the cost of their development, could delay our ability to commercialize our products and could significantly harm our financial position and competitive position in the marketplace.</w:t>
      </w:r>
    </w:p>
    <w:p>
      <w:pPr>
        <w:spacing w:after="0" w:line="80"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Even if we receive approval for one or more of our drug candidates through the Accelerated Approval Program, we will be subject to rigorous postmarketing requirements, including the completion of one or more confirmatory postmarketing trials as the FDA may require, to verify the clinical benefit of the product, and submission to the FDA of all promotional materials prior to their dissemination. The FDA could seek to withdraw the approval for multiple reasons, including if we fail to conduct any required confirmatory postmarketing trial with due diligence, our confirmatory postmarketing trial does not confirm the predicted clinical benefit, other evidence shows that the product is not safe or effective under the conditions of use, or we disseminate promotional materials that are found by the FDA to be false and misleading.</w:t>
      </w:r>
    </w:p>
    <w:p>
      <w:pPr>
        <w:spacing w:after="0" w:line="79"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Moreover, Congress is considering potential changes to the Accelerated Approval Program that could impact our ability to obtain accelerated approval, or increase the burdens associated with postmarketing requirements in the event we do obtain accelerated approval. It is not possible to predict which changes Congress will include if it decides to enact changes to the Accelerated Approval Program, or if Congress will make any changes to the Accelerated Approval Program at all.</w:t>
      </w:r>
    </w:p>
    <w:p>
      <w:pPr>
        <w:spacing w:after="0" w:line="72" w:lineRule="exact"/>
        <w:rPr>
          <w:sz w:val="20"/>
          <w:szCs w:val="20"/>
          <w:color w:val="auto"/>
        </w:rPr>
      </w:pPr>
    </w:p>
    <w:p>
      <w:pPr>
        <w:jc w:val="both"/>
        <w:ind w:right="180" w:firstLine="510"/>
        <w:spacing w:after="0" w:line="266" w:lineRule="auto"/>
        <w:rPr>
          <w:sz w:val="20"/>
          <w:szCs w:val="20"/>
          <w:color w:val="auto"/>
        </w:rPr>
      </w:pPr>
      <w:r>
        <w:rPr>
          <w:rFonts w:ascii="Times New Roman" w:cs="Times New Roman" w:eastAsia="Times New Roman" w:hAnsi="Times New Roman"/>
          <w:sz w:val="18"/>
          <w:szCs w:val="18"/>
          <w:color w:val="auto"/>
        </w:rPr>
        <w:t>Any delay in obtaining, or inability to obtain, approval through the Accelerated Approval Program, or any issues in maintaining approval granted under the Accelerated Approval Program, would delay or prevent commercialization of our products, and would materially adversely affect our business, financial condition, results of operations and prospects.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61" w:name="page62"/>
    <w:bookmarkEnd w:id="61"/>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as a company, have limited experience in filing for and obtaining regulatory approval to initiate a clinical trial and we do not have experience completing any clinical trials, including large-scale, pivotal clinical trials or in manufacturing or in quality assurance in order to market a new drug in the United States or in any other jurisdiction.</w:t>
      </w:r>
    </w:p>
    <w:p>
      <w:pPr>
        <w:spacing w:after="0" w:line="67"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As a company, we have limited experience in filing for or obtaining regulatory approval to initiate clinical trials, we do not have experience completing any clinical trials, including large-scale, pivotal clinical trials and we rely on third parties to conduct our clinical trials. We also do not have experience in manufacturing or in quality assurance in order to market a new drug and expect to rely on CROs or other third-party consultants or vendors to assist us in this process. Our inexperience may result in failure to or delays in obtaining the required regulatory approvals to initiate clinical trials, to successfully complete clinical trials and to obtain marketing approval for our drug candidates. If we are unable to obtain regulatory and marketing approval for our drug candidates or experience significant delays in our efforts to do so, our business could be substantially harmed.</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foreign jurisdictions would prevent our drug candidates from being marketed abroad and may limit our ability to generate revenue from product sales.</w:t>
      </w:r>
    </w:p>
    <w:p>
      <w:pPr>
        <w:spacing w:after="0" w:line="51" w:lineRule="exact"/>
        <w:rPr>
          <w:sz w:val="20"/>
          <w:szCs w:val="20"/>
          <w:color w:val="auto"/>
        </w:rPr>
      </w:pPr>
    </w:p>
    <w:p>
      <w:pPr>
        <w:ind w:right="160" w:firstLine="510"/>
        <w:spacing w:after="0" w:line="253" w:lineRule="auto"/>
        <w:rPr>
          <w:sz w:val="20"/>
          <w:szCs w:val="20"/>
          <w:color w:val="auto"/>
        </w:rPr>
      </w:pPr>
      <w:r>
        <w:rPr>
          <w:rFonts w:ascii="Times New Roman" w:cs="Times New Roman" w:eastAsia="Times New Roman" w:hAnsi="Times New Roman"/>
          <w:sz w:val="18"/>
          <w:szCs w:val="18"/>
          <w:color w:val="auto"/>
        </w:rPr>
        <w:t>To market and sell our drug candidates in jurisdictions outside the United States, we must obtain separate marketing approvals and comply with numerous and varying regulatory requirements. The approval procedure varies among countries and can involve additional testing. The time required to obtain approvals from foreign regulatory authorities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on a timely basis or non-compliance with foreign regulatory requirements could result in significant delays, difficulties and costs for us and could delay or prevent the introduction of our drug candidates in certain countries.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jurisdiction, which would materially impair our ability to generate revenue.</w:t>
      </w:r>
    </w:p>
    <w:p>
      <w:pPr>
        <w:spacing w:after="0" w:line="86"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The UK’s exit from the EU continues to create political and economic uncertainty, particularly in the UK and the EU. The UK is now being treated as a ‘third country’ by the EU and new UK legislation has taken effect. This means that some regulatory activities, such as batch testing and Qualified Person certification, conducted in Great Britain are no longer recognized in the EU. However, the UK and EU have concluded a Trade and Cooperation Agreement (TCA), which has been approved by the UK Parliament, European Council and European Parliament and has limited the disruption to the supply of medicines, particularly by enabling tariff and quota-free trade between the UK and the EU (provided that the rules of origin requirements are met), and has streamlined some issues, for example by enabling mutual recognition of cGMP inspections and certificates. The regulatory framework for medicines that existed before the end of the transition period has also effectively been preserved in UK domestic legislation as ‘retained EU law.’ By retaining a snapshot of EU legislation at its core, the UK has prevented substantial divergence in the regulation of medicines (although divergence has appeared in some areas). However, some changes to the UK legislation have been immediately necessary, including the implementation of the Northern Ireland Protocol (NIP), pursuant to which, the EU pharmaceutical legal framework acquis continues to apply in Northern Ireland (subject to periodic consent of the Northern Ireland Legislative Assembly), and only products compliant with EU law can be placed in the Northern Ireland market—adding an extra layer of regulatory complexity. As a result, companies now need to comply with a separate UK regulatory legal framework in order to commercialize medicinal products in Great Britain (namely, England, Wales and Scotland, as EU law continues to apply in Northern Ireland). The UK government has attempted to renegotiate fundamental aspects of the NIP so this is an unpredictable area for companies in the near future. Failed attempts to renegotiate the NIP have led to media reports of the UK potentially triggering Article 16 of the NIP, a safeguarding measure, that may be engaged unilaterally if the application of the NIP leads to serious economic, societal or environmental difficulties that are liable to persist, or to diversion of trade. Currently, the UK government has introduced a bill ‘Northern Ireland Protocol Bill’ which if enacted into law would enable the government to unilaterally disapply parts of the NIP which may lead to changes to the regulatory environment in Northern Ireland, and may trigger retaliatory measures against the UK by the European Union. The TCA allows for future deviation from the current regulatory framework and it is not known if and/or when any deviations may occur, which may have an impact on development, manufacture, marketing authorization, commercial sales and distribution of pharmaceutical products. It is also important to note that obtaining a marketing authorization is not sufficient to gain effective access to the market in the EU and in the UK; companies still need to agree to a reimbursement price for the products and in some jurisdictions, such as the UK and Germany, a further positive recommendation from health technology on cost-effectiveness is required for the products to be actually prescribed and reimbursed by the respective national health systems (see “—Governments outside of the United States tend to impose strict price controls, which may adversely affect our revenues from the sales of drugs,” below). If we fail to comply with the regulatory requirements in international markets and thus do not receive applicable marketing approvals, our target market will be reduced, our ability to realize the full market potential of our drug candidates will be harmed and our business will be adversely affected. We may not obtain foreign regulatory approvals on a timely basis, or at all. Our failure to obtain approval of any of our drug</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2" w:name="page63"/>
    <w:bookmarkEnd w:id="62"/>
    <w:p>
      <w:pPr>
        <w:ind w:right="560"/>
        <w:spacing w:after="0" w:line="282" w:lineRule="auto"/>
        <w:rPr>
          <w:sz w:val="20"/>
          <w:szCs w:val="20"/>
          <w:color w:val="auto"/>
        </w:rPr>
      </w:pPr>
      <w:r>
        <w:rPr>
          <w:rFonts w:ascii="Times New Roman" w:cs="Times New Roman" w:eastAsia="Times New Roman" w:hAnsi="Times New Roman"/>
          <w:sz w:val="18"/>
          <w:szCs w:val="18"/>
          <w:color w:val="auto"/>
        </w:rPr>
        <w:t>candidates by regulatory authorities in another country may significantly diminish the commercial prospects of that drug candidate and our business prospects could decline.</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or any collaborators, obtain marketing approvals for our drug candidates, the terms of approvals and ongoing regulation of our products may limit how we, or they, manufacture and market our products, which could materially impair our ability to generate revenue.</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We, and any collaborators, must therefore comply with requirements concerning advertising and promotion for any of our drug candidates for which we or they obtain marketing approval. Promotional communications with respect to prescription drugs are subject to a variety of legal and regulatory restrictions and must be consistent with the information in the product’s approved labeling. Thus, we, and any collaborators, will not be able to promote any products we develop for indications or uses for which they are not approved.</w:t>
      </w:r>
    </w:p>
    <w:p>
      <w:pPr>
        <w:spacing w:after="0" w:line="75"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EMA, Medicines and Healthcare products Regulatory Agency (MHRA) and other regulatory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third-party manufacturers, and any collaborators and their third-party manufacturers could be subject to periodic unannounced inspections by the FDA and other regulatory agencies to monitor and ensure compliance with cGMPs.</w:t>
      </w:r>
    </w:p>
    <w:p>
      <w:pPr>
        <w:spacing w:after="0" w:line="75"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Accordingly, assuming we, or any collaborators, receive marketing approval for one or more of our drug candidates, we, any collaborators, and our respective third-party manufacturers will continue to expend time, money and effort in all areas of regulatory compliance, including manufacturing, production, product surveillance and quality control.</w:t>
      </w:r>
    </w:p>
    <w:p>
      <w:pPr>
        <w:spacing w:after="0" w:line="68"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If we, and any collaborators, are not able to comply with post-approval regulatory requirements, we, and any collaborators, could have the marketing approvals for our products withdrawn by regulatory authorities and our, or any collaborators’,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76"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drug candidate for which we, or any collaborators, obtain marketing approval could be subject to post-marketing restrictions or withdrawal from the market and we, or any collaborators, may be subject to substantial penalties if we, or they, fail to comply with regulatory requirements or if we, or they, experience unanticipated problems with our products when and if any of them are approved.</w:t>
      </w:r>
    </w:p>
    <w:p>
      <w:pPr>
        <w:spacing w:after="0" w:line="67"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Any drug candidate for which we, or any collaborators, obtain marketing approval, as well as the manufacturing processes, post-approval clinical data, labeling, advertising and promotional activities for such product, will be subject to continual requirements of and review by the FDA, EMA, the MHRA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tracking and tracing, serialization, postmarket adverse event reporting, and recordkeeping. Even if marketing approval of a drug candidate is granted, the approval may be subject to limitations on the indicated uses for which the product may be marketed or to the conditions of approval, including the requirement to implement REMS. New cancer drugs frequently are indicated only for patient populations that have not responded to an existing therapy or have relapsed. If any of our drug candidates receive marketing approval, the accompanying label may limit the approved use of our drug in this way, which could limit sales of the product.</w:t>
      </w:r>
    </w:p>
    <w:p>
      <w:pPr>
        <w:spacing w:after="0" w:line="80" w:lineRule="exact"/>
        <w:rPr>
          <w:sz w:val="20"/>
          <w:szCs w:val="20"/>
          <w:color w:val="auto"/>
        </w:rPr>
      </w:pPr>
    </w:p>
    <w:p>
      <w:pPr>
        <w:ind w:right="260" w:firstLine="510"/>
        <w:spacing w:after="0" w:line="258" w:lineRule="auto"/>
        <w:rPr>
          <w:sz w:val="20"/>
          <w:szCs w:val="20"/>
          <w:color w:val="auto"/>
        </w:rPr>
      </w:pPr>
      <w:r>
        <w:rPr>
          <w:rFonts w:ascii="Times New Roman" w:cs="Times New Roman" w:eastAsia="Times New Roman" w:hAnsi="Times New Roman"/>
          <w:sz w:val="18"/>
          <w:szCs w:val="18"/>
          <w:color w:val="auto"/>
        </w:rPr>
        <w:t>Clinical trials of our drug candidates must be conducted in carefully defined subsets of patients who have agreed to enter into clinical trials. Consequently, it is possible that our clinical trials, or those of any future collaborator, may indicate an apparent positive effect of a drug candidate that is greater than the actual positive effect, if any, or alternatively fail to identify undesirable side effects. If one or more of our drug candidates receives marketing approval and we, or others, discover that the drug is less effective than previously believed or causes undesirable side effects that were not previously identified, a number of potentially significant negative consequences could result, including:</w:t>
      </w:r>
    </w:p>
    <w:p>
      <w:pPr>
        <w:spacing w:after="0" w:line="75" w:lineRule="exact"/>
        <w:rPr>
          <w:sz w:val="20"/>
          <w:szCs w:val="20"/>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drug or seize the drug;</w:t>
      </w:r>
    </w:p>
    <w:p>
      <w:pPr>
        <w:spacing w:after="0" w:line="117" w:lineRule="exact"/>
        <w:rPr>
          <w:rFonts w:ascii="Times New Roman" w:cs="Times New Roman" w:eastAsia="Times New Roman" w:hAnsi="Times New Roman"/>
          <w:sz w:val="18"/>
          <w:szCs w:val="18"/>
          <w:color w:val="auto"/>
        </w:rPr>
      </w:pPr>
    </w:p>
    <w:p>
      <w:pPr>
        <w:ind w:left="1000" w:right="340" w:hanging="493"/>
        <w:spacing w:after="0" w:line="282"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recall the drug, change the way the drug is administered or conduct additional clinical trials;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drug;</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3" w:name="page64"/>
    <w:bookmarkEnd w:id="63"/>
    <w:p>
      <w:pPr>
        <w:ind w:left="1000" w:hanging="49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17" w:lineRule="exact"/>
        <w:rPr>
          <w:rFonts w:ascii="Times New Roman" w:cs="Times New Roman" w:eastAsia="Times New Roman" w:hAnsi="Times New Roman"/>
          <w:sz w:val="18"/>
          <w:szCs w:val="18"/>
          <w:color w:val="auto"/>
        </w:rPr>
      </w:pPr>
    </w:p>
    <w:p>
      <w:pPr>
        <w:ind w:left="1000" w:right="140" w:hanging="493"/>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create a Medication Guide outlining the risks of the previously unidentified side effects for distribution to patients;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may become less competitive in the marketplace;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events could have a material and adverse effect on our operations and business and could adversely impact our stock price.</w:t>
      </w:r>
    </w:p>
    <w:p>
      <w:pPr>
        <w:spacing w:after="0" w:line="117"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FDA also may impose requirements for costly post-marketing studies or clinical trials and surveillance to monitor the safety or efficacy of the product, including the adoption and implementation of REMS. The FDA and other agencies, including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only for their approved indications, we may be subject to enforcement action for off-label marketing.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Other jurisdictions, including European countries, have similar provisions which may lead to investigations and enforcement actions by national authorities.</w:t>
      </w:r>
    </w:p>
    <w:p>
      <w:pPr>
        <w:spacing w:after="0" w:line="84"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side effects or other problems with our products or their manufacturers or manufacturing processes, or failure to comply with regulatory requirements, may yield various results, including:</w:t>
      </w:r>
    </w:p>
    <w:p>
      <w:pPr>
        <w:spacing w:after="0" w:line="54" w:lineRule="exact"/>
        <w:rPr>
          <w:sz w:val="20"/>
          <w:szCs w:val="20"/>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warnings on the labeling or marketing of a product;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trials;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using our products.</w:t>
      </w:r>
    </w:p>
    <w:p>
      <w:pPr>
        <w:spacing w:after="0" w:line="117" w:lineRule="exact"/>
        <w:rPr>
          <w:sz w:val="20"/>
          <w:szCs w:val="20"/>
          <w:color w:val="auto"/>
        </w:rPr>
      </w:pPr>
    </w:p>
    <w:p>
      <w:pPr>
        <w:ind w:right="120" w:firstLine="510"/>
        <w:spacing w:after="0" w:line="274" w:lineRule="auto"/>
        <w:rPr>
          <w:sz w:val="20"/>
          <w:szCs w:val="20"/>
          <w:color w:val="auto"/>
        </w:rPr>
      </w:pPr>
      <w:r>
        <w:rPr>
          <w:rFonts w:ascii="Times New Roman" w:cs="Times New Roman" w:eastAsia="Times New Roman" w:hAnsi="Times New Roman"/>
          <w:sz w:val="17"/>
          <w:szCs w:val="17"/>
          <w:color w:val="auto"/>
        </w:rPr>
        <w:t>Non-compliance with EU and UK requirements regarding safety monitoring or pharmacovigilance, and with requirements related to the development of products for the pediatric population (as explained further under “—If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 below), also can result in significant financial penalties, and non-compliance with pediatric requirements may prevent regulatory approvals from being granted. Similarly, failure to comply with the EU and UK’s requirements regarding the protection of personal information can lead to significant penalties and sanctions.</w:t>
      </w:r>
    </w:p>
    <w:p>
      <w:pPr>
        <w:spacing w:after="0" w:line="1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61" w:right="439" w:bottom="1440" w:gutter="0" w:footer="0" w:header="0"/>
        </w:sectPr>
      </w:pPr>
    </w:p>
    <w:bookmarkStart w:id="64" w:name="page65"/>
    <w:bookmarkEnd w:id="64"/>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which include requirements relating to quality control and quality assurance, as well as the corresponding maintenance of records and documentation and reporting requirements. We, any contract manufacturers we may engage in the future, our collaborators and their contract manufacturers also will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8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decide to seek Orphan Drug Designation or other designations from regulators for any of our current or future drug candidates, we may be unsuccessful or may be unable to maintain the benefits associated with these designations, including the potential for supplemental market exclusivity associated with an Orphan Drug Designation.</w:t>
      </w:r>
    </w:p>
    <w:p>
      <w:pPr>
        <w:spacing w:after="0" w:line="67" w:lineRule="exact"/>
        <w:rPr>
          <w:sz w:val="20"/>
          <w:szCs w:val="20"/>
          <w:color w:val="auto"/>
        </w:rPr>
      </w:pPr>
    </w:p>
    <w:p>
      <w:pPr>
        <w:ind w:right="140" w:firstLine="510"/>
        <w:spacing w:after="0" w:line="253" w:lineRule="auto"/>
        <w:rPr>
          <w:sz w:val="20"/>
          <w:szCs w:val="20"/>
          <w:color w:val="auto"/>
        </w:rPr>
      </w:pPr>
      <w:r>
        <w:rPr>
          <w:rFonts w:ascii="Times New Roman" w:cs="Times New Roman" w:eastAsia="Times New Roman" w:hAnsi="Times New Roman"/>
          <w:sz w:val="18"/>
          <w:szCs w:val="18"/>
          <w:color w:val="auto"/>
        </w:rPr>
        <w:t>We may seek Orphan Drug Designation or other designations from regulators for one or more of our current or future drug candidates. Regulatory authorities in some jurisdictions, including the United States, EU and European Economic Area (EEA), Switzerland and the UK, may designate drugs or biological products for relatively small patient populations as orphan drugs. Under the Orphan Drug Act, the FDA may grant orphan designation to a drug or biological product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or biological product. In the United States, Orphan Drug Designation entitles a party to financial incentives such as opportunities for grant funding towards clinical trial costs, tax advantages</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and user-fee waivers. After the FDA grants Orphan Drug Designation, the identity of the drug or biological product and its potential orphan use are disclosed publicly by the FDA. Orphan Drug Designation does not convey any advantage in, or shorten the duration of, the regulatory review and licensure process.</w:t>
      </w:r>
    </w:p>
    <w:p>
      <w:pPr>
        <w:spacing w:after="0" w:line="78"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or licensure for the disease for which it has such designation, the product is entitled to orphan product exclusivity, which means that the FDA may not approve any other applications, including an NDA or BLA, to market the same drug or biological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biological product was designated. As a result, even if one of our drug candidates receives orphan exclusivity, the FDA can still approve or license other drugs or biological products for use in treating the same indication or disease. Further, the FDA can waive orphan exclusivity if we are unable to manufacture sufficient supply of our product.</w:t>
      </w:r>
    </w:p>
    <w:p>
      <w:pPr>
        <w:spacing w:after="0" w:line="84" w:lineRule="exact"/>
        <w:rPr>
          <w:sz w:val="20"/>
          <w:szCs w:val="20"/>
          <w:color w:val="auto"/>
        </w:rPr>
      </w:pPr>
    </w:p>
    <w:p>
      <w:pPr>
        <w:ind w:right="440" w:firstLine="510"/>
        <w:spacing w:after="0" w:line="266" w:lineRule="auto"/>
        <w:rPr>
          <w:sz w:val="20"/>
          <w:szCs w:val="20"/>
          <w:color w:val="auto"/>
        </w:rPr>
      </w:pPr>
      <w:r>
        <w:rPr>
          <w:rFonts w:ascii="Times New Roman" w:cs="Times New Roman" w:eastAsia="Times New Roman" w:hAnsi="Times New Roman"/>
          <w:sz w:val="18"/>
          <w:szCs w:val="18"/>
          <w:color w:val="auto"/>
        </w:rPr>
        <w:t>In addition, Congress is considering updates to the orphan drug provisions of the FDCA in response to a recent decision by the U.S. Court of Appeals for the Eleventh Circuit. Any changes to the orphan drug provisions could change our opportunities for, or likelihood of success in obtaining, orphan drug exclusivity and would materially adversely affect our business, results of operations, financial condition and prospects.</w:t>
      </w:r>
    </w:p>
    <w:p>
      <w:pPr>
        <w:spacing w:after="0" w:line="68"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We may seek Orphan Drug Designation for our drug candidates in additional orphan indications in which there is a medically plausible basis for the use of these drug candidates. Even when we obtain Orphan Drug Designation, exclusive marketing rights in the United States may be limited if we seek licensure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may seek Orphan Drug Designation for other drug candidates, we may never receive these designations.</w:t>
      </w:r>
    </w:p>
    <w:p>
      <w:pPr>
        <w:spacing w:after="0" w:line="75"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order to obtain orphan designation in the EEA, the product must fulfill certain challenging criteria. Under Article 3 of Regulation (EC) 141/2000, a medicinal product may be designated as an orphan medicinal product if it meets the following criteria: (1) it is intended for the diagnosis, prevention or treatment of a life-threatening or chronically debilitating condition; (2) either the prevalence of such condition must not be more than five in 10,000 persons in the EU when the application is made, or without the benefits derived from orphan status, it must be unlikely that the marketing of the medicine would generate sufficient return in the EU to justify the investment needed for its development; and (3) there exists no satisfactory method of diagnosis, prevention or treatment of such condition authorized for marketing in the EU or if such a method exists, the product will be of significant benefit to those affected by the condition, as defined in Regulation (EC) 847/2000.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5" w:name="page66"/>
    <w:bookmarkEnd w:id="65"/>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Products receiving orphan designation in the EU may receive 10 years of orphan market exclusivity (which can be further extended by two years if pediatric studies have been conducted in accordance with an agreed pediatric investigational plan). Applications must first satisfy the orphan designation criteria and apply for orphan designation before making the application for marketing authorization. The applicant must then successfully maintain the orphan designation at the time of the marketing authorization application in order to qualify for 10 years of orphan market exclusivity. During this 10-year period, the competent authorities of the EU Member States and European Commission may not accept applications or grant marketing authorization for other similar medicinal products for the same orphan therapeutic indication. The protection afforded by orphan market exclusivity in the EU may, in some circumstances, be circumvented by competitor products which are demonstrated not to be ‘similar’ or which are authorized for different therapeutic indications. There may be a risk that products may be prescribed ‘off-label’ for the orphan therapeutic indication by healthcare professions in some EU Member States.</w:t>
      </w:r>
    </w:p>
    <w:p>
      <w:pPr>
        <w:spacing w:after="0" w:line="80" w:lineRule="exact"/>
        <w:rPr>
          <w:sz w:val="20"/>
          <w:szCs w:val="20"/>
          <w:color w:val="auto"/>
        </w:rPr>
      </w:pPr>
    </w:p>
    <w:p>
      <w:pPr>
        <w:ind w:right="240" w:firstLine="510"/>
        <w:spacing w:after="0" w:line="282" w:lineRule="auto"/>
        <w:rPr>
          <w:sz w:val="20"/>
          <w:szCs w:val="20"/>
          <w:color w:val="auto"/>
        </w:rPr>
      </w:pPr>
      <w:r>
        <w:rPr>
          <w:rFonts w:ascii="Times New Roman" w:cs="Times New Roman" w:eastAsia="Times New Roman" w:hAnsi="Times New Roman"/>
          <w:sz w:val="18"/>
          <w:szCs w:val="18"/>
          <w:color w:val="auto"/>
        </w:rPr>
        <w:t>There are also three exceptions to the orphan market exclusivity principle. Marketing authorization may be granted to a similar medicinal product for the same orphan therapeutic indication if:</w:t>
      </w:r>
    </w:p>
    <w:p>
      <w:pPr>
        <w:spacing w:after="0" w:line="54" w:lineRule="exact"/>
        <w:rPr>
          <w:sz w:val="20"/>
          <w:szCs w:val="20"/>
          <w:color w:val="auto"/>
        </w:rPr>
      </w:pPr>
    </w:p>
    <w:p>
      <w:pPr>
        <w:ind w:left="1000" w:right="480" w:hanging="493"/>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53" w:lineRule="exact"/>
        <w:rPr>
          <w:rFonts w:ascii="Times New Roman" w:cs="Times New Roman" w:eastAsia="Times New Roman" w:hAnsi="Times New Roman"/>
          <w:sz w:val="18"/>
          <w:szCs w:val="18"/>
          <w:color w:val="auto"/>
        </w:rPr>
      </w:pPr>
    </w:p>
    <w:p>
      <w:pPr>
        <w:ind w:left="1000" w:right="840" w:hanging="493"/>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consents to a second orphan medicinal product application; or</w:t>
      </w:r>
    </w:p>
    <w:p>
      <w:pPr>
        <w:spacing w:after="0" w:line="53" w:lineRule="exact"/>
        <w:rPr>
          <w:rFonts w:ascii="Times New Roman" w:cs="Times New Roman" w:eastAsia="Times New Roman" w:hAnsi="Times New Roman"/>
          <w:sz w:val="18"/>
          <w:szCs w:val="18"/>
          <w:color w:val="auto"/>
        </w:rPr>
      </w:pPr>
    </w:p>
    <w:p>
      <w:pPr>
        <w:ind w:left="1000" w:right="260" w:hanging="493"/>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marketing authorization for the original orphan medicinal product cannot supply sufficient quantities of orphan medicinal product.</w:t>
      </w:r>
    </w:p>
    <w:p>
      <w:pPr>
        <w:spacing w:after="0" w:line="54" w:lineRule="exact"/>
        <w:rPr>
          <w:sz w:val="20"/>
          <w:szCs w:val="20"/>
          <w:color w:val="auto"/>
        </w:rPr>
      </w:pPr>
    </w:p>
    <w:p>
      <w:pPr>
        <w:ind w:right="200" w:firstLine="619"/>
        <w:spacing w:after="0" w:line="261" w:lineRule="auto"/>
        <w:rPr>
          <w:sz w:val="20"/>
          <w:szCs w:val="20"/>
          <w:color w:val="auto"/>
        </w:rPr>
      </w:pPr>
      <w:r>
        <w:rPr>
          <w:rFonts w:ascii="Times New Roman" w:cs="Times New Roman" w:eastAsia="Times New Roman" w:hAnsi="Times New Roman"/>
          <w:sz w:val="18"/>
          <w:szCs w:val="18"/>
          <w:color w:val="auto"/>
        </w:rPr>
        <w:t>An orphan product can also obtain an additional two years of orphan market exclusivity in the EU if the marketing authorization application contains the results of all pediatric studies conducted in accordance with and agreed pediatric investigation plan. The 10-year market exclusivity may be reduced to six years if, at the end of the fifth year, it is established that the product no longer meets the criteria for orphan designation; for example, if the product is sufficiently profitable not to justify maintenance of market exclusivity.</w:t>
      </w:r>
    </w:p>
    <w:p>
      <w:pPr>
        <w:spacing w:after="0" w:line="72" w:lineRule="exact"/>
        <w:rPr>
          <w:sz w:val="20"/>
          <w:szCs w:val="20"/>
          <w:color w:val="auto"/>
        </w:rPr>
      </w:pPr>
    </w:p>
    <w:p>
      <w:pPr>
        <w:ind w:right="460" w:firstLine="619"/>
        <w:spacing w:after="0" w:line="282" w:lineRule="auto"/>
        <w:rPr>
          <w:sz w:val="20"/>
          <w:szCs w:val="20"/>
          <w:color w:val="auto"/>
        </w:rPr>
      </w:pPr>
      <w:r>
        <w:rPr>
          <w:rFonts w:ascii="Times New Roman" w:cs="Times New Roman" w:eastAsia="Times New Roman" w:hAnsi="Times New Roman"/>
          <w:sz w:val="18"/>
          <w:szCs w:val="18"/>
          <w:color w:val="auto"/>
        </w:rPr>
        <w:t>The UK’s regulatory legal framework provides for similar periods of protection (namely regulatory data protection, marketing protection and market exclusivity).</w:t>
      </w:r>
    </w:p>
    <w:p>
      <w:pPr>
        <w:spacing w:after="0" w:line="54" w:lineRule="exact"/>
        <w:rPr>
          <w:sz w:val="20"/>
          <w:szCs w:val="20"/>
          <w:color w:val="auto"/>
        </w:rPr>
      </w:pPr>
    </w:p>
    <w:p>
      <w:pPr>
        <w:ind w:right="100" w:firstLine="619"/>
        <w:spacing w:after="0" w:line="266" w:lineRule="auto"/>
        <w:rPr>
          <w:sz w:val="20"/>
          <w:szCs w:val="20"/>
          <w:color w:val="auto"/>
        </w:rPr>
      </w:pPr>
      <w:r>
        <w:rPr>
          <w:rFonts w:ascii="Times New Roman" w:cs="Times New Roman" w:eastAsia="Times New Roman" w:hAnsi="Times New Roman"/>
          <w:sz w:val="18"/>
          <w:szCs w:val="18"/>
          <w:color w:val="auto"/>
        </w:rPr>
        <w:t>It is important to note that the regulatory protection afforded to medicinal products such as data exclusivity, marketing protection, market exclusivity for orphan indications and pediatric extension are currently under review at the EU level. It is expected that the protection currently afforded in the EU will be reduced in the years to come.</w:t>
      </w:r>
    </w:p>
    <w:p>
      <w:pPr>
        <w:spacing w:after="0" w:line="68"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8"/>
          <w:szCs w:val="18"/>
          <w:color w:val="auto"/>
        </w:rPr>
        <w:t>In addition, we filed for and received an Innovation Passport designation for NX-1607 in the UK in February 2022. The Innovation Passport is the mandated entry point to the Innovative Licensing and Access Pathway (ILAP) in the UK to facilitate approval of and market access to an innovative medicine. Grant of the Innovation Passport paves the way for enhanced engagement with key stakeholders such as the MHRA, health technology agencies in the UK such as the National Institute for Health and Care Excellence (NICE) or the Scottish Medicines Consortium (SMC) and NHS England. However, although the goal of ILAP and the Innovation Passport is to reduce the time to market and enable earlier patient access, it does not accelerate conduct of clinical trials or mean that the regulatory requirements are less stringent, nor does it ensure that any NX-1607 MAA will be approved or that any approval will be granted within any particular timeframe. Despite receiving an Innovation Passport designation, we may decide to delay or forego the commercialization of NX-1607 in the UK or the development may otherwise not proceed.</w:t>
      </w:r>
    </w:p>
    <w:p>
      <w:pPr>
        <w:spacing w:after="0" w:line="18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versions of any of our drug candidates that receive marketing approval, or such authorities do not grant our drug candidates appropriate periods of data or market exclusivity before approving generic versions of our drug candidates, the sales of our drug candidates could be adversely affected.</w:t>
      </w:r>
    </w:p>
    <w:p>
      <w:pPr>
        <w:spacing w:after="0" w:line="67" w:lineRule="exact"/>
        <w:rPr>
          <w:sz w:val="20"/>
          <w:szCs w:val="20"/>
          <w:color w:val="auto"/>
        </w:rPr>
      </w:pPr>
    </w:p>
    <w:p>
      <w:pPr>
        <w:ind w:firstLine="619"/>
        <w:spacing w:after="0" w:line="254" w:lineRule="auto"/>
        <w:rPr>
          <w:sz w:val="20"/>
          <w:szCs w:val="20"/>
          <w:color w:val="auto"/>
        </w:rPr>
      </w:pPr>
      <w:r>
        <w:rPr>
          <w:rFonts w:ascii="Times New Roman" w:cs="Times New Roman" w:eastAsia="Times New Roman" w:hAnsi="Times New Roman"/>
          <w:sz w:val="18"/>
          <w:szCs w:val="18"/>
          <w:color w:val="auto"/>
        </w:rPr>
        <w:t>Once an NDA is approved, the drug covered thereby becomes a “reference-listed drug” in the FDA’s publication, “Approved Drug Products with Therapeutic Equivalence Evaluations.” Manufacturers may seek marketing approval of generic versions of reference-listed drugs through submission of abbreviated new drug applications (ANDAs) in the United States. In support of an ANDA, a generic manufacturer need not conduct clinical trials demonstrating safety and efficacy. Rather, the applicant generally must show that its drug is pharmaceutically equivalent to the reference listed drug, in that it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drugs may be significantly less costly to bring to market than the reference-listed drug and companies that produce generic drugs are generally able to offer them at lower prices. Thus, following the introduction of a generic drug, a significant percentage of the sales of any branded product or reference-listed drug is typically lost to the generic drug.</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6" w:name="page67"/>
    <w:bookmarkEnd w:id="66"/>
    <w:p>
      <w:pPr>
        <w:ind w:firstLine="619"/>
        <w:spacing w:after="0" w:line="253" w:lineRule="auto"/>
        <w:rPr>
          <w:sz w:val="20"/>
          <w:szCs w:val="20"/>
          <w:color w:val="auto"/>
        </w:rPr>
      </w:pPr>
      <w:r>
        <w:rPr>
          <w:rFonts w:ascii="Times New Roman" w:cs="Times New Roman" w:eastAsia="Times New Roman" w:hAnsi="Times New Roman"/>
          <w:sz w:val="18"/>
          <w:szCs w:val="18"/>
          <w:color w:val="auto"/>
        </w:rPr>
        <w:t>The FDA may not approve an ANDA for a generic drug until any applicable period of non-patent exclusivity for the reference-listed drug has expired. The FDCA provides a period of five years of non-patent exclusivity for a new drug containing a new chemical entity. During the exclusivity period, the FDA may not accept for review an ANDA or a 505(b)(2) NDA submitted by another company for another version of such drug candidate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approved NDA if new clinical investigations, other than bioavailability studies, that were conducted or sponsored by the applicant are deemed by the FDA to be essential to the approval of the application, for example, for new indications, dosages or strengths of an existing drug candidate. This three-year exclusivity covers only the conditions associated with the new clinical investigations and does not prohibit the FDA from approving ANDAs for drug candidates containing the original active agent for other conditions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effectiveness. Manufacturers may seek to launch these generic drugs following the expiration of the marketing exclusivity period, even if we still have patent protection for our drug.</w:t>
      </w:r>
    </w:p>
    <w:p>
      <w:pPr>
        <w:spacing w:after="0" w:line="82" w:lineRule="exact"/>
        <w:rPr>
          <w:sz w:val="20"/>
          <w:szCs w:val="20"/>
          <w:color w:val="auto"/>
        </w:rPr>
      </w:pPr>
    </w:p>
    <w:p>
      <w:pPr>
        <w:ind w:right="200" w:firstLine="510"/>
        <w:spacing w:after="0" w:line="258" w:lineRule="auto"/>
        <w:rPr>
          <w:sz w:val="20"/>
          <w:szCs w:val="20"/>
          <w:color w:val="auto"/>
        </w:rPr>
      </w:pPr>
      <w:r>
        <w:rPr>
          <w:rFonts w:ascii="Times New Roman" w:cs="Times New Roman" w:eastAsia="Times New Roman" w:hAnsi="Times New Roman"/>
          <w:sz w:val="18"/>
          <w:szCs w:val="18"/>
          <w:color w:val="auto"/>
        </w:rPr>
        <w:t>Competition that our drug candidates may face from generic versions of our drug candidates could materially and adversely impact our future revenue, profitability and cash flows and substantially limit our ability to obtain a return on the investments we have made in those drug candidates. Our future revenues, profitability and cash flows could also be materially and adversely affected and our ability to obtain a return on the investments we have made in those drug candidates may be substantially limited if our drug candidates, if and when approved, are not afforded the appropriate periods of non-patent exclusivity.</w:t>
      </w:r>
    </w:p>
    <w:p>
      <w:pPr>
        <w:spacing w:after="0" w:line="17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drug candidates are not considered to be a new active substance or are deemed to fall within the “global marketing authorization” of an existing medicinal product or if pediatric studies are not adequately completed, this may result in lack of regulatory data protection or failure to obtain an extension to existing regulatory data protection.</w:t>
      </w:r>
    </w:p>
    <w:p>
      <w:pPr>
        <w:spacing w:after="0" w:line="67" w:lineRule="exact"/>
        <w:rPr>
          <w:sz w:val="20"/>
          <w:szCs w:val="20"/>
          <w:color w:val="auto"/>
        </w:rPr>
      </w:pPr>
    </w:p>
    <w:p>
      <w:pPr>
        <w:ind w:firstLine="619"/>
        <w:spacing w:after="0" w:line="252" w:lineRule="auto"/>
        <w:rPr>
          <w:sz w:val="20"/>
          <w:szCs w:val="20"/>
          <w:color w:val="auto"/>
        </w:rPr>
      </w:pPr>
      <w:r>
        <w:rPr>
          <w:rFonts w:ascii="Times New Roman" w:cs="Times New Roman" w:eastAsia="Times New Roman" w:hAnsi="Times New Roman"/>
          <w:sz w:val="18"/>
          <w:szCs w:val="18"/>
          <w:color w:val="auto"/>
        </w:rPr>
        <w:t>Where an applicant for a marketing authorization submits a full dossier containing its own pharmaceutical, pre-clinical tests and clinical trials data, and where the application does not fall within the ‘global marketing authorization’ of an existing medicinal product, the applicant is entitled to eight years of regulatory data protection upon grant of the marketing authorization (the period starts to run from the first marketing authorization in the EU and EEA). During this period, applicants for approval of generics or biosimilars cannot rely on data contained in the marketing authorization dossier submitted for the already authorized, or reference, medicinal product to support their application. After the expiration of the eight-year period of regulatory data protection, the reference medicinal product benefits from a further two-year period of marketing protection. During these two years of marketing protection, no generic or biosimilar medicinal product that relies upon the reference medicinal product’s dossier may be placed on the EU market, but a generic or biosimilar marketing authorization application can be submitted to the competent regulatory authorities in the EU Member States during this time. The two-year period of marketing protection can further be extended by one year if, during the first eight years of the grant of the first marketing authorization, the marketing authorization holder obtains an authorization for one or more new therapeutic indications which, during the scientific evaluation prior to their authorization, are held to bring a significant clinical benefit in comparison with existing therapies. However, even if a compound is considered to be a new active substance and the innovator is able to gain the period of regulatory data protection and marketing protection, provided that no other IP or regulatory exclusivities applied, another unrelated company could also apply for a marketing authorization and market another competing medicinal product for the same therapeutic indication if such company obtained its own marketing authorization based on a separate marketing authorization application based on a full self-standing scientific data package supporting the application. The period of regulatory data protection and marketing protection applies in the UK (running from the date of the first authorization in Great Britain).</w:t>
      </w:r>
    </w:p>
    <w:p>
      <w:pPr>
        <w:spacing w:after="0" w:line="87" w:lineRule="exact"/>
        <w:rPr>
          <w:sz w:val="20"/>
          <w:szCs w:val="20"/>
          <w:color w:val="auto"/>
        </w:rPr>
      </w:pPr>
    </w:p>
    <w:p>
      <w:pPr>
        <w:ind w:right="40" w:firstLine="619"/>
        <w:spacing w:after="0" w:line="254" w:lineRule="auto"/>
        <w:rPr>
          <w:sz w:val="20"/>
          <w:szCs w:val="20"/>
          <w:color w:val="auto"/>
        </w:rPr>
      </w:pPr>
      <w:r>
        <w:rPr>
          <w:rFonts w:ascii="Times New Roman" w:cs="Times New Roman" w:eastAsia="Times New Roman" w:hAnsi="Times New Roman"/>
          <w:sz w:val="18"/>
          <w:szCs w:val="18"/>
          <w:color w:val="auto"/>
        </w:rPr>
        <w:t>In the EU, pursuant to Regulation 1901/2006, and in the UK pursuant to the Human Medicines Regulations 2012 (as amended), marketing authorization applications must include pediatric data based on pediatric investigation plans agreed with the EMA if the MAA concerns (i) a new active substance, or (ii) a new indication, pharmacological form, or route of administration (where the product is protected by a supplementary protection certificate or a patent qualifying for a supplementary certificate). Applicants may obtain waivers or deferrals to these requirements in certain circumstances (for example a waiver may be obtained if the condition only occurs in adult populations). Where required, pediatric studies must cover all sub-sets of the pediatric population for both existing and new indications, pharmacological forms and route of administrations. Limited further exclusions apply, including in relation to generic or biosimilar applications. Certain rewards may be available for completion of pediatric studies. For example, where MAAs include the results of all studies conducted in compliance with an agreed pediatric investigation plan, the holder of the patent or supplementary protection certificate may be entitled to a six-month extension to the supplementary protection certificate.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7" w:name="page68"/>
    <w:bookmarkEnd w:id="67"/>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relationships with actual and potential customers, providers and third-party payors will be subject to applicable anti-kickback, fraud and abuse and other healthcare laws and regulations, which could expose us to penalties including criminal sanctions, civil penalties, exclusions from government programs, contractual damages and reputational harm, and could diminish our future profits and earnings.</w:t>
      </w:r>
    </w:p>
    <w:p>
      <w:pPr>
        <w:spacing w:after="0" w:line="67"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Our arrangements with third-party payors, physicians, and other potential customers will subject us to broadly applicable fraud and abuse and other healthcare laws and regulations that may constrain the business or financial arrangements and relationships through which we market, sell and distribute any drug candidates for which we obtain marketing approval.</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Applicable U.S. federal and state and non-U.S. healthcare laws and regulations include the following:</w:t>
      </w:r>
    </w:p>
    <w:p>
      <w:pPr>
        <w:spacing w:after="0" w:line="117" w:lineRule="exact"/>
        <w:rPr>
          <w:sz w:val="20"/>
          <w:szCs w:val="20"/>
          <w:color w:val="auto"/>
        </w:rPr>
      </w:pPr>
    </w:p>
    <w:p>
      <w:pPr>
        <w:ind w:left="1000" w:hanging="493"/>
        <w:spacing w:after="0" w:line="255"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 criminal law, which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 order of any good or service for which payment may be made, in whole or in part, under federal healthcare programs such as Medicare and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p>
    <w:p>
      <w:pPr>
        <w:spacing w:after="0" w:line="78" w:lineRule="exact"/>
        <w:rPr>
          <w:rFonts w:ascii="Times New Roman" w:cs="Times New Roman" w:eastAsia="Times New Roman" w:hAnsi="Times New Roman"/>
          <w:sz w:val="18"/>
          <w:szCs w:val="18"/>
          <w:color w:val="auto"/>
        </w:rPr>
      </w:pPr>
    </w:p>
    <w:p>
      <w:pPr>
        <w:ind w:left="1000" w:right="80" w:hanging="493"/>
        <w:spacing w:after="0" w:line="255"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civil False Claims Act, which may be enforced through civil whistleblower or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and imposes significant civil penalties, treble damages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There is also the federal Criminal False Claims Act, which is similar to the federal Civil False Claims Act and imposes criminal liability on those that make or present a false, fictitious or fraudulent claim to the federal government;</w:t>
      </w:r>
    </w:p>
    <w:p>
      <w:pPr>
        <w:spacing w:after="0" w:line="78" w:lineRule="exact"/>
        <w:rPr>
          <w:rFonts w:ascii="Times New Roman" w:cs="Times New Roman" w:eastAsia="Times New Roman" w:hAnsi="Times New Roman"/>
          <w:sz w:val="18"/>
          <w:szCs w:val="18"/>
          <w:color w:val="auto"/>
        </w:rPr>
      </w:pPr>
    </w:p>
    <w:p>
      <w:pPr>
        <w:ind w:left="1000" w:right="120" w:hanging="493"/>
        <w:spacing w:after="0" w:line="258"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spacing w:after="0" w:line="75" w:lineRule="exact"/>
        <w:rPr>
          <w:rFonts w:ascii="Times New Roman" w:cs="Times New Roman" w:eastAsia="Times New Roman" w:hAnsi="Times New Roman"/>
          <w:sz w:val="18"/>
          <w:szCs w:val="18"/>
          <w:color w:val="auto"/>
        </w:rPr>
      </w:pPr>
    </w:p>
    <w:p>
      <w:pPr>
        <w:ind w:left="1000" w:right="300" w:hanging="493"/>
        <w:spacing w:after="0" w:line="261"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statutes created by the Health Insurance Portability and Accountability Act (HIPAA), which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w:t>
      </w:r>
    </w:p>
    <w:p>
      <w:pPr>
        <w:spacing w:after="0" w:line="71" w:lineRule="exact"/>
        <w:rPr>
          <w:rFonts w:ascii="Times New Roman" w:cs="Times New Roman" w:eastAsia="Times New Roman" w:hAnsi="Times New Roman"/>
          <w:sz w:val="18"/>
          <w:szCs w:val="18"/>
          <w:color w:val="auto"/>
        </w:rPr>
      </w:pPr>
    </w:p>
    <w:p>
      <w:pPr>
        <w:ind w:left="1000" w:right="120" w:hanging="493"/>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67" w:lineRule="exact"/>
        <w:rPr>
          <w:rFonts w:ascii="Times New Roman" w:cs="Times New Roman" w:eastAsia="Times New Roman" w:hAnsi="Times New Roman"/>
          <w:sz w:val="18"/>
          <w:szCs w:val="18"/>
          <w:color w:val="auto"/>
        </w:rPr>
      </w:pPr>
    </w:p>
    <w:p>
      <w:pPr>
        <w:ind w:left="1000" w:right="660" w:hanging="493"/>
        <w:spacing w:after="0" w:line="282"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which among other things, strictly regulates drug marketing, prohibits manufacturers from marketing such products for off-label use or misbranding or adulterating their products, and regulates the distribution of samples;</w:t>
      </w:r>
    </w:p>
    <w:p>
      <w:pPr>
        <w:spacing w:after="0" w:line="53" w:lineRule="exact"/>
        <w:rPr>
          <w:rFonts w:ascii="Times New Roman" w:cs="Times New Roman" w:eastAsia="Times New Roman" w:hAnsi="Times New Roman"/>
          <w:sz w:val="18"/>
          <w:szCs w:val="18"/>
          <w:color w:val="auto"/>
        </w:rPr>
      </w:pPr>
    </w:p>
    <w:p>
      <w:pPr>
        <w:jc w:val="both"/>
        <w:ind w:left="1000" w:right="60" w:hanging="493"/>
        <w:spacing w:after="0" w:line="26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and state laws that require pharmaceutical manufacturers to report certain calculated product pricing metrics to the government or provide certain discounts or rebates to government authorities or private entities, often as a condition of product coverage and reimbursement under federal healthcare programs</w:t>
      </w:r>
    </w:p>
    <w:p>
      <w:pPr>
        <w:spacing w:after="0" w:line="67" w:lineRule="exact"/>
        <w:rPr>
          <w:rFonts w:ascii="Times New Roman" w:cs="Times New Roman" w:eastAsia="Times New Roman" w:hAnsi="Times New Roman"/>
          <w:sz w:val="18"/>
          <w:szCs w:val="18"/>
          <w:color w:val="auto"/>
        </w:rPr>
      </w:pPr>
    </w:p>
    <w:p>
      <w:pPr>
        <w:ind w:left="1000" w:right="100" w:hanging="493"/>
        <w:spacing w:after="0" w:line="258"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which requires applicable manufacturers of covered drugs, devices, biologics, and medical supplies for which payment is available under Medicare, Medicaid or the Children’s Health Insurance Program, among others, to annually track and report payments and other transfers of value provided to U.S.-licensed physicians, teaching hospitals, physician assistants, nurse practitioners, clinical nurse specialists, certified nurse anesthetists, anesthesiologist assistants and certified nurse-midwives as well as certain ownership and investment interests held by physicians and their immediate families;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8" w:name="page69"/>
    <w:bookmarkEnd w:id="68"/>
    <w:p>
      <w:pPr>
        <w:ind w:left="1000" w:right="100" w:hanging="493"/>
        <w:spacing w:after="0" w:line="26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that may apply to our business practices, including sales or marketing arrangements and claims involving healthcare items or services reimbursed by non-governmental third-party payors, including private insurers;</w:t>
      </w:r>
    </w:p>
    <w:p>
      <w:pPr>
        <w:spacing w:after="0" w:line="67" w:lineRule="exact"/>
        <w:rPr>
          <w:rFonts w:ascii="Times New Roman" w:cs="Times New Roman" w:eastAsia="Times New Roman" w:hAnsi="Times New Roman"/>
          <w:sz w:val="18"/>
          <w:szCs w:val="18"/>
          <w:color w:val="auto"/>
        </w:rPr>
      </w:pPr>
    </w:p>
    <w:p>
      <w:pPr>
        <w:ind w:left="1000" w:right="60" w:hanging="493"/>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pharmaceutical companies to comply with the pharmaceutical industry’s voluntary compliance guidelines and relevant compliance guidance promulgated by the federal government;</w:t>
      </w:r>
    </w:p>
    <w:p>
      <w:pPr>
        <w:spacing w:after="0" w:line="53" w:lineRule="exact"/>
        <w:rPr>
          <w:rFonts w:ascii="Times New Roman" w:cs="Times New Roman" w:eastAsia="Times New Roman" w:hAnsi="Times New Roman"/>
          <w:sz w:val="18"/>
          <w:szCs w:val="18"/>
          <w:color w:val="auto"/>
        </w:rPr>
      </w:pPr>
    </w:p>
    <w:p>
      <w:pPr>
        <w:ind w:left="1000" w:right="460" w:hanging="493"/>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drug manufacturers to report information related to payments and other transfers of value to physicians and other healthcare providers or marketing expenditures;</w:t>
      </w:r>
    </w:p>
    <w:p>
      <w:pPr>
        <w:spacing w:after="0" w:line="53" w:lineRule="exact"/>
        <w:rPr>
          <w:rFonts w:ascii="Times New Roman" w:cs="Times New Roman" w:eastAsia="Times New Roman" w:hAnsi="Times New Roman"/>
          <w:sz w:val="18"/>
          <w:szCs w:val="18"/>
          <w:color w:val="auto"/>
        </w:rPr>
      </w:pPr>
    </w:p>
    <w:p>
      <w:pPr>
        <w:ind w:left="1000" w:hanging="493"/>
        <w:spacing w:after="0" w:line="266"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 laws that prohibit various marketing-related activities, such as the provision of certain kinds of gifts or meals; require the reporting of certain pricing information, including information pertaining to and justifying price increases, or prohibit prescription drug price gouging; and certain state and local laws that require the registration of pharmaceutical sales representatives; and</w:t>
      </w:r>
    </w:p>
    <w:p>
      <w:pPr>
        <w:spacing w:after="0" w:line="67" w:lineRule="exact"/>
        <w:rPr>
          <w:rFonts w:ascii="Times New Roman" w:cs="Times New Roman" w:eastAsia="Times New Roman" w:hAnsi="Times New Roman"/>
          <w:sz w:val="18"/>
          <w:szCs w:val="18"/>
          <w:color w:val="auto"/>
        </w:rPr>
      </w:pPr>
    </w:p>
    <w:p>
      <w:pPr>
        <w:ind w:left="1000" w:right="380" w:hanging="493"/>
        <w:spacing w:after="0" w:line="282"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54"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 candidates from government-funded healthcare programs, such as Medicare and Medicaid, disgorgement, contractual damages, reputational harm, diminished profits and future earnings, and the curtailment or restructuring of our operations. If any physicians or other healthcare providers or entities with whom we expect to do business are found not to be in compliance with applicable laws, they may also be subject to criminal, civil or administrative sanctions, including exclusions from government-funded healthcare programs. Although effective compliance programs can mitigate the risk of investigation and prosecution for violations of these laws, these risks cannot be entirely eliminated. Any action for an alleged or suspected violation can cause us to incur significant legal expenses and divert management’s attention from the operation of the business, even if such action is successfully defended.</w:t>
      </w:r>
    </w:p>
    <w:p>
      <w:pPr>
        <w:spacing w:after="0" w:line="84"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Providing benefits or advantages to induce or reward improper performance generally to induce or encourage the prescription, recommendation, endorsement, purchase, supply, order or use of medicinal products is prohibited in the EU and the UK. The provision of benefits or advantages to induce or reward improper performance is governed by the national anti-bribery laws of EU Member States, and in respect of the UK, the Bribery Act 2010. Infringement of these laws may result in substantial fines and imprisonment. EU Directive 2001/83/EC, which is the EU Directive governing medicinal products for human use, provides that, where medicinal products are being promoted to healthcare professionals, no gifts, pecuniary advantages or benefits in kind may be supplied, offered or promised to such individuals unless they are inexpensive and relevant to the practice of medicine or pharmacy. This provision was transposed into the Human Medicines Regulations 2012 and as such remains applicable in the UK.</w:t>
      </w:r>
    </w:p>
    <w:p>
      <w:pPr>
        <w:spacing w:after="0" w:line="81"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In addition, agreements with healthcare professionals must often be the subject of prior notification and approval by the healthcare professional’s employer, his or her competent professional organization and/or the regulatory authorities of individual EU Member States. These requirements are set out in national laws, industry codes or professional codes of conduct, applicable in the EU Member States and in the UK. Failure to comply with these requirements could result in reputational risk, public reprimands, administrative penalties, fines or imprisonment.</w:t>
      </w:r>
    </w:p>
    <w:p>
      <w:pPr>
        <w:spacing w:after="0" w:line="17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FDA’s and other regulatory authorities’ policies may change, and additional government regulations may be enacted that could prevent, limit or delay regulatory approval of our drug candidates.</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9" w:name="page70"/>
    <w:bookmarkEnd w:id="69"/>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and any collaborators, to obtain marketing approval of and commercialize our drug candidates and affect the prices we, or they, may obtain.</w:t>
      </w:r>
    </w:p>
    <w:p>
      <w:pPr>
        <w:spacing w:after="0" w:line="5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drug candidates, restrict or regulate post-approval activities and affect our ability to profitably sell any drug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FDA-approved product.</w:t>
      </w:r>
    </w:p>
    <w:p>
      <w:pPr>
        <w:spacing w:after="0" w:line="75"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Healthcare reform measures that may be adopted in the future, may result in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75"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To date, there have been several recent U.S. congressional inquiries and proposed and enacted state and federal legislation and regulation designed to, among other things, bring more transparency to drug pricing, review the relationship between pricing and manufacturer patient support programs, reduce the costs of drugs under Medicare and reform government program reimbursement methodologies for drug products. For example, included in the Consolidated Appropriations Act of 2021 were several drug price reporting and transparency measures, such as a new requirement for certain Medicare plans to develop tools to display Medicare Part D prescription drug benefit information in real time and for group and health insurance issuers to report information on pharmacy benefit and drug costs to the Secretaries of the Departments of Health and Human Services, Labor and the Treasury. Additionally, on February 2, 2022, the Biden administration signaled its continued commitment to the Cancer Moonshot initiative, which was initially launched in 2016. In its announcement, the administration noted that its new goals under the initiative include addressing inequities in order to ensure broader access to cutting-edge cancer therapeutics and investing in a robust pipeline for new treatments.</w:t>
      </w:r>
    </w:p>
    <w:p>
      <w:pPr>
        <w:spacing w:after="0" w:line="80"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Most recently, on August 16, 2022, President Biden signed into law the Inflation Reduction Act of 2022 (the Act), which, among other provisions, included several measures intended to lower the cost of prescription drugs and related healthcare reforms. Specifically, the Act authorizes and directs the Department of Health and Human Services to set drug price caps for certain high-cost Medicare Part B and Part D qualified drugs, with the initial list of drugs to be selected by September 1, 2023, and the first year of maximum price applicability to begin in 2026. The Act further authorizes the Department of Health and Human Services to penalize pharmaceutical manufacturers that increase the price of certain Medicare Part B and Part D drugs faster than the rate of inflation. Finally, the Act creates significant changes to the Medicare Part D benefit design by capping Part D beneficiaries’ annual out-of-pocket spending at $2,000 beginning in 2025. We cannot be sure whether additional legislation or rulemaking related to the Act will be issued or enacted, or what impact, if any, such changes will have on the profitability of any of our drug candidates, if approved for commercial use, in the future.</w:t>
      </w:r>
    </w:p>
    <w:p>
      <w:pPr>
        <w:spacing w:after="0" w:line="84"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These include legislation and regulations regarding price or patient reimbursement constraints, discounts, restrictions on certain product access and marketing cost disclosure and transparency measures, and, in some cases, legislative action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79"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drug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of the United States tend to impose strict price controls, which may adversely affect our revenues from the sales of drugs, if any.</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In some countries, particularly the countries of the EU and the UK,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or our collaborators, may be required to conduct a clinical trial that compares the cost-effectiveness of our drug to other available therapies. Furthermore, in some European countries, the authorities conduct an HTA to assess the cost-effectiveness of the product (in the UK that HTA assessment is conducted by the National Institute for Health and Care Excellence), which may significantly impact effective access to the market. If reimbursement of our drugs is unavailable or limited in scope or amount, or if pricing is set at unsatisfactory levels, our business could be materially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Employees, Managing our Growth and Other Legal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may adversely affect our business and the market price of our common stock.</w:t>
      </w:r>
    </w:p>
    <w:p>
      <w:pPr>
        <w:spacing w:after="0" w:line="121"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The ongoing global pandemic of COVID-19 is impacting worldwide economic activity and poses the risk that we or our employees, contractors, suppliers, and other partners may be prevented from conducting business activities for an indefinite period of time, including due to shutdowns that may be requested or mandated by governmental authorities. Although it is not possible at this time to estimate the impact that COVID-19 could have on our business, the continued spread of COVID-19 and the measures taken by the governments of countries affected could disrupt the supply chain and the manufacture or shipment of both drug substance and finished drug product for our drug candidates for preclinical testing and clinical trials, cause diversion of healthcare resources away from the conduct of preclinical and clinical trial matters to focus on pandemic concerns, limit travel in a manner that interrupts key trial activities, such as trial site initiations and monitoring, delay regulatory filings with regulatory agencies in affected areas or adversely affect our ability to obtain regulatory approvals. Additionally, disruptions at the FDA, the EMA and other regulators, caused by global health concerns, including the COVID-19 pandemic, including delays in inspections of clinical trial or manufacturing sites required as part of the drug application review process, could result in delays of reviews and approvals of our drug candidates or our proposed clinical trials. For example, in response to the COVID-19 pandemic, on March 10, 2020, the FDA announced its intention to postpone most inspections of foreign manufacturing facilities and products inspections of domestic manufacturing facilities through April 2020. On March 18, 2020, the FDA announced its intention to temporarily postpone routine surveillance inspections of domestic manufacturing facilities and provided guidance regarding the conduct of clinical trials. On July 10, 2020, the FDA announced that it is working toward the goal of restarting on-site inspections it deems to be “mission critical.” On August 19, 2020, the FDA published guidance clarifying how it intends to conduct inspections during the COVID-19 pandemic, including how it plans to determine which inspections are “mission critical,” and published an updated form of this guidance on May 17, 2021. Additionally, on April 14, 2021, the FDA issued a guidance document in which the FDA described its plans to conduct voluntary remote interactive evaluations of certain drug manufacturing facilities and clinical research sites. According to the guidance, the FDA intends to request such remote interactive evaluations in situations where an in-person inspection would not be prioritized, deemed mission-critical, or where direct inspection is otherwise limited by travel restrictions, but where the FDA determines that remote evaluation would still be appropriate. The FDA has since adjusted its inspection activities in response to the ongoing COVID-19 pandemic. On December 29, 2021, the FDA implemented temporary changes to its inspectional activities to ensure the safety of its employees and regulated firms. On February 2, 2022, the FDA announced that it would resume domestic surveillance inspections across all product areas on February 7, 2022. We cannot predict whether, and when, the FDA will decide to pause or resume inspections due to the COVID-19 pandemic. Moreover, it is unclear how the FDA’s policies and guidance will impact any inspections of our facilities, including our clinical trial sites. Regulatory authorities outside the United States may adopt similar restrictions or other policy measures in response to the COVID-19 pandemic.</w:t>
      </w:r>
    </w:p>
    <w:p>
      <w:pPr>
        <w:spacing w:after="0" w:line="96"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The COVID-19 pandemic and mitigation measures also may have an adverse impact on global economic conditions, which could adversely impact our business, financial condition or results of operations. Additionally, the COVID-19 pandemic has resulted in significant financial market volatility and uncertainty. A continuation or worsening of the levels of market disruption and volatility seen in the recent past as a result of the COVID-19 pandemic could have an adverse effect on our ability to access capital and on the market price of our common stock. It is currently not possible to predict how long the COVID-19 pandemic and its effects will last or the time that it will take for economic activity to return to prior levels. The extent to which the COVID-19 pandemic impacts our results will depend on future developments that are highly uncertain and cannot be predicted, including new information that may emerge concerning the severity of the virus and the actions taken to contain its impact. See also the section titled “—Risks Related to Dependence on Third Parties.”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71" w:name="page72"/>
    <w:bookmarkEnd w:id="71"/>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management and other key personnel, we may be unable to continue to successfully develop our current and any future drug candidates, commercialize our drug candidates or otherwise implement our business plan.</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Our ability to compete in the highly competitive pharmaceuticals industry depends upon our ability to attract and retain highly qualified managerial, scientific, medical, sales and marketing and other personnel. We are highly dependent on our management and scientific personnel, including our President and Chief Executive Officer, Arthur T. Sands, M.D., Ph.D., our Chief Scientific Officer, Gwenn Hansen, Ph.D., and our Chief Operating Officer and Executive Vice President of Product Development, Stefani A. Wolff. The loss of the services of Dr. Sands, Dr. Hansen or Ms. Wolff or other members of our senior leadership team could impede, delay or prevent the successful development of our product pipeline, completion of our current and planned clinical trials, commercialization of our products or in-licensing or acquisition of new assets, and could negatively impact our ability to successfully implement our business plan. If we lose the services of such individuals, we might not be able to find suitable replacements on a timely basis or at all, and our business could be harmed as a result. We do not maintain “key man” insurance policies on the lives of these individuals or the lives of any of our other employees.</w:t>
      </w:r>
    </w:p>
    <w:p>
      <w:pPr>
        <w:spacing w:after="0" w:line="80"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We employ all of our executive officers and key personnel on an at-will basis and their employment can be terminated by us or them at any time, for any reason and without notice. In order to retain valuable employees at our company, in addition to salary and cash incentives, we provide stock options and restricted stock units (RSUs) that vest over time. The value to employees of stock options and RSUs that vest over time will be significantly affected by movements in our stock price that are beyond our control and may at any time be insufficient to counteract offers from other companies.</w:t>
      </w:r>
    </w:p>
    <w:p>
      <w:pPr>
        <w:spacing w:after="0" w:line="72" w:lineRule="exact"/>
        <w:rPr>
          <w:sz w:val="20"/>
          <w:szCs w:val="20"/>
          <w:color w:val="auto"/>
        </w:rPr>
      </w:pPr>
    </w:p>
    <w:p>
      <w:pPr>
        <w:ind w:right="160" w:firstLine="510"/>
        <w:spacing w:after="0" w:line="255" w:lineRule="auto"/>
        <w:rPr>
          <w:sz w:val="20"/>
          <w:szCs w:val="20"/>
          <w:color w:val="auto"/>
        </w:rPr>
      </w:pPr>
      <w:r>
        <w:rPr>
          <w:rFonts w:ascii="Times New Roman" w:cs="Times New Roman" w:eastAsia="Times New Roman" w:hAnsi="Times New Roman"/>
          <w:sz w:val="18"/>
          <w:szCs w:val="18"/>
          <w:color w:val="auto"/>
        </w:rPr>
        <w:t>Moreover, we might not be able to attract or retain qualified management and other key personnel in the future due to the intense competition for qualified personnel among biotechnology, pharmaceutical and other businesses, particularly in the San Francisco Bay Area where we are headquartered. We could have difficulty attracting experienced personnel to our company and may be required to expend significant financial resources in our employee recruitment and retention efforts. Many pharmaceutical companies with whom we compete for qualified personnel have greater financial and other resources, different risk profiles and longer histories in the industry than we do. They also may provide more diverse opportunities and better chances for career advancement. If we are not able to attract and retain the necessary personnel to accomplish our business objectives, we may experience constraints that will harm our ability to implement our business strategy and achieve our business objectives.</w:t>
      </w:r>
    </w:p>
    <w:p>
      <w:pPr>
        <w:spacing w:after="0" w:line="81"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In addition, we have scientific and clinical advisors who assist us in formulating our development and clinical strategies. These advisors are not our employees and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our organization, and we may experience difficulties in managing this growth, which could disrupt our operations.</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As our development and commercialization plans and strategies develop, and as we continue our transition into operating as a public company, we expect to expand our employee base for managerial, operational, financial and other resources. In addition, we have limited experience in product development. We filed our first IND in December 2020 and currently have four drug candidates in ongoing Phase 1 trials. As our drug candidates enter and advance through preclinical studies and clinical trials, we will need to expand our development, regulatory and manufacturing capabilities or contract with other organizations to provide these capabilities for us. In the future, we expect to have to manage additional relationships with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have a material and adverse effect on our business, financial condition, results of operations and prospects.</w:t>
      </w:r>
    </w:p>
    <w:p>
      <w:pPr>
        <w:spacing w:after="0" w:line="184"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 laws.</w:t>
      </w:r>
    </w:p>
    <w:p>
      <w:pPr>
        <w:spacing w:after="0" w:line="51" w:lineRule="exact"/>
        <w:rPr>
          <w:sz w:val="20"/>
          <w:szCs w:val="20"/>
          <w:color w:val="auto"/>
        </w:rPr>
      </w:pPr>
    </w:p>
    <w:p>
      <w:pPr>
        <w:ind w:right="420" w:firstLine="510"/>
        <w:spacing w:after="0" w:line="28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vendors, principal investigators, CROs and consultants may engage in fraudulent conduct or other illegal activity. Misconduct by these parties could include:</w:t>
      </w:r>
    </w:p>
    <w:p>
      <w:pPr>
        <w:spacing w:after="0" w:line="54" w:lineRule="exact"/>
        <w:rPr>
          <w:sz w:val="20"/>
          <w:szCs w:val="20"/>
          <w:color w:val="auto"/>
        </w:rPr>
      </w:pPr>
    </w:p>
    <w:p>
      <w:pPr>
        <w:ind w:left="1000" w:right="440" w:hanging="493"/>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reckless or negligent conduct or disclosure to us of unauthorized activities that violate the regulations of the FDA or similar foreign regulatory authorities;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fraud and abuse in violation of U.S. and foreign laws and regulations;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U.S. federal securities laws relating to trading in our common stock;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report financial information or data accurately.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72" w:name="page73"/>
    <w:bookmarkEnd w:id="72"/>
    <w:p>
      <w:pPr>
        <w:ind w:firstLine="510"/>
        <w:spacing w:after="0" w:line="254"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misconduct, kickbacks, self-dealing and other abusive practices. These laws and regulations regulate a wide range of pricing, discounting, marketing and promotion, sales commission, customer incentive programs and other business arrangements. While we have adopted a code of conduct and implemented other internal controls applicable to all of our employees, it is not always possible to identify and deter misconduct by employees and other third parties, and the precautions we take to detect and prevent this activity may not be effective.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possible exclusion from participation in Medicare, Medicaid and other federal healthcare programs, diminished profits and future earnings, any of which could adversely affect our ability to operate our business or cause reputational harm.</w:t>
      </w:r>
    </w:p>
    <w:p>
      <w:pPr>
        <w:spacing w:after="0" w:line="184"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our information technology systems, and any failure of these systems, or those of our CROs, third-party vendors, collaborators or other contractors or consultants we may utilize, could harm our business. Security breaches, cyber-attacks, loss of data, and other disruptions could compromise sensitive information related to our business or other personal information, prevent us from accessing critical information and expose us to liability, which could adversely affect our business, reputation, results of operations, financial condition and prospects.</w:t>
      </w:r>
    </w:p>
    <w:p>
      <w:pPr>
        <w:spacing w:after="0" w:line="72"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are increasingly dependent on information technology systems, infrastructure and data to operate our business. In the ordinary course of our business, we collect, store and transmit large amounts of confidential information, including but not limited to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number of third-party vendors may or could have access to our confidential information.</w:t>
      </w:r>
    </w:p>
    <w:p>
      <w:pPr>
        <w:spacing w:after="0" w:line="84"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information technology systems and infrastructure, and those of our current and any future collaborators, contractors and consultants and other third parties on which we rely, are vulnerable to breakdown or other damage or interruption from service interruptions, system malfunction, computer viruses, malware, natural disasters, terrorism, war, telecommunication and electrical failures, cyber-attacks or cyber-intrusions over the Internet (including harmful attachments to emails, ransomware, denial-of-service attacks, social engineering, and other means to affect service reliability and threaten the confidentiality, integrity, and availability of information), persons inside our organization, or persons with access to systems inside our organization. Any of the foregoing may compromise our system infrastructure, or that of our third-party vendors and other contractors and consultants or lead to data leakage.</w:t>
      </w:r>
    </w:p>
    <w:p>
      <w:pPr>
        <w:spacing w:after="0" w:line="81"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color w:val="auto"/>
        </w:rPr>
        <w:t>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 addition, the prevalent use of mobile devices that access confidential information increases the risk of data security breaches, which could lead to the loss of confidential information or other intellectual property.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drug candidates could be delayed. The costs to us to mitigate network security problems, bugs, viruses, worms, malicious software programs and security vulnerabilities could be material, and although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3" w:name="page74"/>
    <w:bookmarkEnd w:id="73"/>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We and our third-party service providers regularly defend against and respond to data security incidents, and 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If such an event were to occur that causes interruptions in our operations, or those of our third-party vendors and other contractors and consultants, it could result in a material disruption or delay of our product development programs. For example, the loss of clinical trial data from completed, ongoing or planned clinical trials could result in delays in our regulatory approval efforts and significantly increase our costs to recover or reproduce the data.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If any such event, including a computer security breach, results in the unauthorized access, use or release of personally identifiable information, our reputation could be materially damaged. In addition, such a breach may require notification to governmental agencies, the media or individuals pursuant to various federal and state privacy and security laws (and other similar non-U.S. laws), subject us to mandatory corrective action, and otherwise subject us to liability under laws and regulations that protect the privacy and security of personal information. For example, data breaches frequently result in regulatory actions and commercial and class action litigation based on a variety of laws and legal duties, such as the California Consumer Privacy Act (CCPA), which provides for a private right of action in the event of certain data security breaches. Such actions could result in significant legal and financial exposure and reputational damages that could have a material adverse effect on our business, financial condition, results of operations and prospects.</w:t>
      </w:r>
    </w:p>
    <w:p>
      <w:pPr>
        <w:spacing w:after="0" w:line="189"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or may become subject to a variety of stringent privacy and data security laws, regulations, policies and contractual obligations related to data privacy and security, and changes in such laws, regulations, policies and contractual obligations and our failure, or any failure by our third-party vendors, collaborators, contractors or consultants, to comply with them could harm our business and result in enforcement action by regulators and claims from affected individuals.</w:t>
      </w:r>
    </w:p>
    <w:p>
      <w:pPr>
        <w:spacing w:after="0" w:line="72"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maintain and process, and our third-party vendors, collaborators, contractors and consultants maintain and process on our behalf, a large quantity of sensitive information, including confidential business, personal and patient health information in connection with our preclinical and clinical studies and our employees, and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Failure by us or our third-party vendors, collaborators, contractors and consultants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w:t>
      </w:r>
    </w:p>
    <w:p>
      <w:pPr>
        <w:spacing w:after="0" w:line="84" w:lineRule="exact"/>
        <w:rPr>
          <w:sz w:val="20"/>
          <w:szCs w:val="20"/>
          <w:color w:val="auto"/>
        </w:rPr>
      </w:pPr>
    </w:p>
    <w:p>
      <w:pPr>
        <w:ind w:right="80" w:firstLine="510"/>
        <w:spacing w:after="0" w:line="252" w:lineRule="auto"/>
        <w:rPr>
          <w:sz w:val="20"/>
          <w:szCs w:val="20"/>
          <w:color w:val="auto"/>
        </w:rPr>
      </w:pPr>
      <w:r>
        <w:rPr>
          <w:rFonts w:ascii="Times New Roman" w:cs="Times New Roman" w:eastAsia="Times New Roman" w:hAnsi="Times New Roman"/>
          <w:sz w:val="18"/>
          <w:szCs w:val="18"/>
          <w:color w:val="auto"/>
        </w:rPr>
        <w:t>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the legislative landscape is constantly evolving. In particular, laws and regulations governing the privacy of health information, such as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how protected health information may be used, shared or processed in compliance with applicable privacy standards and our contractual obligations can be complex and may be subject to changing interpretation. Further, if we fail to comply with applicable privacy laws, we could face civil and criminal penalties, or claims for breach of contract. The U.S. Department of Health and Human Services (HHS) has enforcement discretion, and any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4" w:name="page75"/>
    <w:bookmarkEnd w:id="74"/>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Data privacy remains an evolving landscape at both the domestic and international level, with new regulations coming into effect. For example, the CCPA, which came into effect on January 1, 2020, and became enforceable by the California Attorney General on July 1, 2020, along with related regulations which came into force on August 14, 2020. Additionally, although not effective until January 1, 2023, the California Privacy Rights Act (CPRA), which expands upon the CCPA, was passed in the November 2020 election.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Additionally, the CCPA requires companies that process personal information of California residents to make disclosures to consumers about their data collection, use and sharing practices, allow consumers to opt out of certain data sharing with third parties and provide a private right of action for data breaches, as described above. Although the CCPA includes limited exceptions, including exceptions for personal health information collected by covered entities or business associates subject to HIPAA, among others, the CCPA may regulate or impact our processing of personal information depending on the context. Additionally, the CPRA expands on the requirements of the CCPA by granting California residents expanded privacy rights and additional requirements for businesses. The CCPA and CPRA may increase our compliance costs and potential liability, particularly in the event of a data breach, and could have a material adverse effect on our business, including how we use personal information, financial condition, results of operations or prospects.</w:t>
      </w:r>
    </w:p>
    <w:p>
      <w:pPr>
        <w:spacing w:after="0" w:line="7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CCPA has prompted a number of proposals for new federal and state-level privacy legislation. Additional states have passed privacy laws, such as the Virginia Consumer Data Protection Act, the Colorado Privacy Act, the Utah Consumer Privacy Act and the Connecticut Personal Data Privacy and Online Monitoring Act, all of which are similar to the CCPA. Such new privacy laws add additional complexity, requirements, restrictions and potential legal risk, require additional investment in resources for compliance programs, and could impact business strategies and the availability of previously useful data. The interplay of federal and state laws (e.g., in addition to California, Massachusetts and Nevada have adopted laws requiring the implementation of certain security measures to protect personal information, and all 50 states and the District of Columbia, Puerto Rico, the U.S. Virgin Islands and Guam have adopted breach notification laws) may be subject to varying interpretations by courts and government agencies, creating complex compliance issues for us and our customers and potentially exposing us to additional expense, adverse publicity and liability. Further, as regulatory focus on privacy, security and data use issues in the U.S. continues to increase and laws and regulations concerning the protection of personal information expand and become more complex, these potential risks to products and services could intensify.</w:t>
      </w:r>
    </w:p>
    <w:p>
      <w:pPr>
        <w:spacing w:after="0" w:line="86" w:lineRule="exact"/>
        <w:rPr>
          <w:sz w:val="20"/>
          <w:szCs w:val="20"/>
          <w:color w:val="auto"/>
        </w:rPr>
      </w:pPr>
    </w:p>
    <w:p>
      <w:pPr>
        <w:ind w:right="20" w:firstLine="510"/>
        <w:spacing w:after="0" w:line="251" w:lineRule="auto"/>
        <w:rPr>
          <w:sz w:val="20"/>
          <w:szCs w:val="20"/>
          <w:color w:val="auto"/>
        </w:rPr>
      </w:pPr>
      <w:r>
        <w:rPr>
          <w:rFonts w:ascii="Times New Roman" w:cs="Times New Roman" w:eastAsia="Times New Roman" w:hAnsi="Times New Roman"/>
          <w:sz w:val="18"/>
          <w:szCs w:val="18"/>
          <w:color w:val="auto"/>
        </w:rPr>
        <w:t xml:space="preserve">In addition, in May 2018, the EU General Data Protection Regulation (EU GDPR) took effect in the EEA. The EU GDPR governs the collection, use, disclosure, transfer or other processing of personal data, replacing data protection laws issued by each EU member state based on the Directive 95/46/EC (Directive). The EU GDPR imposes additional compliance burdens, including by mandating burdensome documentation requirements and granting certain privacy rights to individuals to control how companies collect, use, disclose, retain and otherwise process information about them as well as changes to informed consent practices, the obligation to appoint data protection officers in certain circumstances, the obligation to notify relevant data supervisory authorities of personal data breaches without undue delay (and no later than 72 hours) after becoming aware of the personal data breach, and the requirement for more detailed notices for clinical trial subjects and investigators. In addition, the EU GDPR increases the scrutiny of transfers of personal data from clinical trial sites and other third parties (e.g. CROs) located in the EEA to the United States and other jurisdictions that the European Commission does not recognize as having “adequate” data protection laws. In particular, on July 16, 2020, the Court of Justice of the EU (Court of Justice) in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xml:space="preserve"> invalidated the European Union-United States (EU-U.S.) Privacy Shield on the grounds that the EU-U.S. Privacy Shield failed to offer adequate protections to EU personal information transferred to the United States. While the Court of Justice upheld the use of other data transfer mechanisms, such as the Standard Contractual Clauses, the decision has led to some uncertainty regarding the use of such mechanisms for data transfers to the United States, and the Court of Justice made clear that reliance on Standard Contractual Clauses alone may not necessarily be sufficient in all circumstances. The use of Standard Contractual Clauses for the transfer of personal information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international transfers which may require us to implement additional safeguards to further enhance the security of data transferred out of the EEA, which could increase our compliance costs, expose us to further regulatory scrutiny and liability, and adversely affect our business. In March 2022, U.S. and EU authorities announced a new Trans-Atlantic Data Privacy Framework to replace the invalidated Privacy Shield, but it is not clear what the ultimate requirements will be, or when it will be available for participation. In the meantime, the European Commission published new versions of the Standard Contractual Clauses in June 2021 which place onerous obligations on the parties. The EU GDPR imposes substantial fines for breaches and violations (up to the greater of €20 million or 4% of our global turnover). The EU GDPR allows data subjects and consumer associations to lodge complaints with supervisory authorities, seek judicial remedies and obtain compensation for damages resulting from violations of the EU GDPR.</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5" w:name="page76"/>
    <w:bookmarkEnd w:id="75"/>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 xml:space="preserve">Further, following the end of the Brexit Transition Period (on December 31, 2020) the EU GDPR has been implemented in the UK (as the UK GDPR)—non-compliance with which may lead to similar compliance and operational costs as the EU GDPR with potential fines of up to £17 million or 4% of global turnover. The UK GDPR sits alongside the UK Data Protection Act 2018 which implements certain derogations in the EU GDPR into UK law. Under the UK GDPR, companies not established in the UK but who process personal information in relation to the offering of goods or services to individuals in the UK, or to monitor their behavior will be subject to the UK GDPR—the requirements of which are (at this time) largely aligned with those under the EU GDPR. Further, on August 11, 2020, the UK Information Commissioner’s Office (ICO) published its proposed draft International Transfer Risk Assessment and tool (TRA) which is the UK equivalent of the EDPB Recommendations and provides for general advice on how to satisfy the </w:t>
      </w:r>
      <w:r>
        <w:rPr>
          <w:rFonts w:ascii="Times New Roman" w:cs="Times New Roman" w:eastAsia="Times New Roman" w:hAnsi="Times New Roman"/>
          <w:sz w:val="18"/>
          <w:szCs w:val="18"/>
          <w:i w:val="1"/>
          <w:iCs w:val="1"/>
          <w:color w:val="auto"/>
        </w:rPr>
        <w:t xml:space="preserve">Schrems II </w:t>
      </w:r>
      <w:r>
        <w:rPr>
          <w:rFonts w:ascii="Times New Roman" w:cs="Times New Roman" w:eastAsia="Times New Roman" w:hAnsi="Times New Roman"/>
          <w:sz w:val="18"/>
          <w:szCs w:val="18"/>
          <w:color w:val="auto"/>
        </w:rPr>
        <w:t>requirement to carry out a legal assessment for transfers of personal data subject to the UK GDPR. It is expected that the final version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 will be published in early 2022. The UK’s ICO has also recently published: (i) its International Data Transfer Agreement to replace the old Standard Contractual Clauses for transfers to outside the UK; and (ii) a “UK addendum” to the new EU Standard Contractual Clauses which amends the relevant provisions of such clauses to work in a UK context.</w:t>
      </w:r>
    </w:p>
    <w:p>
      <w:pPr>
        <w:spacing w:after="0" w:line="84"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As a company, we are in the process of implementing a GDPR compliance program. This is necessary to ensure we can initiate GDPR-compliant clinical trials in the EU. Failure to do so would mean we either cannot initiate GDPR-compliant clinical trials in the EU or we may face regulatory investigations, significant fines and penalties, reputational damage or be required to change our business practices, all of which could adversely affect our business, financial condition and results of operations.</w:t>
      </w:r>
    </w:p>
    <w:p>
      <w:pPr>
        <w:spacing w:after="0" w:line="72" w:lineRule="exact"/>
        <w:rPr>
          <w:sz w:val="20"/>
          <w:szCs w:val="20"/>
          <w:color w:val="auto"/>
        </w:rPr>
      </w:pPr>
    </w:p>
    <w:p>
      <w:pPr>
        <w:jc w:val="both"/>
        <w:ind w:right="60" w:firstLine="510"/>
        <w:spacing w:after="0" w:line="261" w:lineRule="auto"/>
        <w:rPr>
          <w:sz w:val="20"/>
          <w:szCs w:val="20"/>
          <w:color w:val="auto"/>
        </w:rPr>
      </w:pPr>
      <w:r>
        <w:rPr>
          <w:rFonts w:ascii="Times New Roman" w:cs="Times New Roman" w:eastAsia="Times New Roman" w:hAnsi="Times New Roman"/>
          <w:sz w:val="18"/>
          <w:szCs w:val="18"/>
          <w:color w:val="auto"/>
        </w:rPr>
        <w:t>Some countries also are considering or have passed legislation requiring local storage and processing of data, or similar requirements, which could increase the cost and complexity for conducting preclinical testing and clinical trials or delivering our future products, if any. Additionally, other countries (e.g., Australia and Japan) have adopted certain legal requirements for cross-border transfers of personal information. These obligations may be interpreted and applied in a manner that is inconsistent from one jurisdiction to another and may conflict with other requirements or our practices.</w:t>
      </w:r>
    </w:p>
    <w:p>
      <w:pPr>
        <w:spacing w:after="0" w:line="72"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It is possible that these laws may be interpreted and applied in a manner that is inconsistent with our practices and our efforts to comply with the evolving data protection rules may be unsuccessful. 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Compliance with these and any other applicable privacy and data security laws and regulations is a rigorous and time-intensive process, and we may be required to put in place additional mechanisms for ensuring compliance with the new data protection rules. If we or our third-party vendors, collaborators, contractors and consultants fail to comply with any such laws or regulations, we may face regulatory investigations, significant fines and penalties, reputational damage or be required to change our business practices, all of which could adversely affect our business, financial condition and results of operations.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regulators and customers and have a material and adverse impact on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 and changes in other tax laws could adversely affect us.</w:t>
      </w:r>
    </w:p>
    <w:p>
      <w:pPr>
        <w:spacing w:after="0" w:line="121" w:lineRule="exact"/>
        <w:rPr>
          <w:sz w:val="20"/>
          <w:szCs w:val="20"/>
          <w:color w:val="auto"/>
        </w:rPr>
      </w:pPr>
    </w:p>
    <w:p>
      <w:pPr>
        <w:jc w:val="both"/>
        <w:ind w:right="60" w:firstLine="510"/>
        <w:spacing w:after="0" w:line="261" w:lineRule="auto"/>
        <w:rPr>
          <w:sz w:val="20"/>
          <w:szCs w:val="20"/>
          <w:color w:val="auto"/>
        </w:rPr>
      </w:pPr>
      <w:r>
        <w:rPr>
          <w:rFonts w:ascii="Times New Roman" w:cs="Times New Roman" w:eastAsia="Times New Roman" w:hAnsi="Times New Roman"/>
          <w:sz w:val="18"/>
          <w:szCs w:val="18"/>
          <w:color w:val="auto"/>
        </w:rPr>
        <w:t>In December 2017, U.S. federal tax legislation commonly referred to as the TCJA was signed into law, significantly reforming the Internal Revenue Code of 1986, as amended (Code). The TCJA, among other things, includes changes to U.S. federal tax rates, imposes significant additional limitations on the deductibility of business interest, allows for the expensing of capital expenditures, puts into effect the migration from a “worldwide” system of taxation to a partial “territorial” system, and modifies or repeals many business deductions and credits.</w:t>
      </w:r>
    </w:p>
    <w:p>
      <w:pPr>
        <w:spacing w:after="0" w:line="72"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In March 2020, U.S. federal tax legislation named the CARES Act, was signed into law. Such legislation modified the TCJA by, among other things, eliminating the limitation on the deduction of NOLs to 80% of current year taxable income for tax years beginning before January 1, 2021, and increasing the amount of interest expense that may be deducted from 30% to 50% of adjusted taxable income for tax years beginning in 2019 or 2020.</w:t>
      </w:r>
    </w:p>
    <w:p>
      <w:pPr>
        <w:spacing w:after="0" w:line="68" w:lineRule="exact"/>
        <w:rPr>
          <w:sz w:val="20"/>
          <w:szCs w:val="20"/>
          <w:color w:val="auto"/>
        </w:rPr>
      </w:pPr>
    </w:p>
    <w:p>
      <w:pPr>
        <w:ind w:right="80" w:firstLine="510"/>
        <w:spacing w:after="0" w:line="274" w:lineRule="auto"/>
        <w:rPr>
          <w:sz w:val="20"/>
          <w:szCs w:val="20"/>
          <w:color w:val="auto"/>
        </w:rPr>
      </w:pPr>
      <w:r>
        <w:rPr>
          <w:rFonts w:ascii="Times New Roman" w:cs="Times New Roman" w:eastAsia="Times New Roman" w:hAnsi="Times New Roman"/>
          <w:sz w:val="17"/>
          <w:szCs w:val="17"/>
          <w:color w:val="auto"/>
        </w:rPr>
        <w:t>The TCJA is a far-reaching and complex revision to the U.S. federal income tax laws with disparate and, in some cases, countervailing impacts on different categories of taxpayers and industries. The long-term impact of the TCJA, as modified by the CARES Act, on the overall economy, the industries in which we operate and our and our partners’ businesses still cannot be reliably predicted. There can be no assurance that the TCJA, as modified by the CARES Act, will not negatively impact our future operating results. The estimated impact of the TCJA, as modified by the CARES Act, is based on our management’s current knowledge and assumptions, following consultation with our tax advisors. Because of our valuation allowance in the United States, ongoing tax effects of the TCJA, as modified by the CARES Act, are not expected to materially change our effective tax rate in future periods.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6" w:name="page77"/>
    <w:bookmarkEnd w:id="76"/>
    <w:p>
      <w:pPr>
        <w:jc w:val="both"/>
        <w:ind w:right="80" w:firstLine="510"/>
        <w:spacing w:after="0" w:line="261" w:lineRule="auto"/>
        <w:rPr>
          <w:sz w:val="20"/>
          <w:szCs w:val="20"/>
          <w:color w:val="auto"/>
        </w:rPr>
      </w:pPr>
      <w:r>
        <w:rPr>
          <w:rFonts w:ascii="Times New Roman" w:cs="Times New Roman" w:eastAsia="Times New Roman" w:hAnsi="Times New Roman"/>
          <w:sz w:val="18"/>
          <w:szCs w:val="18"/>
          <w:color w:val="auto"/>
        </w:rPr>
        <w:t>In addition, new legislation or regulations that could affect our tax burden could be enacted by any governmental authority. We cannot predict the timing or extent of such tax-related developments that could negatively impact our financial results. Additionally, we use our best judgment in attempting to quantify and reserve for these tax obligations. However, a challenge by a taxing authority, our ability to utilize tax benefits such as carryforwards or tax credits, or a deviation from other tax-related assumptions could have a material adverse effect on our business, results of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may be subject to limitations.</w:t>
      </w:r>
    </w:p>
    <w:p>
      <w:pPr>
        <w:spacing w:after="0" w:line="121"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We have incurred substantial losses during our history, do not expect to become profitable in the near future and may never achieve profitability. As of November 30, 2021, we had federal and state net operating loss (NOL) carryforwards of approximately $116.4 million and $192.1 million, respectively. To the extent we continue to generate taxable losses, unused losses will carry forward to offset future taxable income, if any, subject to the restrictions and exceptions described below. Federal NOLs generated in tax years beginning on or before December 31, 2017 may be carried forward 20 tax years and expire on various dates beginning in 2029. Under the TCJA, as modified by the CARES Act, NOLs arising in tax years beginning on or before December 31, 2017 may be carried back two tax years, NOLs arising in tax years beginning after December 31, 2017 and before January 1, 2021 may be carried back five tax years and NOLs arising in tax years beginning after December 31, 2020 may not be carried back. In 2020, we filed a refund claim of $15.7 million to carryback our NOLs generated in the fiscal year ended November 30, 2018, and we filed a refund claim to carryback our NOLs generated in the fiscal year ended November 30, 2019 to recover an additional $3.9 million of income tax. NOLs arising in tax years beginning after December 31, 2017 and before January 1, 2021 may be carried forward indefinitely but are limited to 80% of our taxable income in tax years beginning after December 31, 2020. State NOLs can be carried forward 20 years and begin expiring in 2029.</w:t>
      </w:r>
    </w:p>
    <w:p>
      <w:pPr>
        <w:spacing w:after="0" w:line="84"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We have identified two ownership changes since our inception that have triggered a limitation on pre-change NOLs under Section 382. A majority of our pre-change NOLs remain available within the carryforward period provided by the Code, subject to availability of taxable income. We may have experienced additional ownership changes that have not yet been identified that could result in the expiration of our NOL and credit carryforwards before utilization and we may experience subsequent shifts in our stock ownership, some of which are outside our control. As a result, if we earn net taxable income, our ability to use our pre-change NOLs to offset U.S. federal taxable income may be subject to limitations that potentially could result in increased future tax liability to us. In addition, at the state level, there may be periods during which the use of NOLs is suspended or otherwise limited, which could accelerate or permanently increase state taxes owed.</w:t>
      </w:r>
    </w:p>
    <w:p>
      <w:pPr>
        <w:spacing w:after="0" w:line="184"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joint ventures, spin outs or strategic alliances or transactions could disrupt our business and harm our financial condition and results of operations.</w:t>
      </w:r>
    </w:p>
    <w:p>
      <w:pPr>
        <w:spacing w:after="0" w:line="5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be certain that, following any such acquisition, we will achieve the expected synergies to justify the transaction. The risks we face in connection with acquisitions include:</w:t>
      </w:r>
    </w:p>
    <w:p>
      <w:pPr>
        <w:spacing w:after="0" w:line="79" w:lineRule="exact"/>
        <w:rPr>
          <w:sz w:val="20"/>
          <w:szCs w:val="20"/>
          <w:color w:val="auto"/>
        </w:rPr>
      </w:pPr>
    </w:p>
    <w:p>
      <w:pPr>
        <w:ind w:left="1000" w:hanging="49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17" w:lineRule="exact"/>
        <w:rPr>
          <w:rFonts w:ascii="Times New Roman" w:cs="Times New Roman" w:eastAsia="Times New Roman" w:hAnsi="Times New Roman"/>
          <w:sz w:val="18"/>
          <w:szCs w:val="18"/>
          <w:color w:val="auto"/>
        </w:rPr>
      </w:pPr>
    </w:p>
    <w:p>
      <w:pPr>
        <w:ind w:left="1000" w:right="320" w:hanging="493"/>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53" w:lineRule="exact"/>
        <w:rPr>
          <w:rFonts w:ascii="Times New Roman" w:cs="Times New Roman" w:eastAsia="Times New Roman" w:hAnsi="Times New Roman"/>
          <w:sz w:val="18"/>
          <w:szCs w:val="18"/>
          <w:color w:val="auto"/>
        </w:rPr>
      </w:pPr>
    </w:p>
    <w:p>
      <w:pPr>
        <w:ind w:left="1000" w:right="180" w:hanging="493"/>
        <w:spacing w:after="0" w:line="282"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7" w:name="page78"/>
    <w:bookmarkEnd w:id="77"/>
    <w:p>
      <w:pPr>
        <w:ind w:left="1000" w:right="720" w:hanging="493"/>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54" w:lineRule="exact"/>
        <w:rPr>
          <w:sz w:val="20"/>
          <w:szCs w:val="20"/>
          <w:color w:val="auto"/>
        </w:rPr>
      </w:pPr>
    </w:p>
    <w:p>
      <w:pPr>
        <w:jc w:val="both"/>
        <w:ind w:firstLine="510"/>
        <w:spacing w:after="0" w:line="258"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or cause us to incur unanticipated liabilities and harm the business generally. There also is a risk that future acquisitions will result in our incurring debt, contingent liabilities, amortization expenses or incremental operating expenses, any of which could harm our financial condition or results of operations. Additionally, we may not realize the expected value of out-licensing, joint ventures, spin outs or other strategic transactions.</w:t>
      </w:r>
    </w:p>
    <w:p>
      <w:pPr>
        <w:spacing w:after="0" w:line="17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or other remedial measures and legal expenses, any of which could adversely affect our business, results of operations and financial condition.</w:t>
      </w:r>
    </w:p>
    <w:p>
      <w:pPr>
        <w:spacing w:after="0" w:line="67"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Foreign Corrupt Practices Act (FCPA), the UK Bribery Act 2010 (Bribery Act) and other anticorruption laws that apply in countries where we do business and may do business in the future. The FCPA, the Bribery Act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FCPA or Bribery Act violations, and we may participate in collaborations and relationships with third parties whose actions could potentially subject us to liability under the FCPA, the Bribery Act or local anti-corruption laws. In addition, we cannot predict the nature, scope or effect of future regulatory requirements to which our international operations might be subject or the manner in which existing laws might be administered or interpreted.</w:t>
      </w:r>
    </w:p>
    <w:p>
      <w:pPr>
        <w:spacing w:after="0" w:line="84"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We also are subject to other laws and regulations governing our international operations, including regulations administered by the governments of the United States, UK and authorities in the EU, including applicable export control regulations, economic sanctions on countries and persons, customs requirements and currency exchange regulations, which we collectively refer to as Trade Control Laws.</w:t>
      </w:r>
    </w:p>
    <w:p>
      <w:pPr>
        <w:spacing w:after="0" w:line="6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FCPA, the Bribery Act, or other legal requirements including Trade Control Laws. If we are not in compliance with the FCPA, the Bribery Act, and other anti-corruption laws or Trade Control Laws, we may be subject to criminal and civil penalties, legal expenses, and disgorgement and other sanctions and remedial measures, which could have an adverse impact on our business, financial condition, results of operations and liquidity. The SEC also may suspend or bar issuers from trading securities on U.S. exchanges for violations of the FCPA’s accounting provisions. Likewise, any investigation of any potential violations of the FCPA, the Bribery Act, other anti-corruption laws or Trade Control Laws by U.S., UK or other authorities also could have an adverse impact on our reputation, our business, results of operations and financial condition.</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significantly harm our business.</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produce hazardous waste products. Although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1"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We maintain workers’ compensation insurance to cover costs and expenses we may incur due to injuries to our employees resulting from the use of hazardous materials, but this insurance may not provide adequate coverage against potential liabilities. We do not maintain insurance for environmental liability or toxic tort claims that may be asserted against us. In addition, we may incur substantial costs in order to comply with current or future environmental, health and safety laws and regulations. Current or future environmental laws and regulations may impair our research, development or production efforts, which could adversely affect our business, financial condition, results of operations or prospects. In addition, failure to comply with these laws and regulations may result in substantial fines, penalties or other sanctions.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stock price and results of operations.</w:t>
      </w:r>
    </w:p>
    <w:p>
      <w:pPr>
        <w:spacing w:after="0" w:line="121"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global financial crisis of 2007-2008 caused extreme volatility and disruptions in the capital and credit markets. Similarly, the volatility associated with the COVID-19 pandemic has caused significant instability and disruptions in the capital and credit markets and, in recent months, the global economy has been impacted by increasing interest rates and inflation. Likewise, the capital and credit markets may be adversely affected by the recent conflict between Russia and Ukraine, and the possibility of a wider European or global conflict, global sanctions imposed in response thereto, or an energy crisis. A severe or prolonged economic downturn, such as the global financial crisis, could result in a variety of risks to our business, including a decrease in the demand for our drug candidates and in our ability to raise additional capital when needed on acceptable terms, if at all. A weak or declining economy also could strain our suppliers, possibly resulting in supply disruption, or cause our customers to delay making payments for our services. We cannot anticipate all of the ways in which the foregoing, and the current economic climate and financial market conditions generally, could adversely impact our business. Furthermore, our stock price may decline due in part to the volatility of the stock market and any general economic downturn.</w:t>
      </w:r>
    </w:p>
    <w:p>
      <w:pPr>
        <w:spacing w:after="0" w:line="190" w:lineRule="exact"/>
        <w:rPr>
          <w:sz w:val="20"/>
          <w:szCs w:val="20"/>
          <w:color w:val="auto"/>
        </w:rPr>
      </w:pPr>
    </w:p>
    <w:p>
      <w:pPr>
        <w:ind w:right="9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current operations are in the San Francisco Bay Area, and we or the third parties upon whom we depend may be adversely affected by earthquakes or other natural disasters as to which our business continuity and disaster recovery plans may not be adequate to protect us.</w:t>
      </w:r>
    </w:p>
    <w:p>
      <w:pPr>
        <w:spacing w:after="0" w:line="28"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Our current operations are located in our facilities in San Francisco, California. Any unplanned event, such as earthquake, flood, fire, explosion, extreme weather condition, medical epidemic, power shortage, telecommunication failure or other natural or man-made accident or incident that result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drug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54" w:lineRule="exact"/>
        <w:rPr>
          <w:sz w:val="20"/>
          <w:szCs w:val="20"/>
          <w:color w:val="auto"/>
        </w:rPr>
      </w:pPr>
    </w:p>
    <w:p>
      <w:pPr>
        <w:ind w:left="1000" w:right="860" w:hanging="493"/>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drug candidates, DELigase platform, DeTIL or future development programs;</w:t>
      </w:r>
    </w:p>
    <w:p>
      <w:pPr>
        <w:spacing w:after="0" w:line="53" w:lineRule="exact"/>
        <w:rPr>
          <w:rFonts w:ascii="Times New Roman" w:cs="Times New Roman" w:eastAsia="Times New Roman" w:hAnsi="Times New Roman"/>
          <w:sz w:val="18"/>
          <w:szCs w:val="18"/>
          <w:color w:val="auto"/>
        </w:rPr>
      </w:pPr>
    </w:p>
    <w:p>
      <w:pPr>
        <w:ind w:left="1000" w:right="560" w:hanging="493"/>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and clinical trials, or the addition or termination of clinical trials or funding support by us or by existing or future collaborators or licensing partners;</w:t>
      </w:r>
    </w:p>
    <w:p>
      <w:pPr>
        <w:spacing w:after="0" w:line="53" w:lineRule="exact"/>
        <w:rPr>
          <w:rFonts w:ascii="Times New Roman" w:cs="Times New Roman" w:eastAsia="Times New Roman" w:hAnsi="Times New Roman"/>
          <w:sz w:val="18"/>
          <w:szCs w:val="18"/>
          <w:color w:val="auto"/>
        </w:rPr>
      </w:pPr>
    </w:p>
    <w:p>
      <w:pPr>
        <w:ind w:left="1000" w:right="160" w:hanging="493"/>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79" w:name="page80"/>
    <w:bookmarkEnd w:id="79"/>
    <w:p>
      <w:pPr>
        <w:ind w:left="1000" w:right="180" w:hanging="493"/>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1000" w:right="380" w:hanging="493"/>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drug candidates receives regulatory approval, the terms of such approval and market acceptance and demand for such drug candidates;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drug candidates or those of our competitors;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 including increasing interest rates and inflation.</w:t>
      </w:r>
    </w:p>
    <w:p>
      <w:pPr>
        <w:spacing w:after="0" w:line="117"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could lose all or part of your investment.</w:t>
      </w:r>
    </w:p>
    <w:p>
      <w:pPr>
        <w:spacing w:after="0" w:line="12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subject to wide fluctuations in response to various factors, some of which we cannot control. As a result of this volatility, investors may not be able to sell their common stock at or above the purchase price. The market price for our common stock may be influenced by many factors, including the other risks described in this section and the following:</w:t>
      </w:r>
    </w:p>
    <w:p>
      <w:pPr>
        <w:spacing w:after="0" w:line="68" w:lineRule="exact"/>
        <w:rPr>
          <w:sz w:val="20"/>
          <w:szCs w:val="20"/>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preclinical studies and clinical trials of our drug candidates, or those of our competitors or our existing or future collaborators;</w:t>
      </w:r>
    </w:p>
    <w:p>
      <w:pPr>
        <w:spacing w:after="0" w:line="117" w:lineRule="exact"/>
        <w:rPr>
          <w:rFonts w:ascii="Times New Roman" w:cs="Times New Roman" w:eastAsia="Times New Roman" w:hAnsi="Times New Roman"/>
          <w:sz w:val="18"/>
          <w:szCs w:val="18"/>
          <w:color w:val="auto"/>
        </w:rPr>
      </w:pPr>
    </w:p>
    <w:p>
      <w:pPr>
        <w:ind w:left="1000" w:right="240" w:hanging="493"/>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 especially changes in laws or regulations applicable to our drug candidates;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00" w:hanging="493"/>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collaboration partners, or our competitors, and the timing of these introductions or announcements;</w:t>
      </w:r>
    </w:p>
    <w:p>
      <w:pPr>
        <w:spacing w:after="0" w:line="53" w:lineRule="exact"/>
        <w:rPr>
          <w:rFonts w:ascii="Times New Roman" w:cs="Times New Roman" w:eastAsia="Times New Roman" w:hAnsi="Times New Roman"/>
          <w:sz w:val="18"/>
          <w:szCs w:val="18"/>
          <w:color w:val="auto"/>
        </w:rPr>
      </w:pPr>
    </w:p>
    <w:p>
      <w:pPr>
        <w:ind w:left="1000" w:right="400" w:hanging="493"/>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drug candidates, clinical studies, manufacturing process or sales and marketing terms;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financial results or in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technologies, products or drug candidates;</w:t>
      </w:r>
    </w:p>
    <w:p>
      <w:pPr>
        <w:spacing w:after="0" w:line="117" w:lineRule="exact"/>
        <w:rPr>
          <w:rFonts w:ascii="Times New Roman" w:cs="Times New Roman" w:eastAsia="Times New Roman" w:hAnsi="Times New Roman"/>
          <w:sz w:val="18"/>
          <w:szCs w:val="18"/>
          <w:color w:val="auto"/>
        </w:rPr>
      </w:pPr>
    </w:p>
    <w:p>
      <w:pPr>
        <w:ind w:left="1000" w:right="200" w:hanging="493"/>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current or future collaborations, including but not limited to those with our sources of manufacturing supply and our commercialization partners;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or capital commitments;</w:t>
      </w:r>
    </w:p>
    <w:p>
      <w:pPr>
        <w:spacing w:after="0" w:line="117"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drug candidates and products;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00" w:right="80" w:hanging="493"/>
        <w:spacing w:after="0" w:line="282"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provide to the market;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and expectation of additional financing efforts;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80" w:name="page81"/>
    <w:bookmarkEnd w:id="80"/>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concentrated ownership of our common stock;</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1000" w:right="120" w:hanging="493"/>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 acts of war or periods of widespread civil unrest, including the increasingly volatile global economic conditions resulting from the conflict in Ukraine;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pandemics and epidemics, such as COVID-19;</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increasing interest rates and inflation.</w:t>
      </w:r>
    </w:p>
    <w:p>
      <w:pPr>
        <w:spacing w:after="0" w:line="117"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markets for pharmaceutical, biopharmaceutical and biotechnology stocks in particular, have experienced extreme price and volume fluctuations that often have been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may cause the price of our common stock to decline.</w:t>
      </w:r>
    </w:p>
    <w:p>
      <w:pPr>
        <w:spacing w:after="0" w:line="12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68"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spacing w:after="0" w:line="68"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5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is and will be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clinical trials and results of operations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sale and issuance of equity or of debt securities that are convertible into equity will dilute our share capital.</w:t>
      </w:r>
    </w:p>
    <w:p>
      <w:pPr>
        <w:spacing w:after="0" w:line="12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We may choose to raise additional capital in the future, depending on market conditions, strategic considerations and operational requirements. For example, in March 2021, we sold an additional 5,175,000 shares of our common stock in a follow-on public offering. In addition, we currently have on file with the SEC a shelf registration statement on Form S-3 which allows us to offer and sell registered common stock, preferred stock, debt securities, warrants, subscriptions rights and or units from time to time pursuant to one or more offerings at prices and terms to be determined at the time of sale. In August 2021, we entered into an Equity Distribution Agreement with Piper Sandler &amp; Co. (Piper Sandler) pursuant to which, from time to time, we may offer and sell through Piper Sandler up to $150.0 million of the common stock registered under the shelf registration statement pursuant to one or more “at the market” offerings. In June 2022, we issued and sold 2,000,000 shares of common stock under the Equity Distribution Agreement to Piper Sandler for net proceeds of approximately $19.3 million, after deducting offering commissions and expenses paid by us. As of August 31, 2022, we had $130.0 million of common stock remaining available for sale pursuant to the Equity Distribution Agreement. Sales of our common stock under the Equity Distribution Agreement with Piper Sandler could be subject to business, economic or competitive uncertainties and contingencies, many of which may be beyond our control, and which could cause actual results from the sale of our common stock to differ materially from expectations. In addition, in July 2022, we entered into separate Securities Purchase Agreements with certain purchasers to issue and sell pre-funded warrants to purchase an aggregate of 6,814,920 shares of our common stock in registered direct offerings for gross proceeds to us of $95.0 million before deducting offering expenses. Such pre-funded warrants are immediately exercisable, have an exercise price of $0.001 and may be exercised at any time after the date of issuance. To the extent additional capital is raised through the sale and issuance of shares or other securities convertible into shares, the ownership interest of our stockholders will be diluted. Future issuances of our common stock or other equity securities, or the perception that such sales may occur, could adversely affect the trading price of our common stock and impair our ability to raise capital through future offerings of shares or equity securities. No prediction can be made as to the effect, if any, that future sales of common stock or the availability of common stock for future sales will have on the trading price of our common stock.</w:t>
      </w:r>
    </w:p>
    <w:p>
      <w:pPr>
        <w:spacing w:after="0" w:line="18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receive a significant amount, or potentially any, additional funds upon the exercise of our pre-funded warrants; however, any exercise would increase the number of shares eligible for future resale in the public market and result in substantial dilution to our stockholders.</w:t>
      </w:r>
    </w:p>
    <w:p>
      <w:pPr>
        <w:spacing w:after="0" w:line="51"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As of August 31, 2022, we have issued pre-funded warrants to purchase a total of 6,814,920 shares of our common stock, of which 6,814,920 are outstanding. Each pre-funded warrant is exercisable for $0.001 per share of common stock underlying such pre-funded warrant, which may be paid by way of a cashless exercise, meaning that the holder may not pay a cash purchase price upon exercise, but instead would receive upon such exercise the net number of shares of common stock determined according to the formula set forth in the pre-funded warrant. Accordingly, we will not receive a significant amount, or potentially any, additional funds upon the exercise of the pre-funded warrants. To the extent such pre-funded warrants are exercised, additional shares of common stock will be issued for nominal or no additional consideration, which will result in substantial dilution to the then existing holders of our common stock and will increase the number of shares eligible for resale in the public market. Sales of substantial numbers of such shares in the public market could adversely affect the market price of the common stock, causing our stock price to decline.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our pre-funded warrants.</w:t>
      </w:r>
    </w:p>
    <w:p>
      <w:pPr>
        <w:spacing w:after="0" w:line="12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There is no public trading market for our pre-funded warrants issued in July 2022, and we do not expect a market to develop. In addition, we do not intend to apply to list the pre-funded warrants on any securities exchange or nationally recognized trading system, including the Nasdaq Global Market (Nasdaq). Without an active market, the liquidity of the pre-funded warrants will be limited, and the value of the pre-funded warrants may be adversely impacted.</w:t>
      </w:r>
    </w:p>
    <w:p>
      <w:pPr>
        <w:spacing w:after="0" w:line="72"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Additionally, each holder of pre-funded warrants will not be entitled to exercise any portion of any pre-funded warrant, which, upon giving effect to such exercise, would cause (i) the aggregate number of shares of our common stock beneficially owned by the holder (together with its affiliates) to exceed 9.99% of the number of shares of our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However, any holder may increase or decrease such percentage to any other percentage (not in excess of 19.99%) upon at least 61 days’ prior notice from the holder to us.</w:t>
      </w:r>
    </w:p>
    <w:p>
      <w:pPr>
        <w:spacing w:after="0" w:line="183"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51" w:lineRule="exact"/>
        <w:rPr>
          <w:sz w:val="20"/>
          <w:szCs w:val="20"/>
          <w:color w:val="auto"/>
        </w:rPr>
      </w:pPr>
    </w:p>
    <w:p>
      <w:pPr>
        <w:jc w:val="both"/>
        <w:ind w:right="120" w:firstLine="510"/>
        <w:spacing w:after="0" w:line="266" w:lineRule="auto"/>
        <w:rPr>
          <w:sz w:val="20"/>
          <w:szCs w:val="20"/>
          <w:color w:val="auto"/>
        </w:rPr>
      </w:pPr>
      <w:r>
        <w:rPr>
          <w:rFonts w:ascii="Times New Roman" w:cs="Times New Roman" w:eastAsia="Times New Roman" w:hAnsi="Times New Roman"/>
          <w:sz w:val="18"/>
          <w:szCs w:val="18"/>
          <w:color w:val="auto"/>
        </w:rPr>
        <w:t>Our restated certificate of incorporation and our restated bylaws contain provisions that could delay or prevent a change in control of our company. These provisions also could make it difficult for stockholders to elect directors who are not nominated by current members of our board of directors or to take other corporate actions, including effecting changes in our management. These provisions:</w:t>
      </w:r>
    </w:p>
    <w:p>
      <w:pPr>
        <w:spacing w:after="0" w:line="68" w:lineRule="exact"/>
        <w:rPr>
          <w:sz w:val="20"/>
          <w:szCs w:val="20"/>
          <w:color w:val="auto"/>
        </w:rPr>
      </w:pPr>
    </w:p>
    <w:p>
      <w:pPr>
        <w:ind w:left="5540" w:right="3040" w:hanging="5033"/>
        <w:spacing w:after="0" w:line="532" w:lineRule="auto"/>
        <w:tabs>
          <w:tab w:leader="none" w:pos="101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82" w:name="page83"/>
    <w:bookmarkEnd w:id="82"/>
    <w:p>
      <w:pPr>
        <w:ind w:left="1000" w:hanging="493"/>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our board of directors to establish the number of directors and fill vacancies on our board;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1000" w:right="720" w:hanging="493"/>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restated certificate of incorporation and restated bylaws, unless such amendments are approved by two-thirds of our board of directors, in which case stockholders can approve by a simple majority;</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117" w:lineRule="exact"/>
        <w:rPr>
          <w:rFonts w:ascii="Times New Roman" w:cs="Times New Roman" w:eastAsia="Times New Roman" w:hAnsi="Times New Roman"/>
          <w:sz w:val="18"/>
          <w:szCs w:val="18"/>
          <w:color w:val="auto"/>
        </w:rPr>
      </w:pPr>
    </w:p>
    <w:p>
      <w:pPr>
        <w:ind w:left="1000" w:right="800" w:hanging="493"/>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54" w:lineRule="exact"/>
        <w:rPr>
          <w:sz w:val="20"/>
          <w:szCs w:val="20"/>
          <w:color w:val="auto"/>
        </w:rPr>
      </w:pPr>
    </w:p>
    <w:p>
      <w:pPr>
        <w:jc w:val="both"/>
        <w:ind w:right="80" w:firstLine="510"/>
        <w:spacing w:after="0" w:line="26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172"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and our restated bylaws contain exclusive forum provisions for certain claims, which could limit our stockholders’ ability to obtain a favorable judicial forum for disputes with us or our directors, officers or employees.</w:t>
      </w:r>
    </w:p>
    <w:p>
      <w:pPr>
        <w:spacing w:after="0" w:line="51" w:lineRule="exact"/>
        <w:rPr>
          <w:sz w:val="20"/>
          <w:szCs w:val="20"/>
          <w:color w:val="auto"/>
        </w:rPr>
      </w:pPr>
    </w:p>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w:t>
      </w:r>
    </w:p>
    <w:p>
      <w:pPr>
        <w:spacing w:after="0" w:line="7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Moreover, Section 22 of the Securities Act creates concurrent jurisdiction for federal and state courts over all claims brought to enforce any duty or liability created by the Securities Act or the rules and regulations thereunder and our restated bylaws provide that the federal district courts of the United States of America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82"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restated certificate of incorporation and/or restated bylaws to be inapplicable or unenforceable in an action, we may incur additional costs associated with resolving such action in other jurisdictions, which could harm our business, operating results and financial condition.</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83" w:name="page84"/>
    <w:bookmarkEnd w:id="83"/>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51"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As a public company, we incur and, particularly now that we no longer are an emerging growth company, will further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Moreover, since we ceased to be an “emerging growth company” on November 30, 2021, we may no longer take advantage of certain exemptions from various reporting requirements that are applicable to public companies. This increase in reporting requirements will further increase our compliance burden.</w:t>
      </w:r>
    </w:p>
    <w:p>
      <w:pPr>
        <w:spacing w:after="0" w:line="79"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Our management and other personnel are required to devote a substantial amount of time to these compliance initiatives. Moreover, these rules and regulations have increased our legal and financial compliance costs and have made some activities more time-consuming and costly. We cannot predict or estimate the amount or timing of additional costs we may incur to respond to these requirements. The impact of these requirements also could make it more difficult for us to attract and retain qualified persons to serve on our board of directors, our board committees or as executive officers. Moreover, these rules and regulations often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our ability to produce accurate and timely financial statements could be impaired, which could harm our operating results, investors’ views of us and, as a result, the value of our common stock.</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Pursuant to the rules and regulations of the SEC, we are required to furnish a report by our management on, among other things, our internal control over financial reporting. To achieve compliance with these rules and regulations, we engage in a process to document and evaluate our internal control over financial reporting, which is both costly and time consuming. Effective internal control over financial reporting is necessary for us to provide reliable financial reporting and, together with adequate disclosure controls and procedures, are designed to prevent material misstatements due to fraud or error. Any failure to design new or improved internal controls necessary to address risks of material misstatement in our interim or annual financial statements, or difficulties encountered in their implementation or operation, could cause us to fail to meet our reporting obligations. Ineffective internal control over financial reporting could also cause investors to lose confidence in our reported financial information, which could have a negative effect on the trading price of our common stock.</w:t>
      </w:r>
    </w:p>
    <w:p>
      <w:pPr>
        <w:spacing w:after="0" w:line="84"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reporting on our assessment of the effectiveness of our internal control over financial reporting needs to include disclosure of any material weaknesses identified in our internal control over financial reporting, as well as a statement that our independent registered public accounting firm has audited the effectiveness of our internal control over financial reporting. While we will qualify as a non-accelerated filer under SEC rules for fiscal year 2023 and therefore are not required to obtain such an audit for fiscal year 2023, in the event that we qualify as a large accelerated filer or accelerated filer under SEC rules in future years, our independent registered public accounting firm will be required to audit the effectiveness of our internal control over financial reporting, which will require increased costs, expenses, and management resources. Undetected material weaknesses in our internal control over financial reporting could lead to financial statement restatements and require us to incur the expense of remediation. We are also required to disclose changes made in our internal control over financial reporting that have materially affected, or are reasonably likely to materially affect, internal control over financial reporting on a quarterly basis. To comply with the requirements of being a public company, we have undertaken, and may need to further undertake in the future, various actions, such as implementing new internal controls and procedures and hiring additional accounting staff.</w:t>
      </w:r>
    </w:p>
    <w:p>
      <w:pPr>
        <w:spacing w:after="0" w:line="86"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As discussed in Part I, Item 4 of this Quarterly Report on Form 10-Q, we have identified material weaknesses in our internal control over financial reporting related to controls over segregation of duties in our journal entry and account reconciliation processes, and certain information technology general controls.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As a result of the identified material weaknesses, our management concluded that our internal control over financial reporting was not effective as of November 30, 2021, which was previously reported in Part II, Item 9A of our Annual Report on Form 10-K for the fiscal year ended November 30, 2021. As of August 31, 2022, these material weaknesses have not been remediated. The material weaknesses identified in Part I, Item 4 of this Quarterly Report on Form 10-Q did not result in any misstatement of our financial statements. We have designed and have begun implementing a remediation plan for these material weaknesses. However, our remediation efforts may be inadequate, or we may in the future discover material weaknesses in other areas of our internal control over financial reporting that require remediation.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4" w:name="page85"/>
    <w:bookmarkEnd w:id="84"/>
    <w:p>
      <w:pPr>
        <w:ind w:right="260" w:firstLine="510"/>
        <w:spacing w:after="0" w:line="254" w:lineRule="auto"/>
        <w:rPr>
          <w:sz w:val="20"/>
          <w:szCs w:val="20"/>
          <w:color w:val="auto"/>
        </w:rPr>
      </w:pPr>
      <w:r>
        <w:rPr>
          <w:rFonts w:ascii="Times New Roman" w:cs="Times New Roman" w:eastAsia="Times New Roman" w:hAnsi="Times New Roman"/>
          <w:sz w:val="18"/>
          <w:szCs w:val="18"/>
          <w:color w:val="auto"/>
        </w:rPr>
        <w:t>We cannot assure you that the measures we have taken to date, and actions we may take in the future, will be sufficient to remediate the control deficiencies that led to the material weaknesses in our internal control over financial reporting or that they will prevent or avoid potential future material weaknesses. Moreover, our current controls and any new controls that we develop may become inadequate because of changes in conditions in our business. Further, material weaknesses in our disclosure controls and procedures and internal control over financial reporting may be discovered in the future. Any failure to develop or maintain effective internal control over financial reporting or any difficulties encountered in their implementation or improvement could harm our operating results or cause us to fail to meet our reporting obligations and may result in a restatement of our financial statements for prior periods, which could cause the price of our common stock to decline. In addition, if we are not able to continue to meet these requirements, we may not be able to remain listed on Nasdaq.</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Beginning with our Quarterly Report on Form 10-Q for the fiscal period ended May 31, 2022, we requalified as a “smaller reporting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 that the market value of our stock held by non-affiliates is less than $560.0 million as of May 31, 2022, and our annual revenue is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 million during the most recently completed fiscal year. We will continue to be a smaller reporting company if either (i) the market value of our stock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by non-affiliates is less than $250.0 million as of the prior May 31 or (ii) our annual revenue is less than $100.0 million during the most recently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completed fiscal year and the market value of our stock held by non-affiliates is less than $700.0 million as of the prior May 31. As a smaller reporting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we may take advantage of many of the same exemptions from disclosure requirements as an emerging growth company, including reduced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obligations regarding executive compensation in our periodic reports and proxy statements. We cannot predict if investors will find our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less attractive because we may rely on these exemptions. If some investors find our common stock less attractive as a result, there may be a 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active trading market for our common stock and our stock price may be more volatile.</w:t>
      </w:r>
    </w:p>
    <w:p>
      <w:pPr>
        <w:spacing w:after="0" w:line="20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5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market price of our common stock may be volatile.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right="260" w:firstLine="674"/>
        <w:spacing w:after="0" w:line="282" w:lineRule="auto"/>
        <w:rPr>
          <w:sz w:val="20"/>
          <w:szCs w:val="20"/>
          <w:color w:val="auto"/>
        </w:rPr>
      </w:pPr>
      <w:r>
        <w:rPr>
          <w:rFonts w:ascii="Times New Roman" w:cs="Times New Roman" w:eastAsia="Times New Roman" w:hAnsi="Times New Roman"/>
          <w:sz w:val="18"/>
          <w:szCs w:val="18"/>
          <w:color w:val="auto"/>
        </w:rPr>
        <w:t>On July 23, 2020, our registration statement on Form S-1, as amended (File No. 333-239651), was declared effective by the SEC in connection with the IPO of our common stock.</w:t>
      </w:r>
    </w:p>
    <w:p>
      <w:pPr>
        <w:spacing w:after="0" w:line="54" w:lineRule="exact"/>
        <w:rPr>
          <w:sz w:val="20"/>
          <w:szCs w:val="20"/>
          <w:color w:val="auto"/>
        </w:rPr>
      </w:pPr>
    </w:p>
    <w:p>
      <w:pPr>
        <w:ind w:firstLine="674"/>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the prospectus filed with the SEC pursuant to Rule 424(b)(4) under the Securities Act on July 24,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Issuers and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7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31"/>
        </w:trPr>
        <w:tc>
          <w:tcPr>
            <w:tcW w:w="880" w:type="dxa"/>
            <w:vAlign w:val="bottom"/>
            <w:gridSpan w:val="2"/>
            <w:vMerge w:val="continue"/>
          </w:tcPr>
          <w:p>
            <w:pPr>
              <w:spacing w:after="0"/>
              <w:rPr>
                <w:sz w:val="11"/>
                <w:szCs w:val="11"/>
                <w:color w:val="auto"/>
              </w:rPr>
            </w:pPr>
          </w:p>
        </w:tc>
        <w:tc>
          <w:tcPr>
            <w:tcW w:w="5720" w:type="dxa"/>
            <w:vAlign w:val="bottom"/>
            <w:vMerge w:val="restart"/>
          </w:tcPr>
          <w:p>
            <w:pPr>
              <w:ind w:left="2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5"/>
                <w:szCs w:val="15"/>
                <w:color w:val="auto"/>
              </w:rPr>
            </w:pPr>
          </w:p>
        </w:tc>
        <w:tc>
          <w:tcPr>
            <w:tcW w:w="572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 or</w:t>
      </w:r>
    </w:p>
    <w:p>
      <w:pPr>
        <w:spacing w:after="0" w:line="6" w:lineRule="exact"/>
        <w:rPr>
          <w:sz w:val="20"/>
          <w:szCs w:val="20"/>
          <w:color w:val="auto"/>
        </w:rPr>
      </w:pPr>
    </w:p>
    <w:p>
      <w:pPr>
        <w:ind w:left="20" w:hanging="29"/>
        <w:spacing w:after="0" w:line="239" w:lineRule="auto"/>
        <w:rPr>
          <w:sz w:val="20"/>
          <w:szCs w:val="20"/>
          <w:color w:val="auto"/>
        </w:rPr>
      </w:pPr>
      <w:r>
        <w:rPr>
          <w:rFonts w:ascii="Times New Roman" w:cs="Times New Roman" w:eastAsia="Times New Roman" w:hAnsi="Times New Roman"/>
          <w:sz w:val="14"/>
          <w:szCs w:val="14"/>
          <w:b w:val="1"/>
          <w:bCs w:val="1"/>
          <w:color w:val="auto"/>
        </w:rPr>
        <w:t>Furnished Herewith</w:t>
      </w:r>
    </w:p>
    <w:p>
      <w:pPr>
        <w:spacing w:after="0" w:line="113" w:lineRule="exact"/>
        <w:rPr>
          <w:sz w:val="20"/>
          <w:szCs w:val="20"/>
          <w:color w:val="auto"/>
        </w:rPr>
      </w:pPr>
    </w:p>
    <w:p>
      <w:pPr>
        <w:sectPr>
          <w:pgSz w:w="11900" w:h="16838" w:orient="portrait"/>
          <w:cols w:equalWidth="0" w:num="2">
            <w:col w:w="10420" w:space="100"/>
            <w:col w:w="620"/>
          </w:cols>
          <w:pgMar w:left="320" w:top="333" w:right="439" w:bottom="1440" w:gutter="0" w:footer="0" w:header="0"/>
        </w:sectPr>
      </w:pPr>
    </w:p>
    <w:p>
      <w:pPr>
        <w:spacing w:after="0" w:line="14" w:lineRule="exact"/>
        <w:rPr>
          <w:sz w:val="20"/>
          <w:szCs w:val="20"/>
          <w:color w:val="auto"/>
        </w:rPr>
      </w:pPr>
    </w:p>
    <w:p>
      <w:pPr>
        <w:ind w:left="100"/>
        <w:spacing w:after="0"/>
        <w:tabs>
          <w:tab w:leader="none" w:pos="8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05">
        <w:r>
          <w:rPr>
            <w:rFonts w:ascii="Times New Roman" w:cs="Times New Roman" w:eastAsia="Times New Roman" w:hAnsi="Times New Roman"/>
            <w:sz w:val="17"/>
            <w:szCs w:val="17"/>
            <w:u w:val="single" w:color="auto"/>
            <w:color w:val="0000EE"/>
          </w:rPr>
          <w:t>Form of Pre-funded Warrant</w:t>
        </w:r>
      </w:hyperlink>
    </w:p>
    <w:p>
      <w:pPr>
        <w:spacing w:after="0" w:line="158" w:lineRule="exact"/>
        <w:rPr>
          <w:sz w:val="20"/>
          <w:szCs w:val="20"/>
          <w:color w:val="auto"/>
        </w:rPr>
      </w:pPr>
    </w:p>
    <w:p>
      <w:pPr>
        <w:ind w:left="100"/>
        <w:spacing w:after="0"/>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06">
        <w:r>
          <w:rPr>
            <w:rFonts w:ascii="Times New Roman" w:cs="Times New Roman" w:eastAsia="Times New Roman" w:hAnsi="Times New Roman"/>
            <w:sz w:val="18"/>
            <w:szCs w:val="18"/>
            <w:u w:val="single" w:color="auto"/>
            <w:color w:val="0000EE"/>
          </w:rPr>
          <w:t>Form of Securities Purchase Agreement</w:t>
        </w:r>
      </w:hyperlink>
    </w:p>
    <w:p>
      <w:pPr>
        <w:spacing w:after="0" w:line="158" w:lineRule="exact"/>
        <w:rPr>
          <w:sz w:val="20"/>
          <w:szCs w:val="20"/>
          <w:color w:val="auto"/>
        </w:rPr>
      </w:pPr>
    </w:p>
    <w:p>
      <w:pPr>
        <w:jc w:val="right"/>
        <w:ind w:left="100"/>
        <w:spacing w:after="0" w:line="28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0000EE"/>
        </w:rPr>
        <w:t>First Amendment to Collaboration, Option and License Agreement, 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13, 2019, by and between the Registrant and Gilead Sciences,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001-39398</w:t>
            </w: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July 8, 2022</w:t>
            </w:r>
          </w:p>
        </w:tc>
      </w:tr>
      <w:tr>
        <w:trPr>
          <w:trHeight w:val="36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001-39398</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1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July 8, 2022</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73" w:lineRule="exact"/>
        <w:rPr>
          <w:sz w:val="20"/>
          <w:szCs w:val="20"/>
          <w:color w:val="auto"/>
        </w:rPr>
      </w:pPr>
    </w:p>
    <w:p>
      <w:pPr>
        <w:sectPr>
          <w:pgSz w:w="11900" w:h="16838" w:orient="portrait"/>
          <w:cols w:equalWidth="0" w:num="3">
            <w:col w:w="6220" w:space="640"/>
            <w:col w:w="3240" w:space="660"/>
            <w:col w:w="380"/>
          </w:cols>
          <w:pgMar w:left="320" w:top="333" w:right="4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554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Second Amendment to Collaboration, Option and License Agreement, dated</w:t>
            </w: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5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September 9, 2022, by and between the Registrant and Gilead Sciences, Inc.</w:t>
            </w:r>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r>
              <w:rPr>
                <w:rFonts w:ascii="Arial" w:cs="Arial" w:eastAsia="Arial" w:hAnsi="Arial"/>
                <w:sz w:val="18"/>
                <w:szCs w:val="18"/>
                <w:color w:val="auto"/>
              </w:rPr>
              <w:t>†</w:t>
            </w:r>
          </w:p>
        </w:tc>
        <w:tc>
          <w:tcPr>
            <w:tcW w:w="57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Second Amendment to Collaboration and License Agreement, dated December</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48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16, 2021, by and between the Registrant and Genzyme Corporation</w:t>
            </w:r>
          </w:p>
        </w:tc>
        <w:tc>
          <w:tcPr>
            <w:tcW w:w="8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w:t>
            </w:r>
            <w:r>
              <w:rPr>
                <w:rFonts w:ascii="Arial" w:cs="Arial" w:eastAsia="Arial" w:hAnsi="Arial"/>
                <w:sz w:val="18"/>
                <w:szCs w:val="18"/>
                <w:color w:val="auto"/>
              </w:rPr>
              <w:t>†</w:t>
            </w:r>
          </w:p>
        </w:tc>
        <w:tc>
          <w:tcPr>
            <w:tcW w:w="5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Third Amendment to Collaboration and License Agreement, dated July 7,</w:t>
            </w:r>
          </w:p>
        </w:tc>
        <w:tc>
          <w:tcPr>
            <w:tcW w:w="3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2022, by and between the Registrant and Genzyme Corporation</w:t>
            </w:r>
          </w:p>
        </w:tc>
        <w:tc>
          <w:tcPr>
            <w:tcW w:w="0" w:type="dxa"/>
            <w:vAlign w:val="bottom"/>
          </w:tcPr>
          <w:p>
            <w:pPr>
              <w:spacing w:after="0"/>
              <w:rPr>
                <w:sz w:val="1"/>
                <w:szCs w:val="1"/>
                <w:color w:val="auto"/>
              </w:rPr>
            </w:pPr>
          </w:p>
        </w:tc>
      </w:tr>
      <w:tr>
        <w:trPr>
          <w:trHeight w:val="20"/>
        </w:trPr>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10.6*</w:t>
            </w:r>
            <w:r>
              <w:rPr>
                <w:rFonts w:ascii="Arial" w:cs="Arial" w:eastAsia="Arial" w:hAnsi="Arial"/>
                <w:sz w:val="18"/>
                <w:szCs w:val="18"/>
                <w:color w:val="auto"/>
              </w:rPr>
              <w:t>†</w:t>
            </w:r>
          </w:p>
        </w:tc>
        <w:tc>
          <w:tcPr>
            <w:tcW w:w="3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80" w:type="dxa"/>
            <w:vAlign w:val="bottom"/>
            <w:vMerge w:val="continue"/>
          </w:tcPr>
          <w:p>
            <w:pPr>
              <w:spacing w:after="0"/>
              <w:rPr>
                <w:sz w:val="24"/>
                <w:szCs w:val="24"/>
                <w:color w:val="auto"/>
              </w:rPr>
            </w:pPr>
          </w:p>
        </w:tc>
        <w:tc>
          <w:tcPr>
            <w:tcW w:w="57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Fourth Amendment to Collaboration and License Agreement, dated August 11,</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2022, by and between the Registrant and Genzyme Corporation</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55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w:t>
            </w:r>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6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under the Securities Exchange Act of 1934, as Adopted Pursuant to</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4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22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57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6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under the Securities Exchange Act of 1934, as Adopted Pursuant to</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34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22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570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and Principal Financial and</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5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Accounting Officer Pursuant to 18 U.S.C. Section 1350, as Adopted Pursuant</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58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to Section 906 of the Sarbanes-Oxley Act of 2002</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0" w:type="dxa"/>
            <w:vAlign w:val="bottom"/>
          </w:tcPr>
          <w:p>
            <w:pPr>
              <w:spacing w:after="0"/>
              <w:rPr>
                <w:sz w:val="1"/>
                <w:szCs w:val="1"/>
                <w:color w:val="auto"/>
              </w:rPr>
            </w:pPr>
          </w:p>
        </w:tc>
      </w:tr>
      <w:tr>
        <w:trPr>
          <w:trHeight w:val="36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6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6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6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6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880" w:right="3660" w:hanging="872"/>
        <w:spacing w:after="0" w:line="282" w:lineRule="auto"/>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95123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13" w:lineRule="exact"/>
        <w:rPr>
          <w:sz w:val="20"/>
          <w:szCs w:val="20"/>
          <w:color w:val="auto"/>
        </w:rPr>
      </w:pPr>
    </w:p>
    <w:p>
      <w:pPr>
        <w:ind w:left="5540" w:right="1460" w:hanging="5532"/>
        <w:spacing w:after="0" w:line="534" w:lineRule="auto"/>
        <w:tabs>
          <w:tab w:leader="none" w:pos="51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Registrant has omitted certain schedules pursuant to Item 601(a)(5) of Regulation S-K promulgated by the SEC. </w:t>
      </w: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X</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10040" w:space="720"/>
            <w:col w:w="380"/>
          </w:cols>
          <w:pgMar w:left="320" w:top="333" w:right="439" w:bottom="1440" w:gutter="0" w:footer="0" w:header="0"/>
          <w:type w:val="continuous"/>
        </w:sectPr>
      </w:pPr>
    </w:p>
    <w:bookmarkStart w:id="87" w:name="page88"/>
    <w:bookmarkEnd w:id="87"/>
    <w:p>
      <w:pPr>
        <w:ind w:left="492" w:hanging="492"/>
        <w:spacing w:after="0"/>
        <w:tabs>
          <w:tab w:leader="none" w:pos="492" w:val="left"/>
        </w:tabs>
        <w:numPr>
          <w:ilvl w:val="0"/>
          <w:numId w:val="52"/>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Registrant has omitted portions of the exhibit as permitted under Item 601(b)(10) of Regulation S-K.</w:t>
      </w:r>
    </w:p>
    <w:p>
      <w:pPr>
        <w:spacing w:after="0" w:line="116" w:lineRule="exact"/>
        <w:rPr>
          <w:sz w:val="20"/>
          <w:szCs w:val="20"/>
          <w:color w:val="auto"/>
        </w:rPr>
      </w:pPr>
    </w:p>
    <w:p>
      <w:pPr>
        <w:ind w:left="492" w:hanging="492"/>
        <w:spacing w:after="0" w:line="267" w:lineRule="auto"/>
        <w:tabs>
          <w:tab w:leader="none" w:pos="49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certifications furnished in Exhibit 32.1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or the Exchange Act.</w:t>
      </w:r>
    </w:p>
    <w:p>
      <w:pPr>
        <w:spacing w:after="0" w:line="200" w:lineRule="exact"/>
        <w:rPr>
          <w:sz w:val="20"/>
          <w:szCs w:val="20"/>
          <w:color w:val="auto"/>
        </w:rPr>
      </w:pPr>
    </w:p>
    <w:p>
      <w:pPr>
        <w:spacing w:after="0" w:line="232"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2"/>
          </w:cols>
          <w:pgMar w:left="328" w:top="659" w:right="47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NURIX THERAPEUTICS, INC.</w:t>
            </w:r>
          </w:p>
        </w:tc>
      </w:tr>
      <w:tr>
        <w:trPr>
          <w:trHeight w:val="37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6, 2022</w:t>
            </w:r>
          </w:p>
        </w:tc>
        <w:tc>
          <w:tcPr>
            <w:tcW w:w="24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rthur</w:t>
            </w:r>
            <w:r>
              <w:rPr>
                <w:rFonts w:ascii="Times New Roman" w:cs="Times New Roman" w:eastAsia="Times New Roman" w:hAnsi="Times New Roman"/>
                <w:sz w:val="18"/>
                <w:szCs w:val="18"/>
                <w:color w:val="auto"/>
              </w:rPr>
              <w:t xml:space="preserve"> T. S</w:t>
            </w:r>
            <w:r>
              <w:rPr>
                <w:rFonts w:ascii="Times New Roman" w:cs="Times New Roman" w:eastAsia="Times New Roman" w:hAnsi="Times New Roman"/>
                <w:sz w:val="12"/>
                <w:szCs w:val="12"/>
                <w:color w:val="auto"/>
              </w:rPr>
              <w:t>ands</w:t>
            </w:r>
          </w:p>
        </w:tc>
      </w:tr>
      <w:tr>
        <w:trPr>
          <w:trHeight w:val="218"/>
        </w:trPr>
        <w:tc>
          <w:tcPr>
            <w:tcW w:w="3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Arthur T. Sands, M.D., Ph.D.</w:t>
            </w:r>
          </w:p>
        </w:tc>
      </w:tr>
      <w:tr>
        <w:trPr>
          <w:trHeight w:val="214"/>
        </w:trPr>
        <w:tc>
          <w:tcPr>
            <w:tcW w:w="3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6"/>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59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6, 2022</w:t>
            </w:r>
          </w:p>
        </w:tc>
        <w:tc>
          <w:tcPr>
            <w:tcW w:w="248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w:t>
            </w:r>
            <w:r>
              <w:rPr>
                <w:rFonts w:ascii="Times New Roman" w:cs="Times New Roman" w:eastAsia="Times New Roman" w:hAnsi="Times New Roman"/>
                <w:sz w:val="12"/>
                <w:szCs w:val="12"/>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oute</w:t>
            </w:r>
          </w:p>
        </w:tc>
      </w:tr>
      <w:tr>
        <w:trPr>
          <w:trHeight w:val="228"/>
        </w:trPr>
        <w:tc>
          <w:tcPr>
            <w:tcW w:w="37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Hans van Houte</w:t>
            </w:r>
          </w:p>
        </w:tc>
      </w:tr>
    </w:tbl>
    <w:p>
      <w:pPr>
        <w:jc w:val="cente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765" w:right="339" w:bottom="1440" w:gutter="0" w:footer="0" w:header="0"/>
        </w:sectPr>
      </w:pPr>
    </w:p>
    <w:bookmarkStart w:id="89" w:name="page90"/>
    <w:bookmarkEnd w:id="89"/>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COLLABORATION, OPTION AND LICENSE AGREEMENT</w:t>
      </w:r>
    </w:p>
    <w:p>
      <w:pPr>
        <w:spacing w:after="0" w:line="204" w:lineRule="exact"/>
        <w:rPr>
          <w:sz w:val="20"/>
          <w:szCs w:val="20"/>
          <w:color w:val="auto"/>
        </w:rPr>
      </w:pPr>
    </w:p>
    <w:p>
      <w:pPr>
        <w:jc w:val="both"/>
        <w:ind w:firstLine="864"/>
        <w:spacing w:after="0" w:line="247" w:lineRule="auto"/>
        <w:rPr>
          <w:sz w:val="20"/>
          <w:szCs w:val="20"/>
          <w:color w:val="auto"/>
        </w:rPr>
      </w:pPr>
      <w:r>
        <w:rPr>
          <w:rFonts w:ascii="Times New Roman" w:cs="Times New Roman" w:eastAsia="Times New Roman" w:hAnsi="Times New Roman"/>
          <w:sz w:val="22"/>
          <w:szCs w:val="22"/>
          <w:color w:val="auto"/>
        </w:rPr>
        <w:t>This First Amendment to Collaboration, Option and License Agreement (this “</w:t>
      </w:r>
      <w:r>
        <w:rPr>
          <w:rFonts w:ascii="Times New Roman" w:cs="Times New Roman" w:eastAsia="Times New Roman" w:hAnsi="Times New Roman"/>
          <w:sz w:val="22"/>
          <w:szCs w:val="22"/>
          <w:b w:val="1"/>
          <w:bCs w:val="1"/>
          <w:i w:val="1"/>
          <w:iCs w:val="1"/>
          <w:color w:val="auto"/>
        </w:rPr>
        <w:t>First Amendment</w:t>
      </w:r>
      <w:r>
        <w:rPr>
          <w:rFonts w:ascii="Times New Roman" w:cs="Times New Roman" w:eastAsia="Times New Roman" w:hAnsi="Times New Roman"/>
          <w:sz w:val="22"/>
          <w:szCs w:val="22"/>
          <w:color w:val="auto"/>
        </w:rPr>
        <w:t>”), dated August 13, 2019 (the “</w:t>
      </w:r>
      <w:r>
        <w:rPr>
          <w:rFonts w:ascii="Times New Roman" w:cs="Times New Roman" w:eastAsia="Times New Roman" w:hAnsi="Times New Roman"/>
          <w:sz w:val="22"/>
          <w:szCs w:val="22"/>
          <w:b w:val="1"/>
          <w:bCs w:val="1"/>
          <w:i w:val="1"/>
          <w:iCs w:val="1"/>
          <w:color w:val="auto"/>
        </w:rPr>
        <w:t>First Amendment Effective Date</w:t>
      </w:r>
      <w:r>
        <w:rPr>
          <w:rFonts w:ascii="Times New Roman" w:cs="Times New Roman" w:eastAsia="Times New Roman" w:hAnsi="Times New Roman"/>
          <w:sz w:val="22"/>
          <w:szCs w:val="22"/>
          <w:color w:val="auto"/>
        </w:rPr>
        <w:t>”), is by and between Nurix Therapeutics, Inc., a Delaware corporation (“</w:t>
      </w:r>
      <w:r>
        <w:rPr>
          <w:rFonts w:ascii="Times New Roman" w:cs="Times New Roman" w:eastAsia="Times New Roman" w:hAnsi="Times New Roman"/>
          <w:sz w:val="22"/>
          <w:szCs w:val="22"/>
          <w:b w:val="1"/>
          <w:bCs w:val="1"/>
          <w:i w:val="1"/>
          <w:iCs w:val="1"/>
          <w:color w:val="auto"/>
        </w:rPr>
        <w:t>Nurix</w:t>
      </w:r>
      <w:r>
        <w:rPr>
          <w:rFonts w:ascii="Times New Roman" w:cs="Times New Roman" w:eastAsia="Times New Roman" w:hAnsi="Times New Roman"/>
          <w:sz w:val="22"/>
          <w:szCs w:val="22"/>
          <w:color w:val="auto"/>
        </w:rPr>
        <w:t>”) and Gilead Sciences, Inc., a Delaware corporation (“</w:t>
      </w:r>
      <w:r>
        <w:rPr>
          <w:rFonts w:ascii="Times New Roman" w:cs="Times New Roman" w:eastAsia="Times New Roman" w:hAnsi="Times New Roman"/>
          <w:sz w:val="22"/>
          <w:szCs w:val="22"/>
          <w:b w:val="1"/>
          <w:bCs w:val="1"/>
          <w:i w:val="1"/>
          <w:iCs w:val="1"/>
          <w:color w:val="auto"/>
        </w:rPr>
        <w:t>Gilead</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Nurix and Gilead entered into that certain Collaboration, Option and License Agreement, dated as of June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10, 2019 (the “</w:t>
      </w:r>
      <w:r>
        <w:rPr>
          <w:rFonts w:ascii="Times New Roman" w:cs="Times New Roman" w:eastAsia="Times New Roman" w:hAnsi="Times New Roman"/>
          <w:sz w:val="22"/>
          <w:szCs w:val="22"/>
          <w:b w:val="1"/>
          <w:bCs w:val="1"/>
          <w:i w:val="1"/>
          <w:iCs w:val="1"/>
          <w:color w:val="auto"/>
        </w:rPr>
        <w:t>Collaboration Agreement</w:t>
      </w:r>
      <w:r>
        <w:rPr>
          <w:rFonts w:ascii="Times New Roman" w:cs="Times New Roman" w:eastAsia="Times New Roman" w:hAnsi="Times New Roman"/>
          <w:sz w:val="22"/>
          <w:szCs w:val="22"/>
          <w:color w:val="auto"/>
        </w:rPr>
        <w:t>,” and as amended by this First Amendment,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and</w:t>
      </w:r>
    </w:p>
    <w:p>
      <w:pPr>
        <w:spacing w:after="0" w:line="150"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Nurix and Gilead wish to amend the Collaboration Agreement to clarify certain provisions thereunder,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accordance with the terms set forth in this First Amendment.</w:t>
      </w:r>
    </w:p>
    <w:p>
      <w:pPr>
        <w:spacing w:after="0" w:line="150" w:lineRule="exact"/>
        <w:rPr>
          <w:sz w:val="20"/>
          <w:szCs w:val="20"/>
          <w:color w:val="auto"/>
        </w:rPr>
      </w:pPr>
    </w:p>
    <w:p>
      <w:pPr>
        <w:jc w:val="both"/>
        <w:ind w:firstLine="864"/>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and obligations set forth herein, Nurix and Gilead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hereby agree to amend the Collaboration Agreement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06" w:lineRule="exact"/>
        <w:rPr>
          <w:sz w:val="20"/>
          <w:szCs w:val="20"/>
          <w:color w:val="auto"/>
        </w:rPr>
      </w:pPr>
    </w:p>
    <w:p>
      <w:pPr>
        <w:ind w:firstLine="8"/>
        <w:spacing w:after="0" w:line="262" w:lineRule="auto"/>
        <w:tabs>
          <w:tab w:leader="none" w:pos="81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All capitalized terms not otherwise defined herein shall have the respective meanings assigned to them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Collaboration Agreement.</w:t>
      </w:r>
    </w:p>
    <w:p>
      <w:pPr>
        <w:spacing w:after="0" w:line="149" w:lineRule="exact"/>
        <w:rPr>
          <w:rFonts w:ascii="Times New Roman" w:cs="Times New Roman" w:eastAsia="Times New Roman" w:hAnsi="Times New Roman"/>
          <w:sz w:val="22"/>
          <w:szCs w:val="22"/>
          <w:b w:val="1"/>
          <w:bCs w:val="1"/>
          <w:color w:val="auto"/>
        </w:rPr>
      </w:pPr>
    </w:p>
    <w:p>
      <w:pPr>
        <w:ind w:firstLine="8"/>
        <w:spacing w:after="0" w:line="262" w:lineRule="auto"/>
        <w:tabs>
          <w:tab w:leader="none" w:pos="810" w:val="left"/>
        </w:tabs>
        <w:numPr>
          <w:ilvl w:val="0"/>
          <w:numId w:val="5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Ownership</w:t>
      </w:r>
      <w:r>
        <w:rPr>
          <w:rFonts w:ascii="Times New Roman" w:cs="Times New Roman" w:eastAsia="Times New Roman" w:hAnsi="Times New Roman"/>
          <w:sz w:val="22"/>
          <w:szCs w:val="22"/>
          <w:color w:val="auto"/>
        </w:rPr>
        <w:t>. Section 12.5 of the Collaboration Agreement is hereby deleted in its entirety and replaced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w:t>
      </w:r>
    </w:p>
    <w:p>
      <w:pPr>
        <w:spacing w:after="0" w:line="154" w:lineRule="exact"/>
        <w:rPr>
          <w:sz w:val="20"/>
          <w:szCs w:val="20"/>
          <w:color w:val="auto"/>
        </w:rPr>
      </w:pPr>
    </w:p>
    <w:p>
      <w:pPr>
        <w:ind w:left="80"/>
        <w:spacing w:after="0"/>
        <w:tabs>
          <w:tab w:leader="none" w:pos="164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u w:val="single" w:color="auto"/>
          <w:color w:val="auto"/>
        </w:rPr>
        <w:t>Ownership</w:t>
      </w:r>
      <w:r>
        <w:rPr>
          <w:rFonts w:ascii="Times New Roman" w:cs="Times New Roman" w:eastAsia="Times New Roman" w:hAnsi="Times New Roman"/>
          <w:sz w:val="21"/>
          <w:szCs w:val="21"/>
          <w:color w:val="auto"/>
        </w:rPr>
        <w:t>.</w:t>
      </w:r>
    </w:p>
    <w:p>
      <w:pPr>
        <w:spacing w:after="0" w:line="206" w:lineRule="exact"/>
        <w:rPr>
          <w:sz w:val="20"/>
          <w:szCs w:val="20"/>
          <w:color w:val="auto"/>
        </w:rPr>
      </w:pPr>
    </w:p>
    <w:p>
      <w:pPr>
        <w:jc w:val="both"/>
        <w:ind w:left="1720" w:hanging="1450"/>
        <w:spacing w:after="0" w:line="233" w:lineRule="auto"/>
        <w:tabs>
          <w:tab w:leader="none" w:pos="1700" w:val="left"/>
        </w:tabs>
        <w:rPr>
          <w:sz w:val="20"/>
          <w:szCs w:val="20"/>
          <w:color w:val="auto"/>
        </w:rPr>
      </w:pPr>
      <w:r>
        <w:rPr>
          <w:rFonts w:ascii="Times New Roman" w:cs="Times New Roman" w:eastAsia="Times New Roman" w:hAnsi="Times New Roman"/>
          <w:sz w:val="22"/>
          <w:szCs w:val="22"/>
          <w:color w:val="auto"/>
        </w:rPr>
        <w:t>12.5.1</w:t>
      </w:r>
      <w:r>
        <w:rPr>
          <w:sz w:val="20"/>
          <w:szCs w:val="20"/>
          <w:color w:val="auto"/>
        </w:rPr>
        <w:tab/>
      </w:r>
      <w:r>
        <w:rPr>
          <w:rFonts w:ascii="Times New Roman" w:cs="Times New Roman" w:eastAsia="Times New Roman" w:hAnsi="Times New Roman"/>
          <w:sz w:val="22"/>
          <w:szCs w:val="22"/>
          <w:u w:val="single" w:color="auto"/>
          <w:color w:val="auto"/>
        </w:rPr>
        <w:t>Background and Sole IP</w:t>
      </w:r>
      <w:r>
        <w:rPr>
          <w:rFonts w:ascii="Times New Roman" w:cs="Times New Roman" w:eastAsia="Times New Roman" w:hAnsi="Times New Roman"/>
          <w:sz w:val="22"/>
          <w:szCs w:val="22"/>
          <w:color w:val="auto"/>
        </w:rPr>
        <w:t>. As between the Parties, each Party will retain ownership of all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Patents, Know-How and other intellectual property rights that are Controlled by such Party prior to the Effective Date or are otherwise developed by such Party outside of this Agreement (with respect to such Party, its “Bac</w:t>
      </w:r>
      <w:r>
        <w:rPr>
          <w:rFonts w:ascii="Times New Roman" w:cs="Times New Roman" w:eastAsia="Times New Roman" w:hAnsi="Times New Roman"/>
          <w:sz w:val="22"/>
          <w:szCs w:val="22"/>
          <w:b w:val="1"/>
          <w:bCs w:val="1"/>
          <w:color w:val="auto"/>
        </w:rPr>
        <w:t>kground IP</w:t>
      </w:r>
      <w:r>
        <w:rPr>
          <w:rFonts w:ascii="Times New Roman" w:cs="Times New Roman" w:eastAsia="Times New Roman" w:hAnsi="Times New Roman"/>
          <w:sz w:val="22"/>
          <w:szCs w:val="22"/>
          <w:color w:val="auto"/>
        </w:rPr>
        <w:t>”). As between the Parties, and subject to the terms and conditions of this Section 12.5.1 (Background and Sole IP), all Inventions made or created solely by a Party's or any of its Affiliates' employees, independent contractors or consultants, in the course of conducting activities under this Agreement, together with all intellectual property rights therein, will be owned by such Party (“</w:t>
      </w:r>
      <w:r>
        <w:rPr>
          <w:rFonts w:ascii="Times New Roman" w:cs="Times New Roman" w:eastAsia="Times New Roman" w:hAnsi="Times New Roman"/>
          <w:sz w:val="22"/>
          <w:szCs w:val="22"/>
          <w:b w:val="1"/>
          <w:bCs w:val="1"/>
          <w:color w:val="auto"/>
        </w:rPr>
        <w:t>Sole IP</w:t>
      </w:r>
      <w:r>
        <w:rPr>
          <w:rFonts w:ascii="Times New Roman" w:cs="Times New Roman" w:eastAsia="Times New Roman" w:hAnsi="Times New Roman"/>
          <w:sz w:val="22"/>
          <w:szCs w:val="22"/>
          <w:color w:val="auto"/>
        </w:rPr>
        <w:t>”). Any Patent or Know-How covering any derivative or modification of or to a Gilead Target Binder, which derivative or modification (a) was developed by or on behalf of a Party or its Affiliates or jointly by or on behalf of the Parties or their Affiliates under this Agreement and (b) is designed to attach such Gilead Target Binder to a Linker, will be deemed Gilead Background IP (such Patent or Know-How, “</w:t>
      </w:r>
      <w:r>
        <w:rPr>
          <w:rFonts w:ascii="Times New Roman" w:cs="Times New Roman" w:eastAsia="Times New Roman" w:hAnsi="Times New Roman"/>
          <w:sz w:val="22"/>
          <w:szCs w:val="22"/>
          <w:b w:val="1"/>
          <w:bCs w:val="1"/>
          <w:color w:val="auto"/>
        </w:rPr>
        <w:t>Gilead Target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Binder IP</w:t>
      </w:r>
      <w:r>
        <w:rPr>
          <w:rFonts w:ascii="Times New Roman" w:cs="Times New Roman" w:eastAsia="Times New Roman" w:hAnsi="Times New Roman"/>
          <w:sz w:val="22"/>
          <w:szCs w:val="22"/>
          <w:color w:val="auto"/>
        </w:rPr>
        <w:t>”). Nurix hereby assigns to Gilead, and will assign to Gilead, all of Nurix's rights, title and interests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and to any and all Gilead Target Binder IP. In addition, Nurix will promptly disclose to Gilead all Gilead Target Binder IP, and will perform all actions reasonably requested by Gilead to permit and assist Gilead in evidencing, perfecting, obtaining,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0" w:name="page91"/>
    <w:bookmarkEnd w:id="90"/>
    <w:tbl>
      <w:tblPr>
        <w:tblLayout w:type="fixed"/>
        <w:tblInd w:w="280" w:type="dxa"/>
        <w:tblCellMar>
          <w:top w:w="0" w:type="dxa"/>
          <w:left w:w="0" w:type="dxa"/>
          <w:bottom w:w="0" w:type="dxa"/>
          <w:right w:w="0" w:type="dxa"/>
        </w:tblCellMar>
      </w:tblPr>
      <w:tr>
        <w:trPr>
          <w:trHeight w:val="287"/>
        </w:trPr>
        <w:tc>
          <w:tcPr>
            <w:tcW w:w="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tc>
        <w:tc>
          <w:tcPr>
            <w:tcW w:w="0" w:type="dxa"/>
            <w:vAlign w:val="bottom"/>
          </w:tcPr>
          <w:p>
            <w:pPr>
              <w:spacing w:after="0"/>
              <w:rPr>
                <w:sz w:val="1"/>
                <w:szCs w:val="1"/>
                <w:color w:val="auto"/>
              </w:rPr>
            </w:pPr>
          </w:p>
        </w:tc>
      </w:tr>
      <w:tr>
        <w:trPr>
          <w:trHeight w:val="528"/>
        </w:trPr>
        <w:tc>
          <w:tcPr>
            <w:tcW w:w="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maintaining, defending and enforcing Gilead's rights in Gilead Target Binder IP, including</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9980" w:type="dxa"/>
            <w:vAlign w:val="bottom"/>
            <w:gridSpan w:val="4"/>
          </w:tcPr>
          <w:p>
            <w:pPr>
              <w:ind w:left="460"/>
              <w:spacing w:after="0"/>
              <w:rPr>
                <w:sz w:val="20"/>
                <w:szCs w:val="20"/>
                <w:color w:val="auto"/>
              </w:rPr>
            </w:pPr>
            <w:r>
              <w:rPr>
                <w:rFonts w:ascii="Times New Roman" w:cs="Times New Roman" w:eastAsia="Times New Roman" w:hAnsi="Times New Roman"/>
                <w:sz w:val="22"/>
                <w:szCs w:val="22"/>
                <w:color w:val="auto"/>
              </w:rPr>
              <w:t>executing all relevant documents (including written assignments to Gilead).</w:t>
            </w:r>
          </w:p>
        </w:tc>
        <w:tc>
          <w:tcPr>
            <w:tcW w:w="0" w:type="dxa"/>
            <w:vAlign w:val="bottom"/>
          </w:tcPr>
          <w:p>
            <w:pPr>
              <w:spacing w:after="0"/>
              <w:rPr>
                <w:sz w:val="1"/>
                <w:szCs w:val="1"/>
                <w:color w:val="auto"/>
              </w:rPr>
            </w:pPr>
          </w:p>
        </w:tc>
      </w:tr>
      <w:tr>
        <w:trPr>
          <w:trHeight w:val="407"/>
        </w:trPr>
        <w:tc>
          <w:tcPr>
            <w:tcW w:w="9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4"/>
              </w:rPr>
              <w:t>12.5.2</w:t>
            </w:r>
          </w:p>
        </w:tc>
        <w:tc>
          <w:tcPr>
            <w:tcW w:w="1920" w:type="dxa"/>
            <w:vAlign w:val="bottom"/>
          </w:tcPr>
          <w:p>
            <w:pPr>
              <w:spacing w:after="0"/>
              <w:rPr>
                <w:sz w:val="24"/>
                <w:szCs w:val="24"/>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Joint IP. All Inventions made or created jointly by each Party's (or any of its Affiliates')</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contractors or consultants, in the course of conducting activities under this</w:t>
            </w:r>
          </w:p>
        </w:tc>
        <w:tc>
          <w:tcPr>
            <w:tcW w:w="0" w:type="dxa"/>
            <w:vAlign w:val="bottom"/>
          </w:tcPr>
          <w:p>
            <w:pPr>
              <w:spacing w:after="0" w:line="20" w:lineRule="exact"/>
              <w:rPr>
                <w:sz w:val="1"/>
                <w:szCs w:val="1"/>
                <w:color w:val="auto"/>
              </w:rPr>
            </w:pPr>
          </w:p>
        </w:tc>
      </w:tr>
      <w:tr>
        <w:trPr>
          <w:trHeight w:val="232"/>
        </w:trPr>
        <w:tc>
          <w:tcPr>
            <w:tcW w:w="980" w:type="dxa"/>
            <w:vAlign w:val="bottom"/>
          </w:tcPr>
          <w:p>
            <w:pPr>
              <w:spacing w:after="0"/>
              <w:rPr>
                <w:sz w:val="20"/>
                <w:szCs w:val="20"/>
                <w:color w:val="auto"/>
              </w:rPr>
            </w:pPr>
          </w:p>
        </w:tc>
        <w:tc>
          <w:tcPr>
            <w:tcW w:w="2620" w:type="dxa"/>
            <w:vAlign w:val="bottom"/>
            <w:gridSpan w:val="2"/>
          </w:tcPr>
          <w:p>
            <w:pPr>
              <w:ind w:left="460"/>
              <w:spacing w:after="0" w:line="232" w:lineRule="exact"/>
              <w:rPr>
                <w:sz w:val="20"/>
                <w:szCs w:val="20"/>
                <w:color w:val="auto"/>
              </w:rPr>
            </w:pPr>
            <w:r>
              <w:rPr>
                <w:rFonts w:ascii="Times New Roman" w:cs="Times New Roman" w:eastAsia="Times New Roman" w:hAnsi="Times New Roman"/>
                <w:sz w:val="22"/>
                <w:szCs w:val="22"/>
                <w:color w:val="auto"/>
              </w:rPr>
              <w:t>employees, independent</w:t>
            </w:r>
          </w:p>
        </w:tc>
        <w:tc>
          <w:tcPr>
            <w:tcW w:w="73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80" w:type="dxa"/>
            <w:vAlign w:val="bottom"/>
          </w:tcPr>
          <w:p>
            <w:pPr>
              <w:spacing w:after="0"/>
              <w:rPr>
                <w:sz w:val="21"/>
                <w:szCs w:val="21"/>
                <w:color w:val="auto"/>
              </w:rPr>
            </w:pPr>
          </w:p>
        </w:tc>
        <w:tc>
          <w:tcPr>
            <w:tcW w:w="9980" w:type="dxa"/>
            <w:vAlign w:val="bottom"/>
            <w:gridSpan w:val="4"/>
          </w:tcPr>
          <w:p>
            <w:pPr>
              <w:ind w:left="460"/>
              <w:spacing w:after="0" w:line="247" w:lineRule="exact"/>
              <w:rPr>
                <w:sz w:val="20"/>
                <w:szCs w:val="20"/>
                <w:color w:val="auto"/>
              </w:rPr>
            </w:pPr>
            <w:r>
              <w:rPr>
                <w:rFonts w:ascii="Times New Roman" w:cs="Times New Roman" w:eastAsia="Times New Roman" w:hAnsi="Times New Roman"/>
                <w:sz w:val="22"/>
                <w:szCs w:val="22"/>
                <w:color w:val="auto"/>
              </w:rPr>
              <w:t>Agreement, together with all Patents therein, will be jointly owned by the Parties (“</w:t>
            </w:r>
            <w:r>
              <w:rPr>
                <w:rFonts w:ascii="Times New Roman" w:cs="Times New Roman" w:eastAsia="Times New Roman" w:hAnsi="Times New Roman"/>
                <w:sz w:val="22"/>
                <w:szCs w:val="22"/>
                <w:b w:val="1"/>
                <w:bCs w:val="1"/>
                <w:color w:val="auto"/>
              </w:rPr>
              <w:t>Joint IP</w:t>
            </w:r>
            <w:r>
              <w:rPr>
                <w:rFonts w:ascii="Times New Roman" w:cs="Times New Roman" w:eastAsia="Times New Roman" w:hAnsi="Times New Roman"/>
                <w:sz w:val="22"/>
                <w:szCs w:val="22"/>
                <w:color w:val="auto"/>
              </w:rPr>
              <w:t>”). For clarity,</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980" w:type="dxa"/>
            <w:vAlign w:val="bottom"/>
            <w:gridSpan w:val="4"/>
          </w:tcPr>
          <w:p>
            <w:pPr>
              <w:ind w:left="460"/>
              <w:spacing w:after="0" w:line="243" w:lineRule="exact"/>
              <w:rPr>
                <w:sz w:val="20"/>
                <w:szCs w:val="20"/>
                <w:color w:val="auto"/>
              </w:rPr>
            </w:pPr>
            <w:r>
              <w:rPr>
                <w:rFonts w:ascii="Times New Roman" w:cs="Times New Roman" w:eastAsia="Times New Roman" w:hAnsi="Times New Roman"/>
                <w:sz w:val="22"/>
                <w:szCs w:val="22"/>
                <w:color w:val="auto"/>
              </w:rPr>
              <w:t>any  Patent  or  Know-How  covering  any  compound  (including  any  Degrader  Compound)  identified,</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980" w:type="dxa"/>
            <w:vAlign w:val="bottom"/>
            <w:gridSpan w:val="4"/>
          </w:tcPr>
          <w:p>
            <w:pPr>
              <w:ind w:left="460"/>
              <w:spacing w:after="0" w:line="243" w:lineRule="exact"/>
              <w:rPr>
                <w:sz w:val="20"/>
                <w:szCs w:val="20"/>
                <w:color w:val="auto"/>
              </w:rPr>
            </w:pPr>
            <w:r>
              <w:rPr>
                <w:rFonts w:ascii="Times New Roman" w:cs="Times New Roman" w:eastAsia="Times New Roman" w:hAnsi="Times New Roman"/>
                <w:sz w:val="22"/>
                <w:szCs w:val="22"/>
                <w:color w:val="auto"/>
              </w:rPr>
              <w:t>synthesized or Researched under a Research Program, where the Target Binder incorporated in such</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980" w:type="dxa"/>
            <w:vAlign w:val="bottom"/>
            <w:gridSpan w:val="4"/>
          </w:tcPr>
          <w:p>
            <w:pPr>
              <w:ind w:left="460"/>
              <w:spacing w:after="0" w:line="243" w:lineRule="exact"/>
              <w:rPr>
                <w:sz w:val="20"/>
                <w:szCs w:val="20"/>
                <w:color w:val="auto"/>
              </w:rPr>
            </w:pPr>
            <w:r>
              <w:rPr>
                <w:rFonts w:ascii="Times New Roman" w:cs="Times New Roman" w:eastAsia="Times New Roman" w:hAnsi="Times New Roman"/>
                <w:sz w:val="22"/>
                <w:szCs w:val="22"/>
                <w:color w:val="auto"/>
                <w:w w:val="99"/>
              </w:rPr>
              <w:t>compound (including Degrader Compound) is covered by any Patent or Know-How Controlled by Gilead or</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980" w:type="dxa"/>
            <w:vAlign w:val="bottom"/>
            <w:gridSpan w:val="4"/>
          </w:tcPr>
          <w:p>
            <w:pPr>
              <w:ind w:left="460"/>
              <w:spacing w:after="0" w:line="243" w:lineRule="exact"/>
              <w:rPr>
                <w:sz w:val="20"/>
                <w:szCs w:val="20"/>
                <w:color w:val="auto"/>
              </w:rPr>
            </w:pPr>
            <w:r>
              <w:rPr>
                <w:rFonts w:ascii="Times New Roman" w:cs="Times New Roman" w:eastAsia="Times New Roman" w:hAnsi="Times New Roman"/>
                <w:sz w:val="22"/>
                <w:szCs w:val="22"/>
                <w:color w:val="auto"/>
              </w:rPr>
              <w:t>its Affiliates and was contributed by Gilead or its Affiliates, and the Linker incorporated in such compound</w:t>
            </w:r>
          </w:p>
        </w:tc>
        <w:tc>
          <w:tcPr>
            <w:tcW w:w="0" w:type="dxa"/>
            <w:vAlign w:val="bottom"/>
          </w:tcPr>
          <w:p>
            <w:pPr>
              <w:spacing w:after="0"/>
              <w:rPr>
                <w:sz w:val="1"/>
                <w:szCs w:val="1"/>
                <w:color w:val="auto"/>
              </w:rPr>
            </w:pPr>
          </w:p>
        </w:tc>
      </w:tr>
      <w:tr>
        <w:trPr>
          <w:trHeight w:val="239"/>
        </w:trPr>
        <w:tc>
          <w:tcPr>
            <w:tcW w:w="980" w:type="dxa"/>
            <w:vAlign w:val="bottom"/>
          </w:tcPr>
          <w:p>
            <w:pPr>
              <w:spacing w:after="0"/>
              <w:rPr>
                <w:sz w:val="20"/>
                <w:szCs w:val="20"/>
                <w:color w:val="auto"/>
              </w:rPr>
            </w:pPr>
          </w:p>
        </w:tc>
        <w:tc>
          <w:tcPr>
            <w:tcW w:w="9980" w:type="dxa"/>
            <w:vAlign w:val="bottom"/>
            <w:gridSpan w:val="4"/>
          </w:tcPr>
          <w:p>
            <w:pPr>
              <w:ind w:left="460"/>
              <w:spacing w:after="0" w:line="239" w:lineRule="exact"/>
              <w:rPr>
                <w:sz w:val="20"/>
                <w:szCs w:val="20"/>
                <w:color w:val="auto"/>
              </w:rPr>
            </w:pPr>
            <w:r>
              <w:rPr>
                <w:rFonts w:ascii="Times New Roman" w:cs="Times New Roman" w:eastAsia="Times New Roman" w:hAnsi="Times New Roman"/>
                <w:sz w:val="22"/>
                <w:szCs w:val="22"/>
                <w:color w:val="auto"/>
              </w:rPr>
              <w:t>(including Degrader Compound) is Controlled and was contributed by Nurix or one of its Affiliates, will be</w:t>
            </w:r>
          </w:p>
        </w:tc>
        <w:tc>
          <w:tcPr>
            <w:tcW w:w="0" w:type="dxa"/>
            <w:vAlign w:val="bottom"/>
          </w:tcPr>
          <w:p>
            <w:pPr>
              <w:spacing w:after="0"/>
              <w:rPr>
                <w:sz w:val="1"/>
                <w:szCs w:val="1"/>
                <w:color w:val="auto"/>
              </w:rPr>
            </w:pPr>
          </w:p>
        </w:tc>
      </w:tr>
      <w:tr>
        <w:trPr>
          <w:trHeight w:val="247"/>
        </w:trPr>
        <w:tc>
          <w:tcPr>
            <w:tcW w:w="980" w:type="dxa"/>
            <w:vAlign w:val="bottom"/>
          </w:tcPr>
          <w:p>
            <w:pPr>
              <w:spacing w:after="0"/>
              <w:rPr>
                <w:sz w:val="21"/>
                <w:szCs w:val="21"/>
                <w:color w:val="auto"/>
              </w:rPr>
            </w:pPr>
          </w:p>
        </w:tc>
        <w:tc>
          <w:tcPr>
            <w:tcW w:w="9980" w:type="dxa"/>
            <w:vAlign w:val="bottom"/>
            <w:gridSpan w:val="4"/>
          </w:tcPr>
          <w:p>
            <w:pPr>
              <w:ind w:left="460"/>
              <w:spacing w:after="0" w:line="247" w:lineRule="exact"/>
              <w:rPr>
                <w:sz w:val="20"/>
                <w:szCs w:val="20"/>
                <w:color w:val="auto"/>
              </w:rPr>
            </w:pPr>
            <w:r>
              <w:rPr>
                <w:rFonts w:ascii="Times New Roman" w:cs="Times New Roman" w:eastAsia="Times New Roman" w:hAnsi="Times New Roman"/>
                <w:sz w:val="22"/>
                <w:szCs w:val="22"/>
                <w:color w:val="auto"/>
              </w:rPr>
              <w:t>deemed Joint IP (“</w:t>
            </w:r>
            <w:r>
              <w:rPr>
                <w:rFonts w:ascii="Times New Roman" w:cs="Times New Roman" w:eastAsia="Times New Roman" w:hAnsi="Times New Roman"/>
                <w:sz w:val="22"/>
                <w:szCs w:val="22"/>
                <w:b w:val="1"/>
                <w:bCs w:val="1"/>
                <w:color w:val="auto"/>
              </w:rPr>
              <w:t>Combined Degrader Compound IP</w:t>
            </w:r>
            <w:r>
              <w:rPr>
                <w:rFonts w:ascii="Times New Roman" w:cs="Times New Roman" w:eastAsia="Times New Roman" w:hAnsi="Times New Roman"/>
                <w:sz w:val="22"/>
                <w:szCs w:val="22"/>
                <w:color w:val="auto"/>
              </w:rPr>
              <w:t>”). Subject to the terms and conditions of this</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980" w:type="dxa"/>
            <w:vAlign w:val="bottom"/>
            <w:gridSpan w:val="4"/>
          </w:tcPr>
          <w:p>
            <w:pPr>
              <w:ind w:left="460"/>
              <w:spacing w:after="0" w:line="243" w:lineRule="exact"/>
              <w:rPr>
                <w:sz w:val="20"/>
                <w:szCs w:val="20"/>
                <w:color w:val="auto"/>
              </w:rPr>
            </w:pPr>
            <w:r>
              <w:rPr>
                <w:rFonts w:ascii="Times New Roman" w:cs="Times New Roman" w:eastAsia="Times New Roman" w:hAnsi="Times New Roman"/>
                <w:sz w:val="22"/>
                <w:szCs w:val="22"/>
                <w:color w:val="auto"/>
              </w:rPr>
              <w:t>Agreement (including this Article 12), Joint IP will be owned jointly by Gilead and Nurix on the basis of an</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980" w:type="dxa"/>
            <w:vAlign w:val="bottom"/>
            <w:gridSpan w:val="4"/>
          </w:tcPr>
          <w:p>
            <w:pPr>
              <w:ind w:left="460"/>
              <w:spacing w:after="0" w:line="243" w:lineRule="exact"/>
              <w:rPr>
                <w:sz w:val="20"/>
                <w:szCs w:val="20"/>
                <w:color w:val="auto"/>
              </w:rPr>
            </w:pPr>
            <w:r>
              <w:rPr>
                <w:rFonts w:ascii="Times New Roman" w:cs="Times New Roman" w:eastAsia="Times New Roman" w:hAnsi="Times New Roman"/>
                <w:sz w:val="22"/>
                <w:szCs w:val="22"/>
                <w:color w:val="auto"/>
                <w:w w:val="99"/>
              </w:rPr>
              <w:t>equal, undivided interest without a duty to account to the other Party and will be deemed to be Controlled by</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980" w:type="dxa"/>
            <w:vAlign w:val="bottom"/>
            <w:gridSpan w:val="4"/>
          </w:tcPr>
          <w:p>
            <w:pPr>
              <w:ind w:left="460"/>
              <w:spacing w:after="0" w:line="243" w:lineRule="exact"/>
              <w:rPr>
                <w:sz w:val="20"/>
                <w:szCs w:val="20"/>
                <w:color w:val="auto"/>
              </w:rPr>
            </w:pPr>
            <w:r>
              <w:rPr>
                <w:rFonts w:ascii="Times New Roman" w:cs="Times New Roman" w:eastAsia="Times New Roman" w:hAnsi="Times New Roman"/>
                <w:sz w:val="22"/>
                <w:szCs w:val="22"/>
                <w:color w:val="auto"/>
                <w:w w:val="99"/>
              </w:rPr>
              <w:t>each Party, and each Party will have the right to use such Joint IP, or license such Joint IP to its Affiliates or</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980" w:type="dxa"/>
            <w:vAlign w:val="bottom"/>
            <w:gridSpan w:val="4"/>
          </w:tcPr>
          <w:p>
            <w:pPr>
              <w:ind w:left="460"/>
              <w:spacing w:after="0" w:line="243" w:lineRule="exact"/>
              <w:rPr>
                <w:sz w:val="20"/>
                <w:szCs w:val="20"/>
                <w:color w:val="auto"/>
              </w:rPr>
            </w:pPr>
            <w:r>
              <w:rPr>
                <w:rFonts w:ascii="Times New Roman" w:cs="Times New Roman" w:eastAsia="Times New Roman" w:hAnsi="Times New Roman"/>
                <w:sz w:val="22"/>
                <w:szCs w:val="22"/>
                <w:color w:val="auto"/>
              </w:rPr>
              <w:t>any Third Party, or sell or otherwise transfer its interest in such Joint IP to its Affiliates or a Third Party, in</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980" w:type="dxa"/>
            <w:vAlign w:val="bottom"/>
            <w:gridSpan w:val="4"/>
          </w:tcPr>
          <w:p>
            <w:pPr>
              <w:ind w:left="460"/>
              <w:spacing w:after="0" w:line="243" w:lineRule="exact"/>
              <w:rPr>
                <w:sz w:val="20"/>
                <w:szCs w:val="20"/>
                <w:color w:val="auto"/>
              </w:rPr>
            </w:pPr>
            <w:r>
              <w:rPr>
                <w:rFonts w:ascii="Times New Roman" w:cs="Times New Roman" w:eastAsia="Times New Roman" w:hAnsi="Times New Roman"/>
                <w:sz w:val="22"/>
                <w:szCs w:val="22"/>
                <w:color w:val="auto"/>
              </w:rPr>
              <w:t>each case without the consent of the other Party. Notwithstanding the immediately preceding sentence, but</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980" w:type="dxa"/>
            <w:vAlign w:val="bottom"/>
            <w:gridSpan w:val="4"/>
          </w:tcPr>
          <w:p>
            <w:pPr>
              <w:ind w:left="460"/>
              <w:spacing w:after="0" w:line="243" w:lineRule="exact"/>
              <w:rPr>
                <w:sz w:val="20"/>
                <w:szCs w:val="20"/>
                <w:color w:val="auto"/>
              </w:rPr>
            </w:pPr>
            <w:r>
              <w:rPr>
                <w:rFonts w:ascii="Times New Roman" w:cs="Times New Roman" w:eastAsia="Times New Roman" w:hAnsi="Times New Roman"/>
                <w:sz w:val="22"/>
                <w:szCs w:val="22"/>
                <w:color w:val="auto"/>
              </w:rPr>
              <w:t>subject to the remaining terms of this Agreement (including the remaining terms of this Article 12), each</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980" w:type="dxa"/>
            <w:vAlign w:val="bottom"/>
            <w:gridSpan w:val="4"/>
          </w:tcPr>
          <w:p>
            <w:pPr>
              <w:ind w:left="460"/>
              <w:spacing w:after="0" w:line="243" w:lineRule="exact"/>
              <w:rPr>
                <w:sz w:val="20"/>
                <w:szCs w:val="20"/>
                <w:color w:val="auto"/>
              </w:rPr>
            </w:pPr>
            <w:r>
              <w:rPr>
                <w:rFonts w:ascii="Times New Roman" w:cs="Times New Roman" w:eastAsia="Times New Roman" w:hAnsi="Times New Roman"/>
                <w:sz w:val="22"/>
                <w:szCs w:val="22"/>
                <w:color w:val="auto"/>
                <w:w w:val="99"/>
              </w:rPr>
              <w:t>Party will only have the right to use Combined Degrader Compound IP, or license such Combined Degrader</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980" w:type="dxa"/>
            <w:vAlign w:val="bottom"/>
            <w:gridSpan w:val="4"/>
          </w:tcPr>
          <w:p>
            <w:pPr>
              <w:ind w:left="460"/>
              <w:spacing w:after="0" w:line="243" w:lineRule="exact"/>
              <w:rPr>
                <w:sz w:val="20"/>
                <w:szCs w:val="20"/>
                <w:color w:val="auto"/>
              </w:rPr>
            </w:pPr>
            <w:r>
              <w:rPr>
                <w:rFonts w:ascii="Times New Roman" w:cs="Times New Roman" w:eastAsia="Times New Roman" w:hAnsi="Times New Roman"/>
                <w:sz w:val="22"/>
                <w:szCs w:val="22"/>
                <w:color w:val="auto"/>
              </w:rPr>
              <w:t>Compound IP to its Affiliates or any Third Party, or sell or otherwise transfer its interest in such Combined</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980" w:type="dxa"/>
            <w:vAlign w:val="bottom"/>
            <w:gridSpan w:val="4"/>
          </w:tcPr>
          <w:p>
            <w:pPr>
              <w:ind w:left="460"/>
              <w:spacing w:after="0" w:line="243" w:lineRule="exact"/>
              <w:rPr>
                <w:sz w:val="20"/>
                <w:szCs w:val="20"/>
                <w:color w:val="auto"/>
              </w:rPr>
            </w:pPr>
            <w:r>
              <w:rPr>
                <w:rFonts w:ascii="Times New Roman" w:cs="Times New Roman" w:eastAsia="Times New Roman" w:hAnsi="Times New Roman"/>
                <w:sz w:val="22"/>
                <w:szCs w:val="22"/>
                <w:color w:val="auto"/>
                <w:w w:val="99"/>
              </w:rPr>
              <w:t>Degrader Compound IP to its Affiliates or a Third Party, in each case, without the consent of the other Party,</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980" w:type="dxa"/>
            <w:vAlign w:val="bottom"/>
            <w:gridSpan w:val="4"/>
          </w:tcPr>
          <w:p>
            <w:pPr>
              <w:ind w:left="460"/>
              <w:spacing w:after="0" w:line="243" w:lineRule="exact"/>
              <w:rPr>
                <w:sz w:val="20"/>
                <w:szCs w:val="20"/>
                <w:color w:val="auto"/>
              </w:rPr>
            </w:pPr>
            <w:r>
              <w:rPr>
                <w:rFonts w:ascii="Times New Roman" w:cs="Times New Roman" w:eastAsia="Times New Roman" w:hAnsi="Times New Roman"/>
                <w:sz w:val="22"/>
                <w:szCs w:val="22"/>
                <w:color w:val="auto"/>
              </w:rPr>
              <w:t>if and so long as such use, sale, license or transfer is limited to Research activities. If a Party wishes to use</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980" w:type="dxa"/>
            <w:vAlign w:val="bottom"/>
            <w:gridSpan w:val="4"/>
          </w:tcPr>
          <w:p>
            <w:pPr>
              <w:ind w:left="460"/>
              <w:spacing w:after="0" w:line="243" w:lineRule="exact"/>
              <w:rPr>
                <w:sz w:val="20"/>
                <w:szCs w:val="20"/>
                <w:color w:val="auto"/>
              </w:rPr>
            </w:pPr>
            <w:r>
              <w:rPr>
                <w:rFonts w:ascii="Times New Roman" w:cs="Times New Roman" w:eastAsia="Times New Roman" w:hAnsi="Times New Roman"/>
                <w:sz w:val="22"/>
                <w:szCs w:val="22"/>
                <w:color w:val="auto"/>
              </w:rPr>
              <w:t>any Combined Degrader Compound IP in any Development or Commercialization activities on behalf of</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980" w:type="dxa"/>
            <w:vAlign w:val="bottom"/>
            <w:gridSpan w:val="4"/>
          </w:tcPr>
          <w:p>
            <w:pPr>
              <w:ind w:left="460"/>
              <w:spacing w:after="0" w:line="243" w:lineRule="exact"/>
              <w:rPr>
                <w:sz w:val="20"/>
                <w:szCs w:val="20"/>
                <w:color w:val="auto"/>
              </w:rPr>
            </w:pPr>
            <w:r>
              <w:rPr>
                <w:rFonts w:ascii="Times New Roman" w:cs="Times New Roman" w:eastAsia="Times New Roman" w:hAnsi="Times New Roman"/>
                <w:sz w:val="22"/>
                <w:szCs w:val="22"/>
                <w:color w:val="auto"/>
              </w:rPr>
              <w:t>itself, its Affiliates or any Third Party, such Party shall provide written notice to the other Party, and the</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980" w:type="dxa"/>
            <w:vAlign w:val="bottom"/>
            <w:gridSpan w:val="4"/>
          </w:tcPr>
          <w:p>
            <w:pPr>
              <w:ind w:left="460"/>
              <w:spacing w:after="0" w:line="243" w:lineRule="exact"/>
              <w:rPr>
                <w:sz w:val="20"/>
                <w:szCs w:val="20"/>
                <w:color w:val="auto"/>
              </w:rPr>
            </w:pPr>
            <w:r>
              <w:rPr>
                <w:rFonts w:ascii="Times New Roman" w:cs="Times New Roman" w:eastAsia="Times New Roman" w:hAnsi="Times New Roman"/>
                <w:sz w:val="22"/>
                <w:szCs w:val="22"/>
                <w:color w:val="auto"/>
                <w:w w:val="99"/>
              </w:rPr>
              <w:t>Parties will negotiate with one another in good faith for one hundred and eighty (180) days to agree upon the</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980" w:type="dxa"/>
            <w:vAlign w:val="bottom"/>
            <w:gridSpan w:val="4"/>
          </w:tcPr>
          <w:p>
            <w:pPr>
              <w:ind w:left="460"/>
              <w:spacing w:after="0" w:line="243" w:lineRule="exact"/>
              <w:rPr>
                <w:sz w:val="20"/>
                <w:szCs w:val="20"/>
                <w:color w:val="auto"/>
              </w:rPr>
            </w:pPr>
            <w:r>
              <w:rPr>
                <w:rFonts w:ascii="Times New Roman" w:cs="Times New Roman" w:eastAsia="Times New Roman" w:hAnsi="Times New Roman"/>
                <w:sz w:val="22"/>
                <w:szCs w:val="22"/>
                <w:color w:val="auto"/>
                <w:w w:val="98"/>
              </w:rPr>
              <w:t>royalties to be paid to the other Party for use of such Combined Degrader Compound IP in such Development</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980" w:type="dxa"/>
            <w:vAlign w:val="bottom"/>
            <w:gridSpan w:val="4"/>
          </w:tcPr>
          <w:p>
            <w:pPr>
              <w:ind w:left="460"/>
              <w:spacing w:after="0" w:line="243" w:lineRule="exact"/>
              <w:rPr>
                <w:sz w:val="20"/>
                <w:szCs w:val="20"/>
                <w:color w:val="auto"/>
              </w:rPr>
            </w:pPr>
            <w:r>
              <w:rPr>
                <w:rFonts w:ascii="Times New Roman" w:cs="Times New Roman" w:eastAsia="Times New Roman" w:hAnsi="Times New Roman"/>
                <w:sz w:val="22"/>
                <w:szCs w:val="22"/>
                <w:color w:val="auto"/>
                <w:w w:val="99"/>
              </w:rPr>
              <w:t>or Commercialization activities. In the event that the Parties are unable to reach agreement on such royalties</w:t>
            </w: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9980" w:type="dxa"/>
            <w:vAlign w:val="bottom"/>
            <w:gridSpan w:val="4"/>
          </w:tcPr>
          <w:p>
            <w:pPr>
              <w:ind w:left="460"/>
              <w:spacing w:after="0" w:line="243" w:lineRule="exact"/>
              <w:rPr>
                <w:sz w:val="20"/>
                <w:szCs w:val="20"/>
                <w:color w:val="auto"/>
              </w:rPr>
            </w:pPr>
            <w:r>
              <w:rPr>
                <w:rFonts w:ascii="Times New Roman" w:cs="Times New Roman" w:eastAsia="Times New Roman" w:hAnsi="Times New Roman"/>
                <w:sz w:val="22"/>
                <w:szCs w:val="22"/>
                <w:color w:val="auto"/>
              </w:rPr>
              <w:t>within the one hundred and eighty (180) day period as described above, then either Party may submit such</w:t>
            </w:r>
          </w:p>
        </w:tc>
        <w:tc>
          <w:tcPr>
            <w:tcW w:w="0" w:type="dxa"/>
            <w:vAlign w:val="bottom"/>
          </w:tcPr>
          <w:p>
            <w:pPr>
              <w:spacing w:after="0"/>
              <w:rPr>
                <w:sz w:val="1"/>
                <w:szCs w:val="1"/>
                <w:color w:val="auto"/>
              </w:rPr>
            </w:pPr>
          </w:p>
        </w:tc>
      </w:tr>
      <w:tr>
        <w:trPr>
          <w:trHeight w:val="282"/>
        </w:trPr>
        <w:tc>
          <w:tcPr>
            <w:tcW w:w="980" w:type="dxa"/>
            <w:vAlign w:val="bottom"/>
          </w:tcPr>
          <w:p>
            <w:pPr>
              <w:spacing w:after="0"/>
              <w:rPr>
                <w:sz w:val="24"/>
                <w:szCs w:val="24"/>
                <w:color w:val="auto"/>
              </w:rPr>
            </w:pPr>
          </w:p>
        </w:tc>
        <w:tc>
          <w:tcPr>
            <w:tcW w:w="9980" w:type="dxa"/>
            <w:vAlign w:val="bottom"/>
            <w:gridSpan w:val="4"/>
          </w:tcPr>
          <w:p>
            <w:pPr>
              <w:ind w:left="460"/>
              <w:spacing w:after="0"/>
              <w:rPr>
                <w:sz w:val="20"/>
                <w:szCs w:val="20"/>
                <w:color w:val="auto"/>
              </w:rPr>
            </w:pPr>
            <w:r>
              <w:rPr>
                <w:rFonts w:ascii="Times New Roman" w:cs="Times New Roman" w:eastAsia="Times New Roman" w:hAnsi="Times New Roman"/>
                <w:sz w:val="22"/>
                <w:szCs w:val="22"/>
                <w:color w:val="auto"/>
              </w:rPr>
              <w:t>matter to baseball arbitration for resolution in accordance with Section 17.6.3 (Baseball Arbitration).</w:t>
            </w:r>
          </w:p>
        </w:tc>
        <w:tc>
          <w:tcPr>
            <w:tcW w:w="0" w:type="dxa"/>
            <w:vAlign w:val="bottom"/>
          </w:tcPr>
          <w:p>
            <w:pPr>
              <w:spacing w:after="0"/>
              <w:rPr>
                <w:sz w:val="1"/>
                <w:szCs w:val="1"/>
                <w:color w:val="auto"/>
              </w:rPr>
            </w:pPr>
          </w:p>
        </w:tc>
      </w:tr>
      <w:tr>
        <w:trPr>
          <w:trHeight w:val="406"/>
        </w:trPr>
        <w:tc>
          <w:tcPr>
            <w:tcW w:w="9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4"/>
              </w:rPr>
              <w:t>12.5.3</w:t>
            </w:r>
          </w:p>
        </w:tc>
        <w:tc>
          <w:tcPr>
            <w:tcW w:w="1920" w:type="dxa"/>
            <w:vAlign w:val="bottom"/>
          </w:tcPr>
          <w:p>
            <w:pPr>
              <w:spacing w:after="0"/>
              <w:rPr>
                <w:sz w:val="24"/>
                <w:szCs w:val="24"/>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Inventorship. All determinations of inventorship under this Agreement will be made in</w:t>
            </w:r>
          </w:p>
        </w:tc>
        <w:tc>
          <w:tcPr>
            <w:tcW w:w="0" w:type="dxa"/>
            <w:vAlign w:val="bottom"/>
          </w:tcPr>
          <w:p>
            <w:pPr>
              <w:spacing w:after="0"/>
              <w:rPr>
                <w:sz w:val="1"/>
                <w:szCs w:val="1"/>
                <w:color w:val="auto"/>
              </w:rPr>
            </w:pPr>
          </w:p>
        </w:tc>
      </w:tr>
      <w:tr>
        <w:trPr>
          <w:trHeight w:val="276"/>
        </w:trPr>
        <w:tc>
          <w:tcPr>
            <w:tcW w:w="980" w:type="dxa"/>
            <w:vAlign w:val="bottom"/>
          </w:tcPr>
          <w:p>
            <w:pPr>
              <w:spacing w:after="0"/>
              <w:rPr>
                <w:sz w:val="23"/>
                <w:szCs w:val="23"/>
                <w:color w:val="auto"/>
              </w:rPr>
            </w:pPr>
          </w:p>
        </w:tc>
        <w:tc>
          <w:tcPr>
            <w:tcW w:w="19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accordance with</w:t>
            </w: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U.S. patent</w:t>
            </w:r>
          </w:p>
        </w:tc>
        <w:tc>
          <w:tcPr>
            <w:tcW w:w="6960" w:type="dxa"/>
            <w:vAlign w:val="bottom"/>
          </w:tcPr>
          <w:p>
            <w:pPr>
              <w:jc w:val="right"/>
              <w:ind w:right="6575"/>
              <w:spacing w:after="0"/>
              <w:rPr>
                <w:sz w:val="20"/>
                <w:szCs w:val="20"/>
                <w:color w:val="auto"/>
              </w:rPr>
            </w:pPr>
            <w:r>
              <w:rPr>
                <w:rFonts w:ascii="Times New Roman" w:cs="Times New Roman" w:eastAsia="Times New Roman" w:hAnsi="Times New Roman"/>
                <w:sz w:val="21"/>
                <w:szCs w:val="21"/>
                <w:color w:val="auto"/>
                <w:w w:val="72"/>
              </w:rPr>
              <w:t>law.</w:t>
            </w:r>
          </w:p>
        </w:tc>
        <w:tc>
          <w:tcPr>
            <w:tcW w:w="0" w:type="dxa"/>
            <w:vAlign w:val="bottom"/>
          </w:tcPr>
          <w:p>
            <w:pPr>
              <w:spacing w:after="0"/>
              <w:rPr>
                <w:sz w:val="1"/>
                <w:szCs w:val="1"/>
                <w:color w:val="auto"/>
              </w:rPr>
            </w:pPr>
          </w:p>
        </w:tc>
      </w:tr>
    </w:tbl>
    <w:p>
      <w:pPr>
        <w:spacing w:after="0" w:line="172" w:lineRule="exact"/>
        <w:rPr>
          <w:sz w:val="20"/>
          <w:szCs w:val="20"/>
          <w:color w:val="auto"/>
        </w:rPr>
      </w:pPr>
    </w:p>
    <w:p>
      <w:pPr>
        <w:ind w:firstLine="8"/>
        <w:spacing w:after="0" w:line="262" w:lineRule="auto"/>
        <w:tabs>
          <w:tab w:leader="none" w:pos="81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Except as expressly set fo1th herein, the Collaboration Agreement shall continue in full force and effect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modified or amended, is hereby ratified, confirmed and approved.</w:t>
      </w:r>
    </w:p>
    <w:p>
      <w:pPr>
        <w:spacing w:after="0" w:line="15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Notwithstanding the foregoing, in the event of any conflict between the terms of this First Amendment and the terms of the Collaboration Agreement, the terms of this First Amendment shall control. No provision of this First Amendment may be modified or amended except expressly in a writing signed by both Parties nor shall any terms be waived except expressly in a writing signed by the Party charged therewith. This First Amendment shall be governed in accordance with the laws of the State of California, without giving effect to any choice of law rules. This First Amendment may be executed in counterparts with the same effect as if both Parties had signed the same document.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 Signature Page Follows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1" w:name="page92"/>
    <w:bookmarkEnd w:id="91"/>
    <w:p>
      <w:pPr>
        <w:ind w:firstLine="864"/>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and intending to be legally bound hereby, the Parties have entered into this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to be executed by their respective duly authorized officers as of the First Amendment Effective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3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NURIX THERAPEUTICS, INC.</w:t>
            </w:r>
          </w:p>
        </w:tc>
        <w:tc>
          <w:tcPr>
            <w:tcW w:w="5020" w:type="dxa"/>
            <w:vAlign w:val="bottom"/>
            <w:gridSpan w:val="3"/>
          </w:tcPr>
          <w:p>
            <w:pPr>
              <w:ind w:left="1300"/>
              <w:spacing w:after="0"/>
              <w:rPr>
                <w:sz w:val="20"/>
                <w:szCs w:val="20"/>
                <w:color w:val="auto"/>
              </w:rPr>
            </w:pPr>
            <w:r>
              <w:rPr>
                <w:rFonts w:ascii="Times New Roman" w:cs="Times New Roman" w:eastAsia="Times New Roman" w:hAnsi="Times New Roman"/>
                <w:sz w:val="22"/>
                <w:szCs w:val="22"/>
                <w:b w:val="1"/>
                <w:bCs w:val="1"/>
                <w:color w:val="auto"/>
              </w:rPr>
              <w:t>GILEAD SCIENCES, INC.</w:t>
            </w:r>
          </w:p>
        </w:tc>
      </w:tr>
      <w:tr>
        <w:trPr>
          <w:trHeight w:val="838"/>
        </w:trPr>
        <w:tc>
          <w:tcPr>
            <w:tcW w:w="4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/s/ Pierre Beaurang_______</w:t>
            </w:r>
          </w:p>
        </w:tc>
        <w:tc>
          <w:tcPr>
            <w:tcW w:w="5020" w:type="dxa"/>
            <w:vAlign w:val="bottom"/>
            <w:gridSpan w:val="3"/>
          </w:tcPr>
          <w:p>
            <w:pPr>
              <w:ind w:left="1300"/>
              <w:spacing w:after="0"/>
              <w:rPr>
                <w:sz w:val="20"/>
                <w:szCs w:val="20"/>
                <w:color w:val="auto"/>
              </w:rPr>
            </w:pPr>
            <w:r>
              <w:rPr>
                <w:rFonts w:ascii="Times New Roman" w:cs="Times New Roman" w:eastAsia="Times New Roman" w:hAnsi="Times New Roman"/>
                <w:sz w:val="22"/>
                <w:szCs w:val="22"/>
                <w:color w:val="auto"/>
              </w:rPr>
              <w:t>By: /s/ Muhieddine Makkouk______</w:t>
            </w:r>
          </w:p>
        </w:tc>
      </w:tr>
      <w:tr>
        <w:trPr>
          <w:trHeight w:val="20"/>
        </w:trPr>
        <w:tc>
          <w:tcPr>
            <w:tcW w:w="38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92"/>
        </w:trPr>
        <w:tc>
          <w:tcPr>
            <w:tcW w:w="4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Name:Pierre Beaurang</w:t>
            </w:r>
          </w:p>
        </w:tc>
        <w:tc>
          <w:tcPr>
            <w:tcW w:w="5020" w:type="dxa"/>
            <w:vAlign w:val="bottom"/>
            <w:gridSpan w:val="3"/>
          </w:tcPr>
          <w:p>
            <w:pPr>
              <w:ind w:left="1300"/>
              <w:spacing w:after="0"/>
              <w:rPr>
                <w:sz w:val="20"/>
                <w:szCs w:val="20"/>
                <w:color w:val="auto"/>
              </w:rPr>
            </w:pPr>
            <w:r>
              <w:rPr>
                <w:rFonts w:ascii="Times New Roman" w:cs="Times New Roman" w:eastAsia="Times New Roman" w:hAnsi="Times New Roman"/>
                <w:sz w:val="22"/>
                <w:szCs w:val="22"/>
                <w:color w:val="auto"/>
              </w:rPr>
              <w:t>Name:Muhieddine Makkouk</w:t>
            </w:r>
          </w:p>
        </w:tc>
      </w:tr>
      <w:tr>
        <w:trPr>
          <w:trHeight w:val="459"/>
        </w:trPr>
        <w:tc>
          <w:tcPr>
            <w:tcW w:w="43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Title:Chief Business Officer</w:t>
            </w:r>
          </w:p>
        </w:tc>
        <w:tc>
          <w:tcPr>
            <w:tcW w:w="5020" w:type="dxa"/>
            <w:vAlign w:val="bottom"/>
            <w:gridSpan w:val="3"/>
          </w:tcPr>
          <w:p>
            <w:pPr>
              <w:ind w:left="1300"/>
              <w:spacing w:after="0"/>
              <w:rPr>
                <w:sz w:val="20"/>
                <w:szCs w:val="20"/>
                <w:color w:val="auto"/>
              </w:rPr>
            </w:pPr>
            <w:r>
              <w:rPr>
                <w:rFonts w:ascii="Times New Roman" w:cs="Times New Roman" w:eastAsia="Times New Roman" w:hAnsi="Times New Roman"/>
                <w:sz w:val="22"/>
                <w:szCs w:val="22"/>
                <w:color w:val="auto"/>
                <w:w w:val="96"/>
              </w:rPr>
              <w:t>Title:VP, Alliance Management &amp; Strategy</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12126"/>
        </w:rPr>
        <w:t>Signature Page to First Amendment to Collaboration, Option and License Agreement</w:t>
      </w:r>
    </w:p>
    <w:p>
      <w:pPr>
        <w:sectPr>
          <w:pgSz w:w="11900" w:h="16838" w:orient="portrait"/>
          <w:cols w:equalWidth="0" w:num="1">
            <w:col w:w="11220"/>
          </w:cols>
          <w:pgMar w:left="320" w:top="864" w:right="35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SECOND AMENDMENT TO COLLABORATION, OPTION AND LICENSE AGREEMENT</w:t>
      </w:r>
    </w:p>
    <w:p>
      <w:pPr>
        <w:spacing w:after="0" w:line="243" w:lineRule="exact"/>
        <w:rPr>
          <w:sz w:val="20"/>
          <w:szCs w:val="20"/>
          <w:color w:val="auto"/>
        </w:rPr>
      </w:pPr>
    </w:p>
    <w:p>
      <w:pPr>
        <w:ind w:right="20" w:firstLine="864"/>
        <w:spacing w:after="0" w:line="256" w:lineRule="auto"/>
        <w:rPr>
          <w:sz w:val="20"/>
          <w:szCs w:val="20"/>
          <w:color w:val="auto"/>
        </w:rPr>
      </w:pPr>
      <w:r>
        <w:rPr>
          <w:rFonts w:ascii="Times New Roman" w:cs="Times New Roman" w:eastAsia="Times New Roman" w:hAnsi="Times New Roman"/>
          <w:sz w:val="20"/>
          <w:szCs w:val="20"/>
          <w:color w:val="auto"/>
        </w:rPr>
        <w:t>This Second Amendment to Collaboration, Option and License Agreement (this “</w:t>
      </w:r>
      <w:r>
        <w:rPr>
          <w:rFonts w:ascii="Times New Roman" w:cs="Times New Roman" w:eastAsia="Times New Roman" w:hAnsi="Times New Roman"/>
          <w:sz w:val="20"/>
          <w:szCs w:val="20"/>
          <w:b w:val="1"/>
          <w:bCs w:val="1"/>
          <w:color w:val="auto"/>
        </w:rPr>
        <w:t>Second Amendment</w:t>
      </w:r>
      <w:r>
        <w:rPr>
          <w:rFonts w:ascii="Times New Roman" w:cs="Times New Roman" w:eastAsia="Times New Roman" w:hAnsi="Times New Roman"/>
          <w:sz w:val="20"/>
          <w:szCs w:val="20"/>
          <w:color w:val="auto"/>
        </w:rPr>
        <w:t>”), dated September 9, 2022 (the “</w:t>
      </w:r>
      <w:r>
        <w:rPr>
          <w:rFonts w:ascii="Times New Roman" w:cs="Times New Roman" w:eastAsia="Times New Roman" w:hAnsi="Times New Roman"/>
          <w:sz w:val="20"/>
          <w:szCs w:val="20"/>
          <w:b w:val="1"/>
          <w:bCs w:val="1"/>
          <w:color w:val="auto"/>
        </w:rPr>
        <w:t>Second Amendment Effective Date</w:t>
      </w:r>
      <w:r>
        <w:rPr>
          <w:rFonts w:ascii="Times New Roman" w:cs="Times New Roman" w:eastAsia="Times New Roman" w:hAnsi="Times New Roman"/>
          <w:sz w:val="20"/>
          <w:szCs w:val="20"/>
          <w:color w:val="auto"/>
        </w:rPr>
        <w:t>”), is by and between Nurix Therapeutics, Inc., a Delaware corporation (“</w:t>
      </w:r>
      <w:r>
        <w:rPr>
          <w:rFonts w:ascii="Times New Roman" w:cs="Times New Roman" w:eastAsia="Times New Roman" w:hAnsi="Times New Roman"/>
          <w:sz w:val="20"/>
          <w:szCs w:val="20"/>
          <w:b w:val="1"/>
          <w:bCs w:val="1"/>
          <w:color w:val="auto"/>
        </w:rPr>
        <w:t>Nurix</w:t>
      </w:r>
      <w:r>
        <w:rPr>
          <w:rFonts w:ascii="Times New Roman" w:cs="Times New Roman" w:eastAsia="Times New Roman" w:hAnsi="Times New Roman"/>
          <w:sz w:val="20"/>
          <w:szCs w:val="20"/>
          <w:color w:val="auto"/>
        </w:rPr>
        <w:t>”) and Gilead Sciences, Inc., a Delaware corporation (“</w:t>
      </w:r>
      <w:r>
        <w:rPr>
          <w:rFonts w:ascii="Times New Roman" w:cs="Times New Roman" w:eastAsia="Times New Roman" w:hAnsi="Times New Roman"/>
          <w:sz w:val="20"/>
          <w:szCs w:val="20"/>
          <w:b w:val="1"/>
          <w:bCs w:val="1"/>
          <w:color w:val="auto"/>
        </w:rPr>
        <w:t>Gilead</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43" w:lineRule="exact"/>
        <w:rPr>
          <w:sz w:val="20"/>
          <w:szCs w:val="20"/>
          <w:color w:val="auto"/>
        </w:rPr>
      </w:pPr>
    </w:p>
    <w:p>
      <w:pPr>
        <w:ind w:right="220"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Gilead and Nurix are parties to that certain Collaboration, Option and License Agreement, dated June 10, 2019,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 by that certain First Amendment dated August 13, 2019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and</w:t>
      </w:r>
    </w:p>
    <w:p>
      <w:pPr>
        <w:spacing w:after="0" w:line="179" w:lineRule="exact"/>
        <w:rPr>
          <w:sz w:val="20"/>
          <w:szCs w:val="20"/>
          <w:color w:val="auto"/>
        </w:rPr>
      </w:pPr>
    </w:p>
    <w:p>
      <w:pPr>
        <w:ind w:right="900" w:firstLine="864"/>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Parties wish to amend the Agreement to clarify certain provisions in Section 1 of Schedule 11.6, all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terms set forth in this Second Amendment.</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for good and valuable consideration, the receipt and sufficiency of which is hereby acknowledged,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Parties agree as follows: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47" w:lineRule="exact"/>
        <w:rPr>
          <w:sz w:val="20"/>
          <w:szCs w:val="20"/>
          <w:color w:val="auto"/>
        </w:rPr>
      </w:pPr>
    </w:p>
    <w:p>
      <w:pPr>
        <w:ind w:left="860" w:hanging="852"/>
        <w:spacing w:after="0"/>
        <w:tabs>
          <w:tab w:leader="none" w:pos="8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All capitalized terms used herein shall have the respective meanings assigned to them in the Agreement.</w:t>
      </w:r>
    </w:p>
    <w:p>
      <w:pPr>
        <w:spacing w:after="0" w:line="242" w:lineRule="exact"/>
        <w:rPr>
          <w:rFonts w:ascii="Times New Roman" w:cs="Times New Roman" w:eastAsia="Times New Roman" w:hAnsi="Times New Roman"/>
          <w:sz w:val="20"/>
          <w:szCs w:val="20"/>
          <w:color w:val="auto"/>
        </w:rPr>
      </w:pPr>
    </w:p>
    <w:p>
      <w:pPr>
        <w:ind w:left="860" w:right="540" w:hanging="852"/>
        <w:spacing w:after="0" w:line="269" w:lineRule="auto"/>
        <w:tabs>
          <w:tab w:leader="none" w:pos="8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11.6</w:t>
      </w:r>
      <w:r>
        <w:rPr>
          <w:rFonts w:ascii="Times New Roman" w:cs="Times New Roman" w:eastAsia="Times New Roman" w:hAnsi="Times New Roman"/>
          <w:sz w:val="20"/>
          <w:szCs w:val="20"/>
          <w:color w:val="auto"/>
        </w:rPr>
        <w:t>. Schedule 11.6 to the Agreement is hereby deleted in its entirety and replaced with the Schedule 11.6 attached hereto.</w:t>
      </w:r>
    </w:p>
    <w:p>
      <w:pPr>
        <w:spacing w:after="0" w:line="186" w:lineRule="exact"/>
        <w:rPr>
          <w:rFonts w:ascii="Times New Roman" w:cs="Times New Roman" w:eastAsia="Times New Roman" w:hAnsi="Times New Roman"/>
          <w:sz w:val="20"/>
          <w:szCs w:val="20"/>
          <w:color w:val="auto"/>
        </w:rPr>
      </w:pPr>
    </w:p>
    <w:p>
      <w:pPr>
        <w:ind w:left="860" w:right="40" w:hanging="852"/>
        <w:spacing w:after="0" w:line="244" w:lineRule="auto"/>
        <w:tabs>
          <w:tab w:leader="none" w:pos="8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Except as expressly set forth herein, the Agreement shall continue in full force and effect and, as modified or amended, is hereby ratified, confirmed and approved. Notwithstanding the foregoing, in the event of any conflict between the terms of this Second Amendment and the terms of the Agreement, the terms of this Second Amendment shall control. No provision of this Second Amendment may be modified or amended except expressly in a writing signed by both Parties nor shall any terms be waived except expressly in a writing signed by the Party charged therewith. This Second Amendment shall be governed in accordance with the laws of the State of California, without giving effect to any choice of law rules. This Second Amendment may be executed in counterparts with the same effect as if both Parties had signed the same document.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3" w:name="page94"/>
    <w:bookmarkEnd w:id="93"/>
    <w:p>
      <w:pPr>
        <w:ind w:right="540" w:firstLine="864"/>
        <w:spacing w:after="0" w:line="269" w:lineRule="auto"/>
        <w:rPr>
          <w:sz w:val="20"/>
          <w:szCs w:val="20"/>
          <w:color w:val="auto"/>
        </w:rPr>
      </w:pPr>
      <w:r>
        <w:rPr>
          <w:rFonts w:ascii="Times New Roman" w:cs="Times New Roman" w:eastAsia="Times New Roman" w:hAnsi="Times New Roman"/>
          <w:sz w:val="20"/>
          <w:szCs w:val="20"/>
          <w:color w:val="auto"/>
        </w:rPr>
        <w:t>IN WITNESS WHEREOF, the Parties, intending to be bound, have caused this Second Amendment to be duly executed and delivered by their respective authorized representatives as of the Second Amendment Effective Date.</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34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G</w:t>
            </w:r>
            <w:r>
              <w:rPr>
                <w:rFonts w:ascii="Times New Roman" w:cs="Times New Roman" w:eastAsia="Times New Roman" w:hAnsi="Times New Roman"/>
                <w:sz w:val="13"/>
                <w:szCs w:val="13"/>
                <w:b w:val="1"/>
                <w:bCs w:val="1"/>
                <w:color w:val="auto"/>
              </w:rPr>
              <w:t>ilead</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3"/>
                <w:szCs w:val="13"/>
                <w:b w:val="1"/>
                <w:bCs w:val="1"/>
                <w:color w:val="auto"/>
              </w:rPr>
              <w:t>ciences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tc>
        <w:tc>
          <w:tcPr>
            <w:tcW w:w="6920" w:type="dxa"/>
            <w:vAlign w:val="bottom"/>
            <w:gridSpan w:val="6"/>
          </w:tcPr>
          <w:p>
            <w:pPr>
              <w:ind w:left="1280"/>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3"/>
                <w:szCs w:val="13"/>
                <w:b w:val="1"/>
                <w:bCs w:val="1"/>
                <w:color w:val="auto"/>
              </w:rPr>
              <w:t>urix</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3"/>
                <w:szCs w:val="13"/>
                <w:b w:val="1"/>
                <w:bCs w:val="1"/>
                <w:color w:val="auto"/>
              </w:rPr>
              <w:t>herapeutics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tc>
      </w:tr>
      <w:tr>
        <w:trPr>
          <w:trHeight w:val="399"/>
        </w:trPr>
        <w:tc>
          <w:tcPr>
            <w:tcW w:w="43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By: /s/ Mary McGrath</w:t>
            </w:r>
          </w:p>
        </w:tc>
        <w:tc>
          <w:tcPr>
            <w:tcW w:w="6920" w:type="dxa"/>
            <w:vAlign w:val="bottom"/>
            <w:gridSpan w:val="6"/>
          </w:tcPr>
          <w:p>
            <w:pPr>
              <w:ind w:left="1280"/>
              <w:spacing w:after="0"/>
              <w:rPr>
                <w:sz w:val="20"/>
                <w:szCs w:val="20"/>
                <w:color w:val="auto"/>
              </w:rPr>
            </w:pPr>
            <w:r>
              <w:rPr>
                <w:rFonts w:ascii="Times New Roman" w:cs="Times New Roman" w:eastAsia="Times New Roman" w:hAnsi="Times New Roman"/>
                <w:sz w:val="20"/>
                <w:szCs w:val="20"/>
                <w:color w:val="auto"/>
              </w:rPr>
              <w:t>By: /s/ Christine Ring</w:t>
            </w:r>
          </w:p>
        </w:tc>
      </w:tr>
      <w:tr>
        <w:trPr>
          <w:trHeight w:val="20"/>
        </w:trPr>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426"/>
        </w:trPr>
        <w:tc>
          <w:tcPr>
            <w:tcW w:w="43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Name: Mary McGrath</w:t>
            </w:r>
          </w:p>
        </w:tc>
        <w:tc>
          <w:tcPr>
            <w:tcW w:w="6920" w:type="dxa"/>
            <w:vAlign w:val="bottom"/>
            <w:gridSpan w:val="6"/>
          </w:tcPr>
          <w:p>
            <w:pPr>
              <w:ind w:left="1280"/>
              <w:spacing w:after="0"/>
              <w:rPr>
                <w:sz w:val="20"/>
                <w:szCs w:val="20"/>
                <w:color w:val="auto"/>
              </w:rPr>
            </w:pPr>
            <w:r>
              <w:rPr>
                <w:rFonts w:ascii="Times New Roman" w:cs="Times New Roman" w:eastAsia="Times New Roman" w:hAnsi="Times New Roman"/>
                <w:sz w:val="20"/>
                <w:szCs w:val="20"/>
                <w:color w:val="auto"/>
              </w:rPr>
              <w:t>Name: Christine Ring</w:t>
            </w:r>
          </w:p>
        </w:tc>
      </w:tr>
      <w:tr>
        <w:trPr>
          <w:trHeight w:val="20"/>
        </w:trPr>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425"/>
        </w:trPr>
        <w:tc>
          <w:tcPr>
            <w:tcW w:w="434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Title: Vice President, Research, SB&amp;C</w:t>
            </w:r>
          </w:p>
        </w:tc>
        <w:tc>
          <w:tcPr>
            <w:tcW w:w="6920" w:type="dxa"/>
            <w:vAlign w:val="bottom"/>
            <w:gridSpan w:val="6"/>
          </w:tcPr>
          <w:p>
            <w:pPr>
              <w:ind w:left="1280"/>
              <w:spacing w:after="0"/>
              <w:rPr>
                <w:sz w:val="20"/>
                <w:szCs w:val="20"/>
                <w:color w:val="auto"/>
              </w:rPr>
            </w:pPr>
            <w:r>
              <w:rPr>
                <w:rFonts w:ascii="Times New Roman" w:cs="Times New Roman" w:eastAsia="Times New Roman" w:hAnsi="Times New Roman"/>
                <w:sz w:val="20"/>
                <w:szCs w:val="20"/>
                <w:color w:val="auto"/>
              </w:rPr>
              <w:t>Title: General Counsel</w:t>
            </w:r>
          </w:p>
        </w:tc>
      </w:tr>
      <w:tr>
        <w:trPr>
          <w:trHeight w:val="1256"/>
        </w:trPr>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200" w:type="dxa"/>
            <w:vAlign w:val="bottom"/>
            <w:tcBorders>
              <w:top w:val="single" w:sz="8" w:color="auto"/>
              <w:bottom w:val="single" w:sz="8" w:color="9A9A9A"/>
            </w:tcBorders>
          </w:tcPr>
          <w:p>
            <w:pPr>
              <w:spacing w:after="0"/>
              <w:rPr>
                <w:sz w:val="24"/>
                <w:szCs w:val="24"/>
                <w:color w:val="auto"/>
              </w:rPr>
            </w:pPr>
          </w:p>
        </w:tc>
        <w:tc>
          <w:tcPr>
            <w:tcW w:w="1300" w:type="dxa"/>
            <w:vAlign w:val="bottom"/>
            <w:tcBorders>
              <w:top w:val="single" w:sz="8" w:color="auto"/>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1160" w:type="dxa"/>
            <w:vAlign w:val="bottom"/>
            <w:tcBorders>
              <w:top w:val="single" w:sz="8" w:color="auto"/>
              <w:bottom w:val="single" w:sz="8" w:color="9A9A9A"/>
            </w:tcBorders>
          </w:tcPr>
          <w:p>
            <w:pPr>
              <w:spacing w:after="0"/>
              <w:rPr>
                <w:sz w:val="24"/>
                <w:szCs w:val="24"/>
                <w:color w:val="auto"/>
              </w:rPr>
            </w:pPr>
          </w:p>
        </w:tc>
        <w:tc>
          <w:tcPr>
            <w:tcW w:w="60" w:type="dxa"/>
            <w:vAlign w:val="bottom"/>
            <w:tcBorders>
              <w:top w:val="single" w:sz="8" w:color="auto"/>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89" w:right="319" w:bottom="1440" w:gutter="0" w:footer="0" w:header="0"/>
        </w:sectPr>
      </w:pPr>
    </w:p>
    <w:bookmarkStart w:id="94" w:name="page95"/>
    <w:bookmarkEnd w:id="94"/>
    <w:p>
      <w:pPr>
        <w:jc w:val="center"/>
        <w:spacing w:after="0"/>
        <w:rPr>
          <w:sz w:val="20"/>
          <w:szCs w:val="20"/>
          <w:color w:val="auto"/>
        </w:rPr>
      </w:pPr>
      <w:r>
        <w:rPr>
          <w:rFonts w:ascii="Arial" w:cs="Arial" w:eastAsia="Arial" w:hAnsi="Arial"/>
          <w:sz w:val="20"/>
          <w:szCs w:val="20"/>
          <w:b w:val="1"/>
          <w:bCs w:val="1"/>
          <w:u w:val="single" w:color="auto"/>
          <w:color w:val="auto"/>
        </w:rPr>
        <w:t>Schedule 11.6</w:t>
      </w:r>
    </w:p>
    <w:p>
      <w:pPr>
        <w:spacing w:after="0" w:line="237" w:lineRule="exact"/>
        <w:rPr>
          <w:sz w:val="20"/>
          <w:szCs w:val="20"/>
          <w:color w:val="auto"/>
        </w:rPr>
      </w:pPr>
    </w:p>
    <w:p>
      <w:pPr>
        <w:jc w:val="center"/>
        <w:ind w:right="79"/>
        <w:spacing w:after="0"/>
        <w:rPr>
          <w:sz w:val="20"/>
          <w:szCs w:val="20"/>
          <w:color w:val="auto"/>
        </w:rPr>
      </w:pPr>
      <w:r>
        <w:rPr>
          <w:rFonts w:ascii="Calibri" w:cs="Calibri" w:eastAsia="Calibri" w:hAnsi="Calibri"/>
          <w:sz w:val="21"/>
          <w:szCs w:val="21"/>
          <w:b w:val="1"/>
          <w:bCs w:val="1"/>
          <w:color w:val="auto"/>
        </w:rPr>
        <w:t>Criteria for Pre-Clinical Milestone Events</w:t>
      </w:r>
    </w:p>
    <w:p>
      <w:pPr>
        <w:sectPr>
          <w:pgSz w:w="11900" w:h="16838" w:orient="portrait"/>
          <w:cols w:equalWidth="0" w:num="1">
            <w:col w:w="9019"/>
          </w:cols>
          <w:pgMar w:left="1440" w:top="588" w:right="1440" w:bottom="1440" w:gutter="0" w:footer="0" w:header="0"/>
        </w:sectPr>
      </w:pPr>
    </w:p>
    <w:bookmarkStart w:id="95" w:name="page96"/>
    <w:bookmarkEnd w:id="95"/>
    <w:p>
      <w:pPr>
        <w:ind w:left="10120"/>
        <w:spacing w:after="0"/>
        <w:rPr>
          <w:sz w:val="20"/>
          <w:szCs w:val="20"/>
          <w:color w:val="auto"/>
        </w:rPr>
      </w:pPr>
      <w:r>
        <w:rPr>
          <w:rFonts w:ascii="Times New Roman" w:cs="Times New Roman" w:eastAsia="Times New Roman" w:hAnsi="Times New Roman"/>
          <w:sz w:val="21"/>
          <w:szCs w:val="21"/>
          <w:b w:val="1"/>
          <w:bCs w:val="1"/>
          <w:color w:val="auto"/>
        </w:rPr>
        <w:t>Exhibit 10.4</w:t>
      </w:r>
    </w:p>
    <w:p>
      <w:pPr>
        <w:spacing w:after="0" w:line="240"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CONTAINED IN THIS DOCUMENT, MARKED BY [*], HAS BEEN OMITTED BECAUSE IT IS NOT MATERIAL AND IS THE TYPE OF INFORMATION THE REGISTRANT TREATS AS PRIVATE OR CONFIDENTIAL.</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 TO COLLABORATION AND LICENSE AGREEMENT</w:t>
      </w:r>
    </w:p>
    <w:p>
      <w:pPr>
        <w:spacing w:after="0" w:line="216" w:lineRule="exact"/>
        <w:rPr>
          <w:sz w:val="20"/>
          <w:szCs w:val="20"/>
          <w:color w:val="auto"/>
        </w:rPr>
      </w:pPr>
    </w:p>
    <w:p>
      <w:pPr>
        <w:jc w:val="both"/>
        <w:ind w:firstLine="864"/>
        <w:spacing w:after="0" w:line="251" w:lineRule="auto"/>
        <w:rPr>
          <w:sz w:val="20"/>
          <w:szCs w:val="20"/>
          <w:color w:val="auto"/>
        </w:rPr>
      </w:pPr>
      <w:r>
        <w:rPr>
          <w:rFonts w:ascii="Times New Roman" w:cs="Times New Roman" w:eastAsia="Times New Roman" w:hAnsi="Times New Roman"/>
          <w:sz w:val="21"/>
          <w:szCs w:val="21"/>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21"/>
          <w:szCs w:val="21"/>
          <w:b w:val="1"/>
          <w:bCs w:val="1"/>
          <w:color w:val="auto"/>
        </w:rPr>
        <w:t xml:space="preserve"> S</w:t>
      </w:r>
      <w:r>
        <w:rPr>
          <w:rFonts w:ascii="Times New Roman" w:cs="Times New Roman" w:eastAsia="Times New Roman" w:hAnsi="Times New Roman"/>
          <w:sz w:val="14"/>
          <w:szCs w:val="14"/>
          <w:b w:val="1"/>
          <w:bCs w:val="1"/>
          <w:color w:val="auto"/>
        </w:rPr>
        <w:t>econd</w:t>
      </w:r>
      <w:r>
        <w:rPr>
          <w:rFonts w:ascii="Times New Roman" w:cs="Times New Roman" w:eastAsia="Times New Roman" w:hAnsi="Times New Roman"/>
          <w:sz w:val="21"/>
          <w:szCs w:val="21"/>
          <w:b w:val="1"/>
          <w:bCs w:val="1"/>
          <w:color w:val="auto"/>
        </w:rPr>
        <w:t xml:space="preserve"> A</w:t>
      </w:r>
      <w:r>
        <w:rPr>
          <w:rFonts w:ascii="Times New Roman" w:cs="Times New Roman" w:eastAsia="Times New Roman" w:hAnsi="Times New Roman"/>
          <w:sz w:val="14"/>
          <w:szCs w:val="14"/>
          <w:b w:val="1"/>
          <w:bCs w:val="1"/>
          <w:color w:val="auto"/>
        </w:rPr>
        <w:t>mendment to</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4"/>
          <w:szCs w:val="14"/>
          <w:b w:val="1"/>
          <w:bCs w:val="1"/>
          <w:color w:val="auto"/>
        </w:rPr>
        <w:t>ollaboration and</w:t>
      </w:r>
      <w:r>
        <w:rPr>
          <w:rFonts w:ascii="Times New Roman" w:cs="Times New Roman" w:eastAsia="Times New Roman" w:hAnsi="Times New Roman"/>
          <w:sz w:val="21"/>
          <w:szCs w:val="21"/>
          <w:b w:val="1"/>
          <w:bCs w:val="1"/>
          <w:color w:val="auto"/>
        </w:rPr>
        <w:t xml:space="preserve"> L</w:t>
      </w:r>
      <w:r>
        <w:rPr>
          <w:rFonts w:ascii="Times New Roman" w:cs="Times New Roman" w:eastAsia="Times New Roman" w:hAnsi="Times New Roman"/>
          <w:sz w:val="14"/>
          <w:szCs w:val="14"/>
          <w:b w:val="1"/>
          <w:bCs w:val="1"/>
          <w:color w:val="auto"/>
        </w:rPr>
        <w:t>icense</w:t>
      </w:r>
      <w:r>
        <w:rPr>
          <w:rFonts w:ascii="Times New Roman" w:cs="Times New Roman" w:eastAsia="Times New Roman" w:hAnsi="Times New Roman"/>
          <w:sz w:val="21"/>
          <w:szCs w:val="21"/>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is entered into as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December 16, 2021 (the “</w:t>
      </w:r>
      <w:r>
        <w:rPr>
          <w:rFonts w:ascii="Times New Roman" w:cs="Times New Roman" w:eastAsia="Times New Roman" w:hAnsi="Times New Roman"/>
          <w:sz w:val="21"/>
          <w:szCs w:val="21"/>
          <w:b w:val="1"/>
          <w:bCs w:val="1"/>
          <w:color w:val="auto"/>
        </w:rPr>
        <w:t>Amendment Date</w:t>
      </w:r>
      <w:r>
        <w:rPr>
          <w:rFonts w:ascii="Times New Roman" w:cs="Times New Roman" w:eastAsia="Times New Roman" w:hAnsi="Times New Roman"/>
          <w:sz w:val="21"/>
          <w:szCs w:val="21"/>
          <w:color w:val="auto"/>
        </w:rPr>
        <w:t>”) by and between Genzyme Corporation, a Massachusetts corporation (“</w:t>
      </w:r>
      <w:r>
        <w:rPr>
          <w:rFonts w:ascii="Times New Roman" w:cs="Times New Roman" w:eastAsia="Times New Roman" w:hAnsi="Times New Roman"/>
          <w:sz w:val="21"/>
          <w:szCs w:val="21"/>
          <w:b w:val="1"/>
          <w:bCs w:val="1"/>
          <w:color w:val="auto"/>
        </w:rPr>
        <w:t>Sanofi</w:t>
      </w:r>
      <w:r>
        <w:rPr>
          <w:rFonts w:ascii="Times New Roman" w:cs="Times New Roman" w:eastAsia="Times New Roman" w:hAnsi="Times New Roman"/>
          <w:sz w:val="21"/>
          <w:szCs w:val="21"/>
          <w:color w:val="auto"/>
        </w:rPr>
        <w:t>”), and Nurix Therapeutics, Inc., a Delaware corporation (“</w:t>
      </w:r>
      <w:r>
        <w:rPr>
          <w:rFonts w:ascii="Times New Roman" w:cs="Times New Roman" w:eastAsia="Times New Roman" w:hAnsi="Times New Roman"/>
          <w:sz w:val="21"/>
          <w:szCs w:val="21"/>
          <w:b w:val="1"/>
          <w:bCs w:val="1"/>
          <w:color w:val="auto"/>
        </w:rPr>
        <w:t>Nurix</w:t>
      </w:r>
      <w:r>
        <w:rPr>
          <w:rFonts w:ascii="Times New Roman" w:cs="Times New Roman" w:eastAsia="Times New Roman" w:hAnsi="Times New Roman"/>
          <w:sz w:val="21"/>
          <w:szCs w:val="21"/>
          <w:color w:val="auto"/>
        </w:rPr>
        <w:t>”). Sanofi and Nurix are each referred to herein by name or, individually, as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or, collectively,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w:t>
      </w:r>
      <w:r>
        <w:rPr>
          <w:rFonts w:ascii="Times New Roman" w:cs="Times New Roman" w:eastAsia="Times New Roman" w:hAnsi="Times New Roman"/>
          <w:sz w:val="14"/>
          <w:szCs w:val="14"/>
          <w:b w:val="1"/>
          <w:bCs w:val="1"/>
          <w:color w:val="auto"/>
        </w:rPr>
        <w:t>ecitals</w:t>
      </w:r>
    </w:p>
    <w:p>
      <w:pPr>
        <w:spacing w:after="0" w:line="218"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1"/>
          <w:szCs w:val="21"/>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1"/>
          <w:szCs w:val="21"/>
          <w:color w:val="auto"/>
        </w:rPr>
        <w:t>, the Parties entered into that certain Collaboration and License Agreement (as amended by the First Amendment,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dated December 19, 2019, and that certain First Amendment to Collaboration and License Agreement, dated January 6, 2021 (the “</w:t>
      </w:r>
      <w:r>
        <w:rPr>
          <w:rFonts w:ascii="Times New Roman" w:cs="Times New Roman" w:eastAsia="Times New Roman" w:hAnsi="Times New Roman"/>
          <w:sz w:val="21"/>
          <w:szCs w:val="21"/>
          <w:b w:val="1"/>
          <w:bCs w:val="1"/>
          <w:color w:val="auto"/>
        </w:rPr>
        <w:t>First Amendment</w:t>
      </w:r>
      <w:r>
        <w:rPr>
          <w:rFonts w:ascii="Times New Roman" w:cs="Times New Roman" w:eastAsia="Times New Roman" w:hAnsi="Times New Roman"/>
          <w:sz w:val="21"/>
          <w:szCs w:val="21"/>
          <w:color w:val="auto"/>
        </w:rPr>
        <w:t>”); and</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W</w:t>
      </w:r>
      <w:r>
        <w:rPr>
          <w:rFonts w:ascii="Times New Roman" w:cs="Times New Roman" w:eastAsia="Times New Roman" w:hAnsi="Times New Roman"/>
          <w:sz w:val="14"/>
          <w:szCs w:val="14"/>
          <w:b w:val="1"/>
          <w:bCs w:val="1"/>
          <w:color w:val="auto"/>
        </w:rPr>
        <w:t>hereas</w:t>
      </w:r>
      <w:r>
        <w:rPr>
          <w:rFonts w:ascii="Times New Roman" w:cs="Times New Roman" w:eastAsia="Times New Roman" w:hAnsi="Times New Roman"/>
          <w:sz w:val="21"/>
          <w:szCs w:val="21"/>
          <w:color w:val="auto"/>
        </w:rPr>
        <w:t>, the Parties wish to amend the Agreement to modify certain terms and conditions thereof as further described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herein.</w:t>
      </w:r>
    </w:p>
    <w:p>
      <w:pPr>
        <w:spacing w:after="0" w:line="192"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21"/>
          <w:szCs w:val="21"/>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1"/>
          <w:szCs w:val="21"/>
          <w:b w:val="1"/>
          <w:bCs w:val="1"/>
          <w:color w:val="auto"/>
        </w:rPr>
        <w:t xml:space="preserve">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1"/>
          <w:szCs w:val="21"/>
          <w:color w:val="auto"/>
        </w:rPr>
        <w:t>, in consideration of the foregoing premises and the mutual promises, covenants and conditions contained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this Amendment, in accordance with Section 18.5 of the Agreement, the Parties agree as follows:</w:t>
      </w:r>
    </w:p>
    <w:p>
      <w:pPr>
        <w:spacing w:after="0" w:line="155" w:lineRule="exact"/>
        <w:rPr>
          <w:sz w:val="20"/>
          <w:szCs w:val="20"/>
          <w:color w:val="auto"/>
        </w:rPr>
      </w:pPr>
    </w:p>
    <w:p>
      <w:pPr>
        <w:ind w:firstLine="872"/>
        <w:spacing w:after="0" w:line="272" w:lineRule="auto"/>
        <w:tabs>
          <w:tab w:leader="none" w:pos="166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Defined Terms</w:t>
      </w:r>
      <w:r>
        <w:rPr>
          <w:rFonts w:ascii="Times New Roman" w:cs="Times New Roman" w:eastAsia="Times New Roman" w:hAnsi="Times New Roman"/>
          <w:sz w:val="21"/>
          <w:szCs w:val="21"/>
          <w:color w:val="auto"/>
        </w:rPr>
        <w:t>. As used in this Amendment, capitalized terms, whether used in the singular or plural form,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capitalized but not defined herein shall have the meanings ascribed to such terms in the Agreement.</w:t>
      </w:r>
    </w:p>
    <w:p>
      <w:pPr>
        <w:spacing w:after="0" w:line="154" w:lineRule="exact"/>
        <w:rPr>
          <w:rFonts w:ascii="Times New Roman" w:cs="Times New Roman" w:eastAsia="Times New Roman" w:hAnsi="Times New Roman"/>
          <w:sz w:val="20"/>
          <w:szCs w:val="20"/>
          <w:b w:val="1"/>
          <w:bCs w:val="1"/>
          <w:color w:val="auto"/>
        </w:rPr>
      </w:pPr>
    </w:p>
    <w:p>
      <w:pPr>
        <w:ind w:left="1660" w:hanging="788"/>
        <w:spacing w:after="0"/>
        <w:tabs>
          <w:tab w:leader="none" w:pos="166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Amendments.</w:t>
      </w:r>
    </w:p>
    <w:p>
      <w:pPr>
        <w:spacing w:after="0" w:line="220" w:lineRule="exact"/>
        <w:rPr>
          <w:sz w:val="20"/>
          <w:szCs w:val="20"/>
          <w:color w:val="auto"/>
        </w:rPr>
      </w:pPr>
    </w:p>
    <w:p>
      <w:pPr>
        <w:ind w:left="2620" w:hanging="885"/>
        <w:spacing w:after="0"/>
        <w:tabs>
          <w:tab w:leader="none" w:pos="262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Section 2.2.3 of the Agreement is hereby deleted in its entirety and replaced with the following:</w:t>
      </w:r>
    </w:p>
    <w:p>
      <w:pPr>
        <w:spacing w:after="0" w:line="218" w:lineRule="exact"/>
        <w:rPr>
          <w:sz w:val="20"/>
          <w:szCs w:val="20"/>
          <w:color w:val="auto"/>
        </w:rPr>
      </w:pPr>
    </w:p>
    <w:p>
      <w:pPr>
        <w:jc w:val="both"/>
        <w:ind w:left="880" w:firstLine="797"/>
        <w:spacing w:after="0" w:line="244" w:lineRule="auto"/>
        <w:rPr>
          <w:sz w:val="20"/>
          <w:szCs w:val="20"/>
          <w:color w:val="auto"/>
        </w:rPr>
      </w:pPr>
      <w:r>
        <w:rPr>
          <w:rFonts w:ascii="Times New Roman" w:cs="Times New Roman" w:eastAsia="Times New Roman" w:hAnsi="Times New Roman"/>
          <w:sz w:val="21"/>
          <w:szCs w:val="21"/>
          <w:color w:val="auto"/>
        </w:rPr>
        <w:t xml:space="preserve">2.2.3 </w:t>
      </w:r>
      <w:r>
        <w:rPr>
          <w:rFonts w:ascii="Times New Roman" w:cs="Times New Roman" w:eastAsia="Times New Roman" w:hAnsi="Times New Roman"/>
          <w:sz w:val="21"/>
          <w:szCs w:val="21"/>
          <w:u w:val="single" w:color="auto"/>
          <w:color w:val="auto"/>
        </w:rPr>
        <w:t>Collaboration Target Substitution Right</w:t>
      </w:r>
      <w:r>
        <w:rPr>
          <w:rFonts w:ascii="Times New Roman" w:cs="Times New Roman" w:eastAsia="Times New Roman" w:hAnsi="Times New Roman"/>
          <w:sz w:val="21"/>
          <w:szCs w:val="21"/>
          <w:color w:val="auto"/>
        </w:rPr>
        <w:t>. On a Collaboration Target-by-Collaboration Target basis, during the period of time beginning on the first day of the Collaboration Target Research Term for such Collaboration Target and [*] (such time period the “</w:t>
      </w:r>
      <w:r>
        <w:rPr>
          <w:rFonts w:ascii="Times New Roman" w:cs="Times New Roman" w:eastAsia="Times New Roman" w:hAnsi="Times New Roman"/>
          <w:sz w:val="21"/>
          <w:szCs w:val="21"/>
          <w:b w:val="1"/>
          <w:bCs w:val="1"/>
          <w:color w:val="auto"/>
        </w:rPr>
        <w:t>Collaboration Target Substitution Period</w:t>
      </w:r>
      <w:r>
        <w:rPr>
          <w:rFonts w:ascii="Times New Roman" w:cs="Times New Roman" w:eastAsia="Times New Roman" w:hAnsi="Times New Roman"/>
          <w:sz w:val="21"/>
          <w:szCs w:val="21"/>
          <w:color w:val="auto"/>
        </w:rPr>
        <w:t>”), Sanofi shall have the right, for any reason and at no cost to Sanofi, to substitute such Collaboration Target (a) for a Reserved Target upon delivery of written notice to Nurix’s Alliance Manager prior to the expiration of the applicable Collaboration Target Substitution Period, or (b) subject to Section 2.4 (Proposed Targets), for an Available Target (collectively, the “</w:t>
      </w:r>
      <w:r>
        <w:rPr>
          <w:rFonts w:ascii="Times New Roman" w:cs="Times New Roman" w:eastAsia="Times New Roman" w:hAnsi="Times New Roman"/>
          <w:sz w:val="21"/>
          <w:szCs w:val="21"/>
          <w:b w:val="1"/>
          <w:bCs w:val="1"/>
          <w:color w:val="auto"/>
        </w:rPr>
        <w:t>Collaboration Target Substitution Right</w:t>
      </w:r>
      <w:r>
        <w:rPr>
          <w:rFonts w:ascii="Times New Roman" w:cs="Times New Roman" w:eastAsia="Times New Roman" w:hAnsi="Times New Roman"/>
          <w:sz w:val="21"/>
          <w:szCs w:val="21"/>
          <w:color w:val="auto"/>
        </w:rPr>
        <w:t>”) (each such Collaboration Target that is replaced by a Reserved Target or Available Target thereafter a “</w:t>
      </w:r>
      <w:r>
        <w:rPr>
          <w:rFonts w:ascii="Times New Roman" w:cs="Times New Roman" w:eastAsia="Times New Roman" w:hAnsi="Times New Roman"/>
          <w:sz w:val="21"/>
          <w:szCs w:val="21"/>
          <w:b w:val="1"/>
          <w:bCs w:val="1"/>
          <w:color w:val="auto"/>
        </w:rPr>
        <w:t>Replaced Collaboration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Target</w:t>
      </w:r>
      <w:r>
        <w:rPr>
          <w:rFonts w:ascii="Times New Roman" w:cs="Times New Roman" w:eastAsia="Times New Roman" w:hAnsi="Times New Roman"/>
          <w:sz w:val="21"/>
          <w:szCs w:val="21"/>
          <w:color w:val="auto"/>
        </w:rPr>
        <w:t>” and each such new Collaboration Target that is substituted for the Replaced Collaboration Target, a “</w:t>
      </w:r>
      <w:r>
        <w:rPr>
          <w:rFonts w:ascii="Times New Roman" w:cs="Times New Roman" w:eastAsia="Times New Roman" w:hAnsi="Times New Roman"/>
          <w:sz w:val="21"/>
          <w:szCs w:val="21"/>
          <w:b w:val="1"/>
          <w:bCs w:val="1"/>
          <w:color w:val="auto"/>
        </w:rPr>
        <w:t>Substituted Collaboration Target</w:t>
      </w:r>
      <w:r>
        <w:rPr>
          <w:rFonts w:ascii="Times New Roman" w:cs="Times New Roman" w:eastAsia="Times New Roman" w:hAnsi="Times New Roman"/>
          <w:sz w:val="21"/>
          <w:szCs w:val="21"/>
          <w:color w:val="auto"/>
        </w:rPr>
        <w:t>”), provided, however, that (x) there will in no event be more than five (5) Collaboration Targets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96" w:name="page97"/>
    <w:bookmarkEnd w:id="96"/>
    <w:p>
      <w:pPr>
        <w:jc w:val="both"/>
        <w:ind w:left="880"/>
        <w:spacing w:after="0" w:line="251" w:lineRule="auto"/>
        <w:rPr>
          <w:sz w:val="20"/>
          <w:szCs w:val="20"/>
          <w:color w:val="auto"/>
        </w:rPr>
      </w:pPr>
      <w:r>
        <w:rPr>
          <w:rFonts w:ascii="Times New Roman" w:cs="Times New Roman" w:eastAsia="Times New Roman" w:hAnsi="Times New Roman"/>
          <w:sz w:val="21"/>
          <w:szCs w:val="21"/>
          <w:color w:val="auto"/>
        </w:rPr>
        <w:t>under this Agreement at any time during the Research Term, (y) at any given time during the Research Term, there will be no more than five (5) Research Programs with Collaboration Targets then ongoing, and (z) Sanofi shall only have the right to exercise its Collaboration Target Substitution Right [*] per Collaboration Target for [*], after which Sanofi shall no longer have the right to exercise its Collaboration Target Substitution Right.</w:t>
      </w:r>
    </w:p>
    <w:p>
      <w:pPr>
        <w:spacing w:after="0" w:line="178" w:lineRule="exact"/>
        <w:rPr>
          <w:sz w:val="20"/>
          <w:szCs w:val="20"/>
          <w:color w:val="auto"/>
        </w:rPr>
      </w:pPr>
    </w:p>
    <w:p>
      <w:pPr>
        <w:ind w:left="2620" w:hanging="885"/>
        <w:spacing w:after="0"/>
        <w:tabs>
          <w:tab w:leader="none" w:pos="262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Section 2.10.1 of the Agreement is hereby deleted in its entirety and replaced with the following:</w:t>
      </w:r>
    </w:p>
    <w:p>
      <w:pPr>
        <w:spacing w:after="0" w:line="218" w:lineRule="exact"/>
        <w:rPr>
          <w:sz w:val="20"/>
          <w:szCs w:val="20"/>
          <w:color w:val="auto"/>
        </w:rPr>
      </w:pPr>
    </w:p>
    <w:p>
      <w:pPr>
        <w:jc w:val="both"/>
        <w:ind w:left="980" w:firstLine="690"/>
        <w:spacing w:after="0" w:line="255" w:lineRule="auto"/>
        <w:rPr>
          <w:sz w:val="20"/>
          <w:szCs w:val="20"/>
          <w:color w:val="auto"/>
        </w:rPr>
      </w:pPr>
      <w:r>
        <w:rPr>
          <w:rFonts w:ascii="Times New Roman" w:cs="Times New Roman" w:eastAsia="Times New Roman" w:hAnsi="Times New Roman"/>
          <w:sz w:val="20"/>
          <w:szCs w:val="20"/>
          <w:color w:val="auto"/>
        </w:rPr>
        <w:t xml:space="preserve">2.10.1 </w:t>
      </w:r>
      <w:r>
        <w:rPr>
          <w:rFonts w:ascii="Times New Roman" w:cs="Times New Roman" w:eastAsia="Times New Roman" w:hAnsi="Times New Roman"/>
          <w:sz w:val="20"/>
          <w:szCs w:val="20"/>
          <w:u w:val="single" w:color="auto"/>
          <w:color w:val="auto"/>
        </w:rPr>
        <w:t>Target Exclusivity</w:t>
      </w:r>
      <w:r>
        <w:rPr>
          <w:rFonts w:ascii="Times New Roman" w:cs="Times New Roman" w:eastAsia="Times New Roman" w:hAnsi="Times New Roman"/>
          <w:sz w:val="20"/>
          <w:szCs w:val="20"/>
          <w:color w:val="auto"/>
        </w:rPr>
        <w:t>. Nurix will not conduct, and will cause its Affiliates to not conduct, by itself or themselves, or in collaboration with or on behalf of any Third Party, any Research, Development, Manufacture or Commercialization activities with respect to (a) any Collaboration Target for the period of time [*] applicable to such Collaboration Target, including such activities with respect to any compound Directed To such Collaboration Target alone or together with any other Target(s), (b) any Replaced Collaboration Target, any Collaboration Target terminated by Sanofi pursuant to ARTICLE 17 (Term and Termination), or any other Collaboration Target for which a License Term Extension does not occur within the License Extension Fee Timeframe, for a period of [*] after the date Sanofi has exercised its Collaboration Target Substitution Right with respect to any such Replaced Collaboration Target, the effective date of any such termination by Sanofi, or the last day of the License Extension Fee Timeframe (in each case as applicable), including such activities with respect to any compound Directed To such Target alone or together with any other Target(s), and (c) any Reserved Target during the Research Term, including such activities with respect to any compound Directed To such Target alone or together with any other Target(s) (each such time period a “</w:t>
      </w:r>
      <w:r>
        <w:rPr>
          <w:rFonts w:ascii="Times New Roman" w:cs="Times New Roman" w:eastAsia="Times New Roman" w:hAnsi="Times New Roman"/>
          <w:sz w:val="20"/>
          <w:szCs w:val="20"/>
          <w:b w:val="1"/>
          <w:bCs w:val="1"/>
          <w:color w:val="auto"/>
        </w:rPr>
        <w:t>Target Exclusivity Period</w:t>
      </w:r>
      <w:r>
        <w:rPr>
          <w:rFonts w:ascii="Times New Roman" w:cs="Times New Roman" w:eastAsia="Times New Roman" w:hAnsi="Times New Roman"/>
          <w:sz w:val="20"/>
          <w:szCs w:val="20"/>
          <w:color w:val="auto"/>
        </w:rPr>
        <w:t>”), in each case (a),</w:t>
      </w:r>
    </w:p>
    <w:p>
      <w:pPr>
        <w:spacing w:after="0" w:line="8" w:lineRule="exact"/>
        <w:rPr>
          <w:sz w:val="20"/>
          <w:szCs w:val="20"/>
          <w:color w:val="auto"/>
        </w:rPr>
      </w:pPr>
    </w:p>
    <w:p>
      <w:pPr>
        <w:jc w:val="both"/>
        <w:ind w:left="980" w:hanging="1"/>
        <w:spacing w:after="0" w:line="243" w:lineRule="auto"/>
        <w:tabs>
          <w:tab w:leader="none" w:pos="1283"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(c) other than such Research activities expressly contemplated herein. Notwithstanding anything to the contrary in this Agreement, including the foregoing clause (b), if Sanofi exercises its Collaboration Target Substitution Right to replace [*], then the Target Exclusivity Period with respect to [*], as applicable, shall be a period of [*] after the date Sanofi has exercised its Collaboration Target Substitution Right with respect to such Target and not [*].</w:t>
      </w:r>
    </w:p>
    <w:p>
      <w:pPr>
        <w:spacing w:after="0" w:line="184" w:lineRule="exact"/>
        <w:rPr>
          <w:rFonts w:ascii="Times New Roman" w:cs="Times New Roman" w:eastAsia="Times New Roman" w:hAnsi="Times New Roman"/>
          <w:sz w:val="21"/>
          <w:szCs w:val="21"/>
          <w:color w:val="auto"/>
        </w:rPr>
      </w:pPr>
    </w:p>
    <w:p>
      <w:pPr>
        <w:ind w:left="1660" w:hanging="788"/>
        <w:spacing w:after="0"/>
        <w:tabs>
          <w:tab w:leader="none" w:pos="166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Miscellaneous</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0"/>
          <w:szCs w:val="20"/>
          <w:b w:val="1"/>
          <w:bCs w:val="1"/>
          <w:color w:val="auto"/>
        </w:rPr>
      </w:pPr>
    </w:p>
    <w:p>
      <w:pPr>
        <w:jc w:val="both"/>
        <w:ind w:firstLine="1735"/>
        <w:spacing w:after="0" w:line="251" w:lineRule="auto"/>
        <w:tabs>
          <w:tab w:leader="none" w:pos="2606" w:val="left"/>
        </w:tabs>
        <w:numPr>
          <w:ilvl w:val="2"/>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 xml:space="preserve">No Other Amendments. </w:t>
      </w:r>
      <w:r>
        <w:rPr>
          <w:rFonts w:ascii="Times New Roman" w:cs="Times New Roman" w:eastAsia="Times New Roman" w:hAnsi="Times New Roman"/>
          <w:sz w:val="21"/>
          <w:szCs w:val="21"/>
          <w:color w:val="auto"/>
        </w:rPr>
        <w:t>This Amendment shall be deemed to be a part of and incorporated into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In the event of a conflict between this Amendment and the Agreement, this Amendment shall control. Except as expressly set forth in this Amendment, all of the terms and conditions of the Agreement shall remain unchanged and are ratified and confirmed in all respects and remain in full force and effect.</w:t>
      </w:r>
    </w:p>
    <w:p>
      <w:pPr>
        <w:spacing w:after="0" w:line="177" w:lineRule="exact"/>
        <w:rPr>
          <w:rFonts w:ascii="Times New Roman" w:cs="Times New Roman" w:eastAsia="Times New Roman" w:hAnsi="Times New Roman"/>
          <w:sz w:val="20"/>
          <w:szCs w:val="20"/>
          <w:b w:val="1"/>
          <w:bCs w:val="1"/>
          <w:color w:val="auto"/>
        </w:rPr>
      </w:pPr>
    </w:p>
    <w:p>
      <w:pPr>
        <w:jc w:val="both"/>
        <w:ind w:firstLine="1735"/>
        <w:spacing w:after="0" w:line="256" w:lineRule="auto"/>
        <w:tabs>
          <w:tab w:leader="none" w:pos="2617" w:val="left"/>
        </w:tabs>
        <w:numPr>
          <w:ilvl w:val="2"/>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Entire Agreement</w:t>
      </w:r>
      <w:r>
        <w:rPr>
          <w:rFonts w:ascii="Times New Roman" w:cs="Times New Roman" w:eastAsia="Times New Roman" w:hAnsi="Times New Roman"/>
          <w:sz w:val="21"/>
          <w:szCs w:val="21"/>
          <w:color w:val="auto"/>
        </w:rPr>
        <w:t>. This Amendment, together with the Agreement and any exhibits or attachments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thereto, contains the entire agreement by the Parties with respect to the subject matter hereof, and any reference to the Agreement shall refer to the Agreement, as amended by this Amendment.</w:t>
      </w:r>
    </w:p>
    <w:p>
      <w:pPr>
        <w:spacing w:after="0" w:line="172" w:lineRule="exact"/>
        <w:rPr>
          <w:rFonts w:ascii="Times New Roman" w:cs="Times New Roman" w:eastAsia="Times New Roman" w:hAnsi="Times New Roman"/>
          <w:sz w:val="20"/>
          <w:szCs w:val="20"/>
          <w:b w:val="1"/>
          <w:bCs w:val="1"/>
          <w:color w:val="auto"/>
        </w:rPr>
      </w:pPr>
    </w:p>
    <w:p>
      <w:pPr>
        <w:jc w:val="both"/>
        <w:ind w:firstLine="1735"/>
        <w:spacing w:after="0" w:line="251" w:lineRule="auto"/>
        <w:tabs>
          <w:tab w:leader="none" w:pos="2595" w:val="left"/>
        </w:tabs>
        <w:numPr>
          <w:ilvl w:val="2"/>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Counterparts</w:t>
      </w:r>
      <w:r>
        <w:rPr>
          <w:rFonts w:ascii="Times New Roman" w:cs="Times New Roman" w:eastAsia="Times New Roman" w:hAnsi="Times New Roman"/>
          <w:sz w:val="21"/>
          <w:szCs w:val="21"/>
          <w:color w:val="auto"/>
        </w:rPr>
        <w:t>. This Amendment may be executed in counterparts with the same effect as if both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had signed the same document. All such counterparts will be deemed an original, will be construed together and will constitute one and the same instrument. Any such counterpart, to the extent delivered by Electronic Delivery, will be treated in all manner and respects as an original executed counterpart and will be considered to have the same binding legal effect as if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361315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7" w:name="page98"/>
    <w:bookmarkEnd w:id="97"/>
    <w:p>
      <w:pPr>
        <w:jc w:val="both"/>
        <w:spacing w:after="0" w:line="251" w:lineRule="auto"/>
        <w:rPr>
          <w:sz w:val="20"/>
          <w:szCs w:val="20"/>
          <w:color w:val="auto"/>
        </w:rPr>
      </w:pPr>
      <w:r>
        <w:rPr>
          <w:rFonts w:ascii="Times New Roman" w:cs="Times New Roman" w:eastAsia="Times New Roman" w:hAnsi="Times New Roman"/>
          <w:sz w:val="21"/>
          <w:szCs w:val="21"/>
          <w:color w:val="auto"/>
        </w:rPr>
        <w:t>it were the original signed version thereof delivered in person. No Party will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w:t>
      </w:r>
    </w:p>
    <w:p>
      <w:pPr>
        <w:spacing w:after="0" w:line="176" w:lineRule="exact"/>
        <w:rPr>
          <w:sz w:val="20"/>
          <w:szCs w:val="20"/>
          <w:color w:val="auto"/>
        </w:rPr>
      </w:pPr>
    </w:p>
    <w:p>
      <w:pPr>
        <w:ind w:right="20" w:firstLine="1735"/>
        <w:spacing w:after="0" w:line="297" w:lineRule="auto"/>
        <w:tabs>
          <w:tab w:leader="none" w:pos="2617" w:val="left"/>
        </w:tabs>
        <w:numPr>
          <w:ilvl w:val="0"/>
          <w:numId w:val="6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 xml:space="preserve">Choice of Law. </w:t>
      </w:r>
      <w:r>
        <w:rPr>
          <w:rFonts w:ascii="Times New Roman" w:cs="Times New Roman" w:eastAsia="Times New Roman" w:hAnsi="Times New Roman"/>
          <w:sz w:val="20"/>
          <w:szCs w:val="20"/>
          <w:color w:val="auto"/>
        </w:rPr>
        <w:t>This Amendment and any Dispute arising from the performance or breach hereof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governed by and interpreted in accordance with the laws of the State of New York, without giving effect to any choice of law rules.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361315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8" w:name="page99"/>
    <w:bookmarkEnd w:id="98"/>
    <w:p>
      <w:pPr>
        <w:ind w:firstLine="864"/>
        <w:spacing w:after="0" w:line="272" w:lineRule="auto"/>
        <w:rPr>
          <w:sz w:val="20"/>
          <w:szCs w:val="20"/>
          <w:color w:val="auto"/>
        </w:rPr>
      </w:pPr>
      <w:r>
        <w:rPr>
          <w:rFonts w:ascii="Times New Roman" w:cs="Times New Roman" w:eastAsia="Times New Roman" w:hAnsi="Times New Roman"/>
          <w:sz w:val="21"/>
          <w:szCs w:val="21"/>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1"/>
          <w:szCs w:val="21"/>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1"/>
          <w:szCs w:val="21"/>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intending to be legally bound hereby, the Parties have caused this Amendment to be executed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their respective duly authorized representatives as of the Amendment Date.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600" w:type="dxa"/>
            <w:vAlign w:val="bottom"/>
            <w:gridSpan w:val="5"/>
          </w:tcPr>
          <w:p>
            <w:pPr>
              <w:spacing w:after="0"/>
              <w:rPr>
                <w:sz w:val="20"/>
                <w:szCs w:val="20"/>
                <w:color w:val="auto"/>
              </w:rPr>
            </w:pPr>
            <w:r>
              <w:rPr>
                <w:rFonts w:ascii="Times New Roman" w:cs="Times New Roman" w:eastAsia="Times New Roman" w:hAnsi="Times New Roman"/>
                <w:sz w:val="21"/>
                <w:szCs w:val="21"/>
                <w:b w:val="1"/>
                <w:bCs w:val="1"/>
                <w:color w:val="auto"/>
              </w:rPr>
              <w:t>NURIX THERAPEUTICS, INC.</w:t>
            </w:r>
          </w:p>
        </w:tc>
        <w:tc>
          <w:tcPr>
            <w:tcW w:w="3400" w:type="dxa"/>
            <w:vAlign w:val="bottom"/>
            <w:gridSpan w:val="6"/>
          </w:tcPr>
          <w:p>
            <w:pPr>
              <w:ind w:left="720"/>
              <w:spacing w:after="0"/>
              <w:rPr>
                <w:sz w:val="20"/>
                <w:szCs w:val="20"/>
                <w:color w:val="auto"/>
              </w:rPr>
            </w:pPr>
            <w:r>
              <w:rPr>
                <w:rFonts w:ascii="Times New Roman" w:cs="Times New Roman" w:eastAsia="Times New Roman" w:hAnsi="Times New Roman"/>
                <w:sz w:val="21"/>
                <w:szCs w:val="21"/>
                <w:b w:val="1"/>
                <w:bCs w:val="1"/>
                <w:color w:val="auto"/>
                <w:w w:val="97"/>
              </w:rPr>
              <w:t>GENZYME CORPORATION</w:t>
            </w:r>
          </w:p>
        </w:tc>
      </w:tr>
      <w:tr>
        <w:trPr>
          <w:trHeight w:val="519"/>
        </w:trPr>
        <w:tc>
          <w:tcPr>
            <w:tcW w:w="36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By:/s/ Christine Ring</w:t>
            </w:r>
          </w:p>
        </w:tc>
        <w:tc>
          <w:tcPr>
            <w:tcW w:w="3400" w:type="dxa"/>
            <w:vAlign w:val="bottom"/>
            <w:gridSpan w:val="6"/>
          </w:tcPr>
          <w:p>
            <w:pPr>
              <w:ind w:left="720"/>
              <w:spacing w:after="0"/>
              <w:rPr>
                <w:sz w:val="20"/>
                <w:szCs w:val="20"/>
                <w:color w:val="auto"/>
              </w:rPr>
            </w:pPr>
            <w:r>
              <w:rPr>
                <w:rFonts w:ascii="Times New Roman" w:cs="Times New Roman" w:eastAsia="Times New Roman" w:hAnsi="Times New Roman"/>
                <w:sz w:val="21"/>
                <w:szCs w:val="21"/>
                <w:color w:val="auto"/>
              </w:rPr>
              <w:t>By: /s/ Monsif Bouaboula</w:t>
            </w:r>
          </w:p>
        </w:tc>
      </w:tr>
      <w:tr>
        <w:trPr>
          <w:trHeight w:val="20"/>
        </w:trPr>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39"/>
        </w:trPr>
        <w:tc>
          <w:tcPr>
            <w:tcW w:w="36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Name: Christine Ring</w:t>
            </w:r>
          </w:p>
        </w:tc>
        <w:tc>
          <w:tcPr>
            <w:tcW w:w="3400" w:type="dxa"/>
            <w:vAlign w:val="bottom"/>
            <w:gridSpan w:val="6"/>
          </w:tcPr>
          <w:p>
            <w:pPr>
              <w:ind w:left="720"/>
              <w:spacing w:after="0"/>
              <w:rPr>
                <w:sz w:val="20"/>
                <w:szCs w:val="20"/>
                <w:color w:val="auto"/>
              </w:rPr>
            </w:pPr>
            <w:r>
              <w:rPr>
                <w:rFonts w:ascii="Times New Roman" w:cs="Times New Roman" w:eastAsia="Times New Roman" w:hAnsi="Times New Roman"/>
                <w:sz w:val="21"/>
                <w:szCs w:val="21"/>
                <w:color w:val="auto"/>
              </w:rPr>
              <w:t>Name: Monsif Bouaboula</w:t>
            </w:r>
          </w:p>
        </w:tc>
      </w:tr>
      <w:tr>
        <w:trPr>
          <w:trHeight w:val="20"/>
        </w:trPr>
        <w:tc>
          <w:tcPr>
            <w:tcW w:w="3600" w:type="dxa"/>
            <w:vAlign w:val="bottom"/>
            <w:gridSpan w:val="5"/>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39"/>
        </w:trPr>
        <w:tc>
          <w:tcPr>
            <w:tcW w:w="36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Title: General Counsel</w:t>
            </w:r>
          </w:p>
        </w:tc>
        <w:tc>
          <w:tcPr>
            <w:tcW w:w="3400" w:type="dxa"/>
            <w:vAlign w:val="bottom"/>
            <w:gridSpan w:val="6"/>
          </w:tcPr>
          <w:p>
            <w:pPr>
              <w:ind w:left="720"/>
              <w:spacing w:after="0"/>
              <w:rPr>
                <w:sz w:val="20"/>
                <w:szCs w:val="20"/>
                <w:color w:val="auto"/>
              </w:rPr>
            </w:pPr>
            <w:r>
              <w:rPr>
                <w:rFonts w:ascii="Times New Roman" w:cs="Times New Roman" w:eastAsia="Times New Roman" w:hAnsi="Times New Roman"/>
                <w:sz w:val="21"/>
                <w:szCs w:val="21"/>
                <w:color w:val="auto"/>
              </w:rPr>
              <w:t>Title: Group Head</w:t>
            </w:r>
          </w:p>
        </w:tc>
      </w:tr>
      <w:tr>
        <w:trPr>
          <w:trHeight w:val="20"/>
        </w:trPr>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ectPr>
          <w:pgSz w:w="11900" w:h="16838" w:orient="portrait"/>
          <w:cols w:equalWidth="0" w:num="1">
            <w:col w:w="11240"/>
          </w:cols>
          <w:pgMar w:left="320" w:top="577" w:right="339" w:bottom="1440" w:gutter="0" w:footer="0" w:header="0"/>
        </w:sectPr>
      </w:pPr>
    </w:p>
    <w:bookmarkStart w:id="99" w:name="page100"/>
    <w:bookmarkEnd w:id="99"/>
    <w:p>
      <w:pPr>
        <w:ind w:left="10120"/>
        <w:spacing w:after="0"/>
        <w:rPr>
          <w:sz w:val="20"/>
          <w:szCs w:val="20"/>
          <w:color w:val="auto"/>
        </w:rPr>
      </w:pPr>
      <w:r>
        <w:rPr>
          <w:rFonts w:ascii="Times New Roman" w:cs="Times New Roman" w:eastAsia="Times New Roman" w:hAnsi="Times New Roman"/>
          <w:sz w:val="21"/>
          <w:szCs w:val="21"/>
          <w:b w:val="1"/>
          <w:bCs w:val="1"/>
          <w:color w:val="auto"/>
        </w:rPr>
        <w:t>Exhibit 10.5</w:t>
      </w:r>
    </w:p>
    <w:p>
      <w:pPr>
        <w:spacing w:after="0" w:line="240"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CONTAINED IN THIS DOCUMENT, MARKED BY [*], HAS BEEN OMITTED BECAUSE IT IS NOT MATERIAL AND IS THE TYPE OF INFORMATION THE REGISTRANT TREATS AS PRIVATE OR CONFIDENTIAL.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THIRD AMENDMENT TO COLLABORATION AND LICENSE AGREEMENT</w:t>
      </w:r>
    </w:p>
    <w:p>
      <w:pPr>
        <w:spacing w:after="0" w:line="218" w:lineRule="exact"/>
        <w:rPr>
          <w:sz w:val="20"/>
          <w:szCs w:val="20"/>
          <w:color w:val="auto"/>
        </w:rPr>
      </w:pPr>
    </w:p>
    <w:p>
      <w:pPr>
        <w:jc w:val="both"/>
        <w:ind w:firstLine="864"/>
        <w:spacing w:after="0" w:line="251" w:lineRule="auto"/>
        <w:rPr>
          <w:sz w:val="20"/>
          <w:szCs w:val="20"/>
          <w:color w:val="auto"/>
        </w:rPr>
      </w:pPr>
      <w:r>
        <w:rPr>
          <w:rFonts w:ascii="Times New Roman" w:cs="Times New Roman" w:eastAsia="Times New Roman" w:hAnsi="Times New Roman"/>
          <w:sz w:val="21"/>
          <w:szCs w:val="21"/>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21"/>
          <w:szCs w:val="21"/>
          <w:b w:val="1"/>
          <w:bCs w:val="1"/>
          <w:color w:val="auto"/>
        </w:rPr>
        <w:t xml:space="preserve"> T</w:t>
      </w:r>
      <w:r>
        <w:rPr>
          <w:rFonts w:ascii="Times New Roman" w:cs="Times New Roman" w:eastAsia="Times New Roman" w:hAnsi="Times New Roman"/>
          <w:sz w:val="14"/>
          <w:szCs w:val="14"/>
          <w:b w:val="1"/>
          <w:bCs w:val="1"/>
          <w:color w:val="auto"/>
        </w:rPr>
        <w:t>hird</w:t>
      </w:r>
      <w:r>
        <w:rPr>
          <w:rFonts w:ascii="Times New Roman" w:cs="Times New Roman" w:eastAsia="Times New Roman" w:hAnsi="Times New Roman"/>
          <w:sz w:val="21"/>
          <w:szCs w:val="21"/>
          <w:b w:val="1"/>
          <w:bCs w:val="1"/>
          <w:color w:val="auto"/>
        </w:rPr>
        <w:t xml:space="preserve"> A</w:t>
      </w:r>
      <w:r>
        <w:rPr>
          <w:rFonts w:ascii="Times New Roman" w:cs="Times New Roman" w:eastAsia="Times New Roman" w:hAnsi="Times New Roman"/>
          <w:sz w:val="14"/>
          <w:szCs w:val="14"/>
          <w:b w:val="1"/>
          <w:bCs w:val="1"/>
          <w:color w:val="auto"/>
        </w:rPr>
        <w:t>mendment to</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4"/>
          <w:szCs w:val="14"/>
          <w:b w:val="1"/>
          <w:bCs w:val="1"/>
          <w:color w:val="auto"/>
        </w:rPr>
        <w:t>ollaboration and</w:t>
      </w:r>
      <w:r>
        <w:rPr>
          <w:rFonts w:ascii="Times New Roman" w:cs="Times New Roman" w:eastAsia="Times New Roman" w:hAnsi="Times New Roman"/>
          <w:sz w:val="21"/>
          <w:szCs w:val="21"/>
          <w:b w:val="1"/>
          <w:bCs w:val="1"/>
          <w:color w:val="auto"/>
        </w:rPr>
        <w:t xml:space="preserve"> L</w:t>
      </w:r>
      <w:r>
        <w:rPr>
          <w:rFonts w:ascii="Times New Roman" w:cs="Times New Roman" w:eastAsia="Times New Roman" w:hAnsi="Times New Roman"/>
          <w:sz w:val="14"/>
          <w:szCs w:val="14"/>
          <w:b w:val="1"/>
          <w:bCs w:val="1"/>
          <w:color w:val="auto"/>
        </w:rPr>
        <w:t>icense</w:t>
      </w:r>
      <w:r>
        <w:rPr>
          <w:rFonts w:ascii="Times New Roman" w:cs="Times New Roman" w:eastAsia="Times New Roman" w:hAnsi="Times New Roman"/>
          <w:sz w:val="21"/>
          <w:szCs w:val="21"/>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is entered into as of July 7,</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2022 (the “</w:t>
      </w:r>
      <w:r>
        <w:rPr>
          <w:rFonts w:ascii="Times New Roman" w:cs="Times New Roman" w:eastAsia="Times New Roman" w:hAnsi="Times New Roman"/>
          <w:sz w:val="21"/>
          <w:szCs w:val="21"/>
          <w:b w:val="1"/>
          <w:bCs w:val="1"/>
          <w:color w:val="auto"/>
        </w:rPr>
        <w:t>Amendment Date</w:t>
      </w:r>
      <w:r>
        <w:rPr>
          <w:rFonts w:ascii="Times New Roman" w:cs="Times New Roman" w:eastAsia="Times New Roman" w:hAnsi="Times New Roman"/>
          <w:sz w:val="21"/>
          <w:szCs w:val="21"/>
          <w:color w:val="auto"/>
        </w:rPr>
        <w:t>”) by and between Genzyme Corporation, a Massachusetts corporation (“</w:t>
      </w:r>
      <w:r>
        <w:rPr>
          <w:rFonts w:ascii="Times New Roman" w:cs="Times New Roman" w:eastAsia="Times New Roman" w:hAnsi="Times New Roman"/>
          <w:sz w:val="21"/>
          <w:szCs w:val="21"/>
          <w:b w:val="1"/>
          <w:bCs w:val="1"/>
          <w:color w:val="auto"/>
        </w:rPr>
        <w:t>Sanofi</w:t>
      </w:r>
      <w:r>
        <w:rPr>
          <w:rFonts w:ascii="Times New Roman" w:cs="Times New Roman" w:eastAsia="Times New Roman" w:hAnsi="Times New Roman"/>
          <w:sz w:val="21"/>
          <w:szCs w:val="21"/>
          <w:color w:val="auto"/>
        </w:rPr>
        <w:t>”), and Nurix Therapeutics, Inc., a Delaware corporation (“</w:t>
      </w:r>
      <w:r>
        <w:rPr>
          <w:rFonts w:ascii="Times New Roman" w:cs="Times New Roman" w:eastAsia="Times New Roman" w:hAnsi="Times New Roman"/>
          <w:sz w:val="21"/>
          <w:szCs w:val="21"/>
          <w:b w:val="1"/>
          <w:bCs w:val="1"/>
          <w:color w:val="auto"/>
        </w:rPr>
        <w:t>Nurix</w:t>
      </w:r>
      <w:r>
        <w:rPr>
          <w:rFonts w:ascii="Times New Roman" w:cs="Times New Roman" w:eastAsia="Times New Roman" w:hAnsi="Times New Roman"/>
          <w:sz w:val="21"/>
          <w:szCs w:val="21"/>
          <w:color w:val="auto"/>
        </w:rPr>
        <w:t>”). Sanofi and Nurix are each referred to herein by name or, individually, as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or, collectively,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w:t>
      </w:r>
      <w:r>
        <w:rPr>
          <w:rFonts w:ascii="Times New Roman" w:cs="Times New Roman" w:eastAsia="Times New Roman" w:hAnsi="Times New Roman"/>
          <w:sz w:val="14"/>
          <w:szCs w:val="14"/>
          <w:b w:val="1"/>
          <w:bCs w:val="1"/>
          <w:color w:val="auto"/>
        </w:rPr>
        <w:t>ecitals</w:t>
      </w:r>
    </w:p>
    <w:p>
      <w:pPr>
        <w:spacing w:after="0" w:line="218" w:lineRule="exact"/>
        <w:rPr>
          <w:sz w:val="20"/>
          <w:szCs w:val="20"/>
          <w:color w:val="auto"/>
        </w:rPr>
      </w:pPr>
    </w:p>
    <w:p>
      <w:pPr>
        <w:jc w:val="both"/>
        <w:ind w:firstLine="864"/>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Parties entered into that certain Collaboration and License Agreement (as amended by the Amendments,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dated December 19, 2019, that certain First Amendment to Collaboration and License Agreement, dated January 6, 2021 (the “</w:t>
      </w:r>
      <w:r>
        <w:rPr>
          <w:rFonts w:ascii="Times New Roman" w:cs="Times New Roman" w:eastAsia="Times New Roman" w:hAnsi="Times New Roman"/>
          <w:sz w:val="21"/>
          <w:szCs w:val="21"/>
          <w:b w:val="1"/>
          <w:bCs w:val="1"/>
          <w:color w:val="auto"/>
        </w:rPr>
        <w:t>First Amendment</w:t>
      </w:r>
      <w:r>
        <w:rPr>
          <w:rFonts w:ascii="Times New Roman" w:cs="Times New Roman" w:eastAsia="Times New Roman" w:hAnsi="Times New Roman"/>
          <w:sz w:val="21"/>
          <w:szCs w:val="21"/>
          <w:color w:val="auto"/>
        </w:rPr>
        <w:t>”), and that certain Second Amendment to Collaboration and License Agreement, dated December 16, 2021 (the “</w:t>
      </w:r>
      <w:r>
        <w:rPr>
          <w:rFonts w:ascii="Times New Roman" w:cs="Times New Roman" w:eastAsia="Times New Roman" w:hAnsi="Times New Roman"/>
          <w:sz w:val="21"/>
          <w:szCs w:val="21"/>
          <w:b w:val="1"/>
          <w:bCs w:val="1"/>
          <w:color w:val="auto"/>
        </w:rPr>
        <w:t>Second Amendment</w:t>
      </w:r>
      <w:r>
        <w:rPr>
          <w:rFonts w:ascii="Times New Roman" w:cs="Times New Roman" w:eastAsia="Times New Roman" w:hAnsi="Times New Roman"/>
          <w:sz w:val="21"/>
          <w:szCs w:val="21"/>
          <w:color w:val="auto"/>
        </w:rPr>
        <w:t>” and, together with the First Amendment, the “</w:t>
      </w:r>
      <w:r>
        <w:rPr>
          <w:rFonts w:ascii="Times New Roman" w:cs="Times New Roman" w:eastAsia="Times New Roman" w:hAnsi="Times New Roman"/>
          <w:sz w:val="21"/>
          <w:szCs w:val="21"/>
          <w:b w:val="1"/>
          <w:bCs w:val="1"/>
          <w:color w:val="auto"/>
        </w:rPr>
        <w:t>Amendments</w:t>
      </w:r>
      <w:r>
        <w:rPr>
          <w:rFonts w:ascii="Times New Roman" w:cs="Times New Roman" w:eastAsia="Times New Roman" w:hAnsi="Times New Roman"/>
          <w:sz w:val="21"/>
          <w:szCs w:val="21"/>
          <w:color w:val="auto"/>
        </w:rPr>
        <w:t>”); and</w:t>
      </w:r>
    </w:p>
    <w:p>
      <w:pPr>
        <w:spacing w:after="0" w:line="17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Parties wish to amend the Agreement to modify certain terms and conditions thereof as further described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herein.</w:t>
      </w:r>
    </w:p>
    <w:p>
      <w:pPr>
        <w:spacing w:after="0" w:line="192"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21"/>
          <w:szCs w:val="21"/>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1"/>
          <w:szCs w:val="21"/>
          <w:b w:val="1"/>
          <w:bCs w:val="1"/>
          <w:color w:val="auto"/>
        </w:rPr>
        <w:t xml:space="preserve">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1"/>
          <w:szCs w:val="21"/>
          <w:color w:val="auto"/>
        </w:rPr>
        <w:t>, in consideration of the foregoing premises and the mutual promises, covenants and conditions contained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this Amendment, in accordance with Section 18.5 of the Agreement, the Parties agree as follows:</w:t>
      </w:r>
    </w:p>
    <w:p>
      <w:pPr>
        <w:spacing w:after="0" w:line="155" w:lineRule="exact"/>
        <w:rPr>
          <w:sz w:val="20"/>
          <w:szCs w:val="20"/>
          <w:color w:val="auto"/>
        </w:rPr>
      </w:pPr>
    </w:p>
    <w:p>
      <w:pPr>
        <w:ind w:firstLine="872"/>
        <w:spacing w:after="0" w:line="272" w:lineRule="auto"/>
        <w:tabs>
          <w:tab w:leader="none" w:pos="166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Defined Terms</w:t>
      </w:r>
      <w:r>
        <w:rPr>
          <w:rFonts w:ascii="Times New Roman" w:cs="Times New Roman" w:eastAsia="Times New Roman" w:hAnsi="Times New Roman"/>
          <w:sz w:val="21"/>
          <w:szCs w:val="21"/>
          <w:color w:val="auto"/>
        </w:rPr>
        <w:t>. As used in this Amendment, capitalized terms, whether used in the singular or plural form,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capitalized but not defined herein shall have the meanings ascribed to such terms in the Agreement.</w:t>
      </w:r>
    </w:p>
    <w:p>
      <w:pPr>
        <w:spacing w:after="0" w:line="154" w:lineRule="exact"/>
        <w:rPr>
          <w:rFonts w:ascii="Times New Roman" w:cs="Times New Roman" w:eastAsia="Times New Roman" w:hAnsi="Times New Roman"/>
          <w:sz w:val="20"/>
          <w:szCs w:val="20"/>
          <w:b w:val="1"/>
          <w:bCs w:val="1"/>
          <w:color w:val="auto"/>
        </w:rPr>
      </w:pPr>
    </w:p>
    <w:p>
      <w:pPr>
        <w:ind w:left="1660" w:hanging="788"/>
        <w:spacing w:after="0"/>
        <w:tabs>
          <w:tab w:leader="none" w:pos="166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Amendments.</w:t>
      </w:r>
    </w:p>
    <w:p>
      <w:pPr>
        <w:spacing w:after="0" w:line="219" w:lineRule="exact"/>
        <w:rPr>
          <w:rFonts w:ascii="Times New Roman" w:cs="Times New Roman" w:eastAsia="Times New Roman" w:hAnsi="Times New Roman"/>
          <w:sz w:val="20"/>
          <w:szCs w:val="20"/>
          <w:b w:val="1"/>
          <w:bCs w:val="1"/>
          <w:color w:val="auto"/>
        </w:rPr>
      </w:pPr>
    </w:p>
    <w:p>
      <w:pPr>
        <w:ind w:left="2620" w:hanging="885"/>
        <w:spacing w:after="0"/>
        <w:tabs>
          <w:tab w:leader="none" w:pos="2620" w:val="left"/>
        </w:tabs>
        <w:numPr>
          <w:ilvl w:val="1"/>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Section 2.2.3 of the Agreement is hereby deleted in its entirety and replaced with the following:</w:t>
      </w:r>
    </w:p>
    <w:p>
      <w:pPr>
        <w:spacing w:after="0" w:line="218" w:lineRule="exact"/>
        <w:rPr>
          <w:sz w:val="20"/>
          <w:szCs w:val="20"/>
          <w:color w:val="auto"/>
        </w:rPr>
      </w:pPr>
    </w:p>
    <w:p>
      <w:pPr>
        <w:jc w:val="both"/>
        <w:ind w:left="880" w:firstLine="797"/>
        <w:spacing w:after="0" w:line="245" w:lineRule="auto"/>
        <w:rPr>
          <w:sz w:val="20"/>
          <w:szCs w:val="20"/>
          <w:color w:val="auto"/>
        </w:rPr>
      </w:pPr>
      <w:r>
        <w:rPr>
          <w:rFonts w:ascii="Times New Roman" w:cs="Times New Roman" w:eastAsia="Times New Roman" w:hAnsi="Times New Roman"/>
          <w:sz w:val="21"/>
          <w:szCs w:val="21"/>
          <w:color w:val="auto"/>
        </w:rPr>
        <w:t xml:space="preserve">2.2.3 </w:t>
      </w:r>
      <w:r>
        <w:rPr>
          <w:rFonts w:ascii="Times New Roman" w:cs="Times New Roman" w:eastAsia="Times New Roman" w:hAnsi="Times New Roman"/>
          <w:sz w:val="21"/>
          <w:szCs w:val="21"/>
          <w:u w:val="single" w:color="auto"/>
          <w:color w:val="auto"/>
        </w:rPr>
        <w:t>Collaboration Target Substitution Right</w:t>
      </w:r>
      <w:r>
        <w:rPr>
          <w:rFonts w:ascii="Times New Roman" w:cs="Times New Roman" w:eastAsia="Times New Roman" w:hAnsi="Times New Roman"/>
          <w:sz w:val="21"/>
          <w:szCs w:val="21"/>
          <w:color w:val="auto"/>
        </w:rPr>
        <w:t>. On a Collaboration Target-by-Collaboration Target basis, during the period of time beginning on the first day of the Collaboration Target Research Term for such Collaboration Target and [*] (such time period the “</w:t>
      </w:r>
      <w:r>
        <w:rPr>
          <w:rFonts w:ascii="Times New Roman" w:cs="Times New Roman" w:eastAsia="Times New Roman" w:hAnsi="Times New Roman"/>
          <w:sz w:val="21"/>
          <w:szCs w:val="21"/>
          <w:b w:val="1"/>
          <w:bCs w:val="1"/>
          <w:color w:val="auto"/>
        </w:rPr>
        <w:t>Collaboration Target Substitution Period</w:t>
      </w:r>
      <w:r>
        <w:rPr>
          <w:rFonts w:ascii="Times New Roman" w:cs="Times New Roman" w:eastAsia="Times New Roman" w:hAnsi="Times New Roman"/>
          <w:sz w:val="21"/>
          <w:szCs w:val="21"/>
          <w:color w:val="auto"/>
        </w:rPr>
        <w:t>”), Sanofi shall have the right, for any reason and at no cost to Sanofi, to substitute such Collaboration Target (a) for a Reserved Target upon delivery of written notice to Nurix’s Alliance Manager prior to the expiration of the applicable Collaboration Target Substitution Period, or (b) subject to Section 2.4 (Proposed Targets), for an Available Target (collectively, the “</w:t>
      </w:r>
      <w:r>
        <w:rPr>
          <w:rFonts w:ascii="Times New Roman" w:cs="Times New Roman" w:eastAsia="Times New Roman" w:hAnsi="Times New Roman"/>
          <w:sz w:val="21"/>
          <w:szCs w:val="21"/>
          <w:b w:val="1"/>
          <w:bCs w:val="1"/>
          <w:color w:val="auto"/>
        </w:rPr>
        <w:t>Collaboration Target Substitution Right</w:t>
      </w:r>
      <w:r>
        <w:rPr>
          <w:rFonts w:ascii="Times New Roman" w:cs="Times New Roman" w:eastAsia="Times New Roman" w:hAnsi="Times New Roman"/>
          <w:sz w:val="21"/>
          <w:szCs w:val="21"/>
          <w:color w:val="auto"/>
        </w:rPr>
        <w:t>”) (each such Collaboration Target that is replaced by a Reserved Target or Available Target thereafter a “</w:t>
      </w:r>
      <w:r>
        <w:rPr>
          <w:rFonts w:ascii="Times New Roman" w:cs="Times New Roman" w:eastAsia="Times New Roman" w:hAnsi="Times New Roman"/>
          <w:sz w:val="21"/>
          <w:szCs w:val="21"/>
          <w:b w:val="1"/>
          <w:bCs w:val="1"/>
          <w:color w:val="auto"/>
        </w:rPr>
        <w:t>Replaced Collaboration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Target</w:t>
      </w:r>
      <w:r>
        <w:rPr>
          <w:rFonts w:ascii="Times New Roman" w:cs="Times New Roman" w:eastAsia="Times New Roman" w:hAnsi="Times New Roman"/>
          <w:sz w:val="21"/>
          <w:szCs w:val="21"/>
          <w:color w:val="auto"/>
        </w:rPr>
        <w:t>” and each such new Collaboration Target that is substituted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118745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00" w:name="page101"/>
    <w:bookmarkEnd w:id="100"/>
    <w:p>
      <w:pPr>
        <w:jc w:val="both"/>
        <w:ind w:left="880"/>
        <w:spacing w:after="0" w:line="247" w:lineRule="auto"/>
        <w:rPr>
          <w:sz w:val="20"/>
          <w:szCs w:val="20"/>
          <w:color w:val="auto"/>
        </w:rPr>
      </w:pPr>
      <w:r>
        <w:rPr>
          <w:rFonts w:ascii="Times New Roman" w:cs="Times New Roman" w:eastAsia="Times New Roman" w:hAnsi="Times New Roman"/>
          <w:sz w:val="21"/>
          <w:szCs w:val="21"/>
          <w:color w:val="auto"/>
        </w:rPr>
        <w:t>for the Replaced Collaboration Target, a “</w:t>
      </w:r>
      <w:r>
        <w:rPr>
          <w:rFonts w:ascii="Times New Roman" w:cs="Times New Roman" w:eastAsia="Times New Roman" w:hAnsi="Times New Roman"/>
          <w:sz w:val="21"/>
          <w:szCs w:val="21"/>
          <w:b w:val="1"/>
          <w:bCs w:val="1"/>
          <w:color w:val="auto"/>
        </w:rPr>
        <w:t>Substituted Collaboration Target</w:t>
      </w:r>
      <w:r>
        <w:rPr>
          <w:rFonts w:ascii="Times New Roman" w:cs="Times New Roman" w:eastAsia="Times New Roman" w:hAnsi="Times New Roman"/>
          <w:sz w:val="21"/>
          <w:szCs w:val="21"/>
          <w:color w:val="auto"/>
        </w:rPr>
        <w:t>”), provided, however, that (x) there will in no event be more than five (5) Collaboration Targets in total under this Agreement at any time during the Research Term, (y) at any given time during the Research Term, there will be no more than five (5) Research Programs with Collaboration Targets then ongoing, and (z) Sanofi shall only have the right to exercise its Collaboration Target Substitution Right [*] per Collaboration Target for [*], after which Sanofi shall no longer have the right to exercise its Collaboration Target Substitution Right.</w:t>
      </w:r>
    </w:p>
    <w:p>
      <w:pPr>
        <w:spacing w:after="0" w:line="183" w:lineRule="exact"/>
        <w:rPr>
          <w:sz w:val="20"/>
          <w:szCs w:val="20"/>
          <w:color w:val="auto"/>
        </w:rPr>
      </w:pPr>
    </w:p>
    <w:p>
      <w:pPr>
        <w:ind w:left="1660" w:hanging="788"/>
        <w:spacing w:after="0"/>
        <w:tabs>
          <w:tab w:leader="none" w:pos="166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Miscellaneous</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0"/>
          <w:szCs w:val="20"/>
          <w:b w:val="1"/>
          <w:bCs w:val="1"/>
          <w:color w:val="auto"/>
        </w:rPr>
      </w:pPr>
    </w:p>
    <w:p>
      <w:pPr>
        <w:jc w:val="both"/>
        <w:ind w:firstLine="1735"/>
        <w:spacing w:after="0" w:line="249" w:lineRule="auto"/>
        <w:tabs>
          <w:tab w:leader="none" w:pos="2606" w:val="left"/>
        </w:tabs>
        <w:numPr>
          <w:ilvl w:val="1"/>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 xml:space="preserve">No Other Amendments. </w:t>
      </w:r>
      <w:r>
        <w:rPr>
          <w:rFonts w:ascii="Times New Roman" w:cs="Times New Roman" w:eastAsia="Times New Roman" w:hAnsi="Times New Roman"/>
          <w:sz w:val="21"/>
          <w:szCs w:val="21"/>
          <w:color w:val="auto"/>
        </w:rPr>
        <w:t>This Amendment shall be deemed to be a part of and incorporated into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In the event of a conflict between this Amendment and the Agreement, this Amendment shall control. For clarity, except as expressly set forth in this Amendment, all of the terms and conditions of the Agreement, including without limitation, the terms of Section 1.44 (Collaboration Target Research Term) and Section 1.193 (Research Term), shall remain unchanged and are ratified and confirmed in all respects and remain in full force and effect.</w:t>
      </w:r>
    </w:p>
    <w:p>
      <w:pPr>
        <w:spacing w:after="0" w:line="178" w:lineRule="exact"/>
        <w:rPr>
          <w:rFonts w:ascii="Times New Roman" w:cs="Times New Roman" w:eastAsia="Times New Roman" w:hAnsi="Times New Roman"/>
          <w:sz w:val="20"/>
          <w:szCs w:val="20"/>
          <w:b w:val="1"/>
          <w:bCs w:val="1"/>
          <w:color w:val="auto"/>
        </w:rPr>
      </w:pPr>
    </w:p>
    <w:p>
      <w:pPr>
        <w:jc w:val="both"/>
        <w:ind w:firstLine="1735"/>
        <w:spacing w:after="0" w:line="256" w:lineRule="auto"/>
        <w:tabs>
          <w:tab w:leader="none" w:pos="2617" w:val="left"/>
        </w:tabs>
        <w:numPr>
          <w:ilvl w:val="1"/>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Entire Agreement</w:t>
      </w:r>
      <w:r>
        <w:rPr>
          <w:rFonts w:ascii="Times New Roman" w:cs="Times New Roman" w:eastAsia="Times New Roman" w:hAnsi="Times New Roman"/>
          <w:sz w:val="21"/>
          <w:szCs w:val="21"/>
          <w:color w:val="auto"/>
        </w:rPr>
        <w:t>. This Amendment, together with the Agreement and any exhibits or attachments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thereto, contains the entire agreement by the Parties with respect to the subject matter hereof, and any reference to the Agreement shall refer to the Agreement, as amended by this Amendment.</w:t>
      </w:r>
    </w:p>
    <w:p>
      <w:pPr>
        <w:spacing w:after="0" w:line="172" w:lineRule="exact"/>
        <w:rPr>
          <w:rFonts w:ascii="Times New Roman" w:cs="Times New Roman" w:eastAsia="Times New Roman" w:hAnsi="Times New Roman"/>
          <w:sz w:val="20"/>
          <w:szCs w:val="20"/>
          <w:b w:val="1"/>
          <w:bCs w:val="1"/>
          <w:color w:val="auto"/>
        </w:rPr>
      </w:pPr>
    </w:p>
    <w:p>
      <w:pPr>
        <w:jc w:val="both"/>
        <w:ind w:firstLine="1735"/>
        <w:spacing w:after="0" w:line="245" w:lineRule="auto"/>
        <w:tabs>
          <w:tab w:leader="none" w:pos="2595" w:val="left"/>
        </w:tabs>
        <w:numPr>
          <w:ilvl w:val="1"/>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Counterparts</w:t>
      </w:r>
      <w:r>
        <w:rPr>
          <w:rFonts w:ascii="Times New Roman" w:cs="Times New Roman" w:eastAsia="Times New Roman" w:hAnsi="Times New Roman"/>
          <w:sz w:val="21"/>
          <w:szCs w:val="21"/>
          <w:color w:val="auto"/>
        </w:rPr>
        <w:t>. This Amendment may be executed in counterparts with the same effect as if both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had signed the same document. All such counterparts will be deemed an original, will be construed together and will constitute one and the same instrument. Any such counterpart, to the extent delivered by Electronic Delivery, will be treated in all manner and respects as an original executed counterpart and will be considered to have the same binding legal effect as if it were the original signed version thereof delivered in person. No Party will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w:t>
      </w:r>
    </w:p>
    <w:p>
      <w:pPr>
        <w:spacing w:after="0" w:line="187" w:lineRule="exact"/>
        <w:rPr>
          <w:rFonts w:ascii="Times New Roman" w:cs="Times New Roman" w:eastAsia="Times New Roman" w:hAnsi="Times New Roman"/>
          <w:sz w:val="20"/>
          <w:szCs w:val="20"/>
          <w:b w:val="1"/>
          <w:bCs w:val="1"/>
          <w:color w:val="auto"/>
        </w:rPr>
      </w:pPr>
    </w:p>
    <w:p>
      <w:pPr>
        <w:ind w:right="20" w:firstLine="1735"/>
        <w:spacing w:after="0" w:line="297" w:lineRule="auto"/>
        <w:tabs>
          <w:tab w:leader="none" w:pos="2617" w:val="left"/>
        </w:tabs>
        <w:numPr>
          <w:ilvl w:val="1"/>
          <w:numId w:val="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 xml:space="preserve">Choice of Law. </w:t>
      </w:r>
      <w:r>
        <w:rPr>
          <w:rFonts w:ascii="Times New Roman" w:cs="Times New Roman" w:eastAsia="Times New Roman" w:hAnsi="Times New Roman"/>
          <w:sz w:val="20"/>
          <w:szCs w:val="20"/>
          <w:color w:val="auto"/>
        </w:rPr>
        <w:t>This Amendment and any Dispute arising from the performance or breach hereof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governed by and interpreted in accordance with the laws of the State of New York, without giving effect to any choice of law rules.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361315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ind w:firstLine="864"/>
        <w:spacing w:after="0" w:line="272" w:lineRule="auto"/>
        <w:rPr>
          <w:sz w:val="20"/>
          <w:szCs w:val="20"/>
          <w:color w:val="auto"/>
        </w:rPr>
      </w:pPr>
      <w:r>
        <w:rPr>
          <w:rFonts w:ascii="Times New Roman" w:cs="Times New Roman" w:eastAsia="Times New Roman" w:hAnsi="Times New Roman"/>
          <w:sz w:val="21"/>
          <w:szCs w:val="21"/>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1"/>
          <w:szCs w:val="21"/>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1"/>
          <w:szCs w:val="21"/>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intending to be legally bound hereby, the Parties have caused this Amendment to be executed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their respective duly authorized representatives as of the Amendment Date.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600" w:type="dxa"/>
            <w:vAlign w:val="bottom"/>
            <w:gridSpan w:val="5"/>
          </w:tcPr>
          <w:p>
            <w:pPr>
              <w:spacing w:after="0"/>
              <w:rPr>
                <w:sz w:val="20"/>
                <w:szCs w:val="20"/>
                <w:color w:val="auto"/>
              </w:rPr>
            </w:pPr>
            <w:r>
              <w:rPr>
                <w:rFonts w:ascii="Times New Roman" w:cs="Times New Roman" w:eastAsia="Times New Roman" w:hAnsi="Times New Roman"/>
                <w:sz w:val="21"/>
                <w:szCs w:val="21"/>
                <w:b w:val="1"/>
                <w:bCs w:val="1"/>
                <w:color w:val="auto"/>
              </w:rPr>
              <w:t>NURIX THERAPEUTICS, INC.</w:t>
            </w:r>
          </w:p>
        </w:tc>
        <w:tc>
          <w:tcPr>
            <w:tcW w:w="3400" w:type="dxa"/>
            <w:vAlign w:val="bottom"/>
            <w:gridSpan w:val="6"/>
          </w:tcPr>
          <w:p>
            <w:pPr>
              <w:ind w:left="720"/>
              <w:spacing w:after="0"/>
              <w:rPr>
                <w:sz w:val="20"/>
                <w:szCs w:val="20"/>
                <w:color w:val="auto"/>
              </w:rPr>
            </w:pPr>
            <w:r>
              <w:rPr>
                <w:rFonts w:ascii="Times New Roman" w:cs="Times New Roman" w:eastAsia="Times New Roman" w:hAnsi="Times New Roman"/>
                <w:sz w:val="21"/>
                <w:szCs w:val="21"/>
                <w:b w:val="1"/>
                <w:bCs w:val="1"/>
                <w:color w:val="auto"/>
                <w:w w:val="97"/>
              </w:rPr>
              <w:t>GENZYME CORPORATION</w:t>
            </w:r>
          </w:p>
        </w:tc>
      </w:tr>
      <w:tr>
        <w:trPr>
          <w:trHeight w:val="519"/>
        </w:trPr>
        <w:tc>
          <w:tcPr>
            <w:tcW w:w="36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By:/s/ Christine Ring</w:t>
            </w:r>
          </w:p>
        </w:tc>
        <w:tc>
          <w:tcPr>
            <w:tcW w:w="3400" w:type="dxa"/>
            <w:vAlign w:val="bottom"/>
            <w:gridSpan w:val="6"/>
          </w:tcPr>
          <w:p>
            <w:pPr>
              <w:ind w:left="720"/>
              <w:spacing w:after="0"/>
              <w:rPr>
                <w:sz w:val="20"/>
                <w:szCs w:val="20"/>
                <w:color w:val="auto"/>
              </w:rPr>
            </w:pPr>
            <w:r>
              <w:rPr>
                <w:rFonts w:ascii="Times New Roman" w:cs="Times New Roman" w:eastAsia="Times New Roman" w:hAnsi="Times New Roman"/>
                <w:sz w:val="21"/>
                <w:szCs w:val="21"/>
                <w:color w:val="auto"/>
              </w:rPr>
              <w:t>By: /s/ Monsif Bouaboula</w:t>
            </w:r>
          </w:p>
        </w:tc>
      </w:tr>
      <w:tr>
        <w:trPr>
          <w:trHeight w:val="20"/>
        </w:trPr>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39"/>
        </w:trPr>
        <w:tc>
          <w:tcPr>
            <w:tcW w:w="36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Name: Christine Ring</w:t>
            </w:r>
          </w:p>
        </w:tc>
        <w:tc>
          <w:tcPr>
            <w:tcW w:w="3400" w:type="dxa"/>
            <w:vAlign w:val="bottom"/>
            <w:gridSpan w:val="6"/>
          </w:tcPr>
          <w:p>
            <w:pPr>
              <w:ind w:left="720"/>
              <w:spacing w:after="0"/>
              <w:rPr>
                <w:sz w:val="20"/>
                <w:szCs w:val="20"/>
                <w:color w:val="auto"/>
              </w:rPr>
            </w:pPr>
            <w:r>
              <w:rPr>
                <w:rFonts w:ascii="Times New Roman" w:cs="Times New Roman" w:eastAsia="Times New Roman" w:hAnsi="Times New Roman"/>
                <w:sz w:val="21"/>
                <w:szCs w:val="21"/>
                <w:color w:val="auto"/>
              </w:rPr>
              <w:t>Name: Monsif Bouaboula</w:t>
            </w:r>
          </w:p>
        </w:tc>
      </w:tr>
      <w:tr>
        <w:trPr>
          <w:trHeight w:val="20"/>
        </w:trPr>
        <w:tc>
          <w:tcPr>
            <w:tcW w:w="3600" w:type="dxa"/>
            <w:vAlign w:val="bottom"/>
            <w:gridSpan w:val="5"/>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39"/>
        </w:trPr>
        <w:tc>
          <w:tcPr>
            <w:tcW w:w="36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Title: General Counsel</w:t>
            </w:r>
          </w:p>
        </w:tc>
        <w:tc>
          <w:tcPr>
            <w:tcW w:w="3400" w:type="dxa"/>
            <w:vAlign w:val="bottom"/>
            <w:gridSpan w:val="6"/>
          </w:tcPr>
          <w:p>
            <w:pPr>
              <w:ind w:left="720"/>
              <w:spacing w:after="0"/>
              <w:rPr>
                <w:sz w:val="20"/>
                <w:szCs w:val="20"/>
                <w:color w:val="auto"/>
              </w:rPr>
            </w:pPr>
            <w:r>
              <w:rPr>
                <w:rFonts w:ascii="Times New Roman" w:cs="Times New Roman" w:eastAsia="Times New Roman" w:hAnsi="Times New Roman"/>
                <w:sz w:val="21"/>
                <w:szCs w:val="21"/>
                <w:color w:val="auto"/>
              </w:rPr>
              <w:t>Title: Group Head</w:t>
            </w:r>
          </w:p>
        </w:tc>
      </w:tr>
      <w:tr>
        <w:trPr>
          <w:trHeight w:val="20"/>
        </w:trPr>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ectPr>
          <w:pgSz w:w="11900" w:h="16838" w:orient="portrait"/>
          <w:cols w:equalWidth="0" w:num="1">
            <w:col w:w="11240"/>
          </w:cols>
          <w:pgMar w:left="320" w:top="577" w:right="339" w:bottom="1440" w:gutter="0" w:footer="0" w:header="0"/>
        </w:sectPr>
      </w:pPr>
    </w:p>
    <w:bookmarkStart w:id="102" w:name="page103"/>
    <w:bookmarkEnd w:id="102"/>
    <w:p>
      <w:pPr>
        <w:ind w:left="10120"/>
        <w:spacing w:after="0"/>
        <w:rPr>
          <w:sz w:val="20"/>
          <w:szCs w:val="20"/>
          <w:color w:val="auto"/>
        </w:rPr>
      </w:pPr>
      <w:r>
        <w:rPr>
          <w:rFonts w:ascii="Times New Roman" w:cs="Times New Roman" w:eastAsia="Times New Roman" w:hAnsi="Times New Roman"/>
          <w:sz w:val="21"/>
          <w:szCs w:val="21"/>
          <w:b w:val="1"/>
          <w:bCs w:val="1"/>
          <w:color w:val="auto"/>
        </w:rPr>
        <w:t>Exhibit 10.6</w:t>
      </w:r>
    </w:p>
    <w:p>
      <w:pPr>
        <w:spacing w:after="0" w:line="240"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CERTAIN INFORMATION CONTAINED IN THIS DOCUMENT, MARKED BY [*], HAS BEEN OMITTED BECAUSE IT IS NOT MATERIAL AND IS THE TYPE OF INFORMATION THE REGISTRANT TREATS AS PRIVATE OR CONFIDENTIAL.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FOURTH AMENDMENT TO COLLABORATION AND LICENSE AGREEMENT</w:t>
      </w:r>
    </w:p>
    <w:p>
      <w:pPr>
        <w:spacing w:after="0" w:line="218" w:lineRule="exact"/>
        <w:rPr>
          <w:sz w:val="20"/>
          <w:szCs w:val="20"/>
          <w:color w:val="auto"/>
        </w:rPr>
      </w:pPr>
    </w:p>
    <w:p>
      <w:pPr>
        <w:jc w:val="both"/>
        <w:ind w:firstLine="864"/>
        <w:spacing w:after="0" w:line="251" w:lineRule="auto"/>
        <w:rPr>
          <w:sz w:val="20"/>
          <w:szCs w:val="20"/>
          <w:color w:val="auto"/>
        </w:rPr>
      </w:pPr>
      <w:r>
        <w:rPr>
          <w:rFonts w:ascii="Times New Roman" w:cs="Times New Roman" w:eastAsia="Times New Roman" w:hAnsi="Times New Roman"/>
          <w:sz w:val="21"/>
          <w:szCs w:val="21"/>
          <w:b w:val="1"/>
          <w:bCs w:val="1"/>
          <w:color w:val="auto"/>
        </w:rPr>
        <w:t>T</w:t>
      </w:r>
      <w:r>
        <w:rPr>
          <w:rFonts w:ascii="Times New Roman" w:cs="Times New Roman" w:eastAsia="Times New Roman" w:hAnsi="Times New Roman"/>
          <w:sz w:val="14"/>
          <w:szCs w:val="14"/>
          <w:b w:val="1"/>
          <w:bCs w:val="1"/>
          <w:color w:val="auto"/>
        </w:rPr>
        <w:t>his</w:t>
      </w:r>
      <w:r>
        <w:rPr>
          <w:rFonts w:ascii="Times New Roman" w:cs="Times New Roman" w:eastAsia="Times New Roman" w:hAnsi="Times New Roman"/>
          <w:sz w:val="21"/>
          <w:szCs w:val="21"/>
          <w:b w:val="1"/>
          <w:bCs w:val="1"/>
          <w:color w:val="auto"/>
        </w:rPr>
        <w:t xml:space="preserve"> F</w:t>
      </w:r>
      <w:r>
        <w:rPr>
          <w:rFonts w:ascii="Times New Roman" w:cs="Times New Roman" w:eastAsia="Times New Roman" w:hAnsi="Times New Roman"/>
          <w:sz w:val="14"/>
          <w:szCs w:val="14"/>
          <w:b w:val="1"/>
          <w:bCs w:val="1"/>
          <w:color w:val="auto"/>
        </w:rPr>
        <w:t>ourth</w:t>
      </w:r>
      <w:r>
        <w:rPr>
          <w:rFonts w:ascii="Times New Roman" w:cs="Times New Roman" w:eastAsia="Times New Roman" w:hAnsi="Times New Roman"/>
          <w:sz w:val="21"/>
          <w:szCs w:val="21"/>
          <w:b w:val="1"/>
          <w:bCs w:val="1"/>
          <w:color w:val="auto"/>
        </w:rPr>
        <w:t xml:space="preserve"> A</w:t>
      </w:r>
      <w:r>
        <w:rPr>
          <w:rFonts w:ascii="Times New Roman" w:cs="Times New Roman" w:eastAsia="Times New Roman" w:hAnsi="Times New Roman"/>
          <w:sz w:val="14"/>
          <w:szCs w:val="14"/>
          <w:b w:val="1"/>
          <w:bCs w:val="1"/>
          <w:color w:val="auto"/>
        </w:rPr>
        <w:t>mendment to</w:t>
      </w:r>
      <w:r>
        <w:rPr>
          <w:rFonts w:ascii="Times New Roman" w:cs="Times New Roman" w:eastAsia="Times New Roman" w:hAnsi="Times New Roman"/>
          <w:sz w:val="21"/>
          <w:szCs w:val="21"/>
          <w:b w:val="1"/>
          <w:bCs w:val="1"/>
          <w:color w:val="auto"/>
        </w:rPr>
        <w:t xml:space="preserve"> C</w:t>
      </w:r>
      <w:r>
        <w:rPr>
          <w:rFonts w:ascii="Times New Roman" w:cs="Times New Roman" w:eastAsia="Times New Roman" w:hAnsi="Times New Roman"/>
          <w:sz w:val="14"/>
          <w:szCs w:val="14"/>
          <w:b w:val="1"/>
          <w:bCs w:val="1"/>
          <w:color w:val="auto"/>
        </w:rPr>
        <w:t>ollaboration and</w:t>
      </w:r>
      <w:r>
        <w:rPr>
          <w:rFonts w:ascii="Times New Roman" w:cs="Times New Roman" w:eastAsia="Times New Roman" w:hAnsi="Times New Roman"/>
          <w:sz w:val="21"/>
          <w:szCs w:val="21"/>
          <w:b w:val="1"/>
          <w:bCs w:val="1"/>
          <w:color w:val="auto"/>
        </w:rPr>
        <w:t xml:space="preserve"> L</w:t>
      </w:r>
      <w:r>
        <w:rPr>
          <w:rFonts w:ascii="Times New Roman" w:cs="Times New Roman" w:eastAsia="Times New Roman" w:hAnsi="Times New Roman"/>
          <w:sz w:val="14"/>
          <w:szCs w:val="14"/>
          <w:b w:val="1"/>
          <w:bCs w:val="1"/>
          <w:color w:val="auto"/>
        </w:rPr>
        <w:t>icense</w:t>
      </w:r>
      <w:r>
        <w:rPr>
          <w:rFonts w:ascii="Times New Roman" w:cs="Times New Roman" w:eastAsia="Times New Roman" w:hAnsi="Times New Roman"/>
          <w:sz w:val="21"/>
          <w:szCs w:val="21"/>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is entered into as of August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11, 2022 (the “</w:t>
      </w:r>
      <w:r>
        <w:rPr>
          <w:rFonts w:ascii="Times New Roman" w:cs="Times New Roman" w:eastAsia="Times New Roman" w:hAnsi="Times New Roman"/>
          <w:sz w:val="21"/>
          <w:szCs w:val="21"/>
          <w:b w:val="1"/>
          <w:bCs w:val="1"/>
          <w:color w:val="auto"/>
        </w:rPr>
        <w:t>Amendment Date</w:t>
      </w:r>
      <w:r>
        <w:rPr>
          <w:rFonts w:ascii="Times New Roman" w:cs="Times New Roman" w:eastAsia="Times New Roman" w:hAnsi="Times New Roman"/>
          <w:sz w:val="21"/>
          <w:szCs w:val="21"/>
          <w:color w:val="auto"/>
        </w:rPr>
        <w:t>”) by and between Genzyme Corporation, a Massachusetts corporation (“</w:t>
      </w:r>
      <w:r>
        <w:rPr>
          <w:rFonts w:ascii="Times New Roman" w:cs="Times New Roman" w:eastAsia="Times New Roman" w:hAnsi="Times New Roman"/>
          <w:sz w:val="21"/>
          <w:szCs w:val="21"/>
          <w:b w:val="1"/>
          <w:bCs w:val="1"/>
          <w:color w:val="auto"/>
        </w:rPr>
        <w:t>Sanofi</w:t>
      </w:r>
      <w:r>
        <w:rPr>
          <w:rFonts w:ascii="Times New Roman" w:cs="Times New Roman" w:eastAsia="Times New Roman" w:hAnsi="Times New Roman"/>
          <w:sz w:val="21"/>
          <w:szCs w:val="21"/>
          <w:color w:val="auto"/>
        </w:rPr>
        <w:t>”), and Nurix Therapeutics, Inc., a Delaware corporation (“</w:t>
      </w:r>
      <w:r>
        <w:rPr>
          <w:rFonts w:ascii="Times New Roman" w:cs="Times New Roman" w:eastAsia="Times New Roman" w:hAnsi="Times New Roman"/>
          <w:sz w:val="21"/>
          <w:szCs w:val="21"/>
          <w:b w:val="1"/>
          <w:bCs w:val="1"/>
          <w:color w:val="auto"/>
        </w:rPr>
        <w:t>Nurix</w:t>
      </w:r>
      <w:r>
        <w:rPr>
          <w:rFonts w:ascii="Times New Roman" w:cs="Times New Roman" w:eastAsia="Times New Roman" w:hAnsi="Times New Roman"/>
          <w:sz w:val="21"/>
          <w:szCs w:val="21"/>
          <w:color w:val="auto"/>
        </w:rPr>
        <w:t>”). Sanofi and Nurix are each referred to herein by name or, individually, as a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or, collectively, as the “</w:t>
      </w:r>
      <w:r>
        <w:rPr>
          <w:rFonts w:ascii="Times New Roman" w:cs="Times New Roman" w:eastAsia="Times New Roman" w:hAnsi="Times New Roman"/>
          <w:sz w:val="21"/>
          <w:szCs w:val="21"/>
          <w:b w:val="1"/>
          <w:bCs w:val="1"/>
          <w:color w:val="auto"/>
        </w:rPr>
        <w:t>Parties</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w:t>
      </w:r>
      <w:r>
        <w:rPr>
          <w:rFonts w:ascii="Times New Roman" w:cs="Times New Roman" w:eastAsia="Times New Roman" w:hAnsi="Times New Roman"/>
          <w:sz w:val="14"/>
          <w:szCs w:val="14"/>
          <w:b w:val="1"/>
          <w:bCs w:val="1"/>
          <w:color w:val="auto"/>
        </w:rPr>
        <w:t>ecitals</w:t>
      </w:r>
    </w:p>
    <w:p>
      <w:pPr>
        <w:spacing w:after="0" w:line="218" w:lineRule="exact"/>
        <w:rPr>
          <w:sz w:val="20"/>
          <w:szCs w:val="20"/>
          <w:color w:val="auto"/>
        </w:rPr>
      </w:pPr>
    </w:p>
    <w:p>
      <w:pPr>
        <w:jc w:val="both"/>
        <w:ind w:firstLine="864"/>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Parties entered into that certain Collaboration and License Agreement (as amended by the Amendments,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dated December 19, 2019, that certain First Amendment to Collaboration and License Agreement, dated January 6, 2021 (the “</w:t>
      </w:r>
      <w:r>
        <w:rPr>
          <w:rFonts w:ascii="Times New Roman" w:cs="Times New Roman" w:eastAsia="Times New Roman" w:hAnsi="Times New Roman"/>
          <w:sz w:val="21"/>
          <w:szCs w:val="21"/>
          <w:b w:val="1"/>
          <w:bCs w:val="1"/>
          <w:color w:val="auto"/>
        </w:rPr>
        <w:t>First Amendment</w:t>
      </w:r>
      <w:r>
        <w:rPr>
          <w:rFonts w:ascii="Times New Roman" w:cs="Times New Roman" w:eastAsia="Times New Roman" w:hAnsi="Times New Roman"/>
          <w:sz w:val="21"/>
          <w:szCs w:val="21"/>
          <w:color w:val="auto"/>
        </w:rPr>
        <w:t>”), that certain Second Amendment to Collaboration and License Agreement, dated December 16, 2021 (the “</w:t>
      </w:r>
      <w:r>
        <w:rPr>
          <w:rFonts w:ascii="Times New Roman" w:cs="Times New Roman" w:eastAsia="Times New Roman" w:hAnsi="Times New Roman"/>
          <w:sz w:val="21"/>
          <w:szCs w:val="21"/>
          <w:b w:val="1"/>
          <w:bCs w:val="1"/>
          <w:color w:val="auto"/>
        </w:rPr>
        <w:t>Second Amendment</w:t>
      </w:r>
      <w:r>
        <w:rPr>
          <w:rFonts w:ascii="Times New Roman" w:cs="Times New Roman" w:eastAsia="Times New Roman" w:hAnsi="Times New Roman"/>
          <w:sz w:val="21"/>
          <w:szCs w:val="21"/>
          <w:color w:val="auto"/>
        </w:rPr>
        <w:t>”), and that certain Third Amendment to Collaboration and License Agreement, dated July 7, 2022 (the “</w:t>
      </w:r>
      <w:r>
        <w:rPr>
          <w:rFonts w:ascii="Times New Roman" w:cs="Times New Roman" w:eastAsia="Times New Roman" w:hAnsi="Times New Roman"/>
          <w:sz w:val="21"/>
          <w:szCs w:val="21"/>
          <w:b w:val="1"/>
          <w:bCs w:val="1"/>
          <w:color w:val="auto"/>
        </w:rPr>
        <w:t>Third Amendment</w:t>
      </w:r>
      <w:r>
        <w:rPr>
          <w:rFonts w:ascii="Times New Roman" w:cs="Times New Roman" w:eastAsia="Times New Roman" w:hAnsi="Times New Roman"/>
          <w:sz w:val="21"/>
          <w:szCs w:val="21"/>
          <w:color w:val="auto"/>
        </w:rPr>
        <w:t>” and, together with the First Amendment and the Second Amendment, the “</w:t>
      </w:r>
      <w:r>
        <w:rPr>
          <w:rFonts w:ascii="Times New Roman" w:cs="Times New Roman" w:eastAsia="Times New Roman" w:hAnsi="Times New Roman"/>
          <w:sz w:val="21"/>
          <w:szCs w:val="21"/>
          <w:b w:val="1"/>
          <w:bCs w:val="1"/>
          <w:color w:val="auto"/>
        </w:rPr>
        <w:t>Amendments</w:t>
      </w:r>
      <w:r>
        <w:rPr>
          <w:rFonts w:ascii="Times New Roman" w:cs="Times New Roman" w:eastAsia="Times New Roman" w:hAnsi="Times New Roman"/>
          <w:sz w:val="21"/>
          <w:szCs w:val="21"/>
          <w:color w:val="auto"/>
        </w:rPr>
        <w:t>”); and</w:t>
      </w:r>
    </w:p>
    <w:p>
      <w:pPr>
        <w:spacing w:after="0" w:line="178"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the Parties wish to amend the Agreement to modify the Research Plan for Collaboration Target [*]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Exhibit A under which Sanofi will conduct Research relating to [*], and to modify certain terms and conditions of the Agreement with respect to such Research as further described herein.</w:t>
      </w:r>
    </w:p>
    <w:p>
      <w:pPr>
        <w:spacing w:after="0" w:line="172" w:lineRule="exact"/>
        <w:rPr>
          <w:sz w:val="20"/>
          <w:szCs w:val="20"/>
          <w:color w:val="auto"/>
        </w:rPr>
      </w:pPr>
    </w:p>
    <w:p>
      <w:pPr>
        <w:jc w:val="both"/>
        <w:ind w:firstLine="864"/>
        <w:spacing w:after="0" w:line="272" w:lineRule="auto"/>
        <w:rPr>
          <w:sz w:val="20"/>
          <w:szCs w:val="20"/>
          <w:color w:val="auto"/>
        </w:rPr>
      </w:pPr>
      <w:r>
        <w:rPr>
          <w:rFonts w:ascii="Times New Roman" w:cs="Times New Roman" w:eastAsia="Times New Roman" w:hAnsi="Times New Roman"/>
          <w:sz w:val="21"/>
          <w:szCs w:val="21"/>
          <w:b w:val="1"/>
          <w:bCs w:val="1"/>
          <w:color w:val="auto"/>
        </w:rPr>
        <w:t>N</w:t>
      </w:r>
      <w:r>
        <w:rPr>
          <w:rFonts w:ascii="Times New Roman" w:cs="Times New Roman" w:eastAsia="Times New Roman" w:hAnsi="Times New Roman"/>
          <w:sz w:val="14"/>
          <w:szCs w:val="14"/>
          <w:b w:val="1"/>
          <w:bCs w:val="1"/>
          <w:color w:val="auto"/>
        </w:rPr>
        <w:t>ow</w:t>
      </w:r>
      <w:r>
        <w:rPr>
          <w:rFonts w:ascii="Times New Roman" w:cs="Times New Roman" w:eastAsia="Times New Roman" w:hAnsi="Times New Roman"/>
          <w:sz w:val="21"/>
          <w:szCs w:val="21"/>
          <w:b w:val="1"/>
          <w:bCs w:val="1"/>
          <w:color w:val="auto"/>
        </w:rPr>
        <w:t xml:space="preserve"> T</w:t>
      </w:r>
      <w:r>
        <w:rPr>
          <w:rFonts w:ascii="Times New Roman" w:cs="Times New Roman" w:eastAsia="Times New Roman" w:hAnsi="Times New Roman"/>
          <w:sz w:val="14"/>
          <w:szCs w:val="14"/>
          <w:b w:val="1"/>
          <w:bCs w:val="1"/>
          <w:color w:val="auto"/>
        </w:rPr>
        <w:t>herefore</w:t>
      </w:r>
      <w:r>
        <w:rPr>
          <w:rFonts w:ascii="Times New Roman" w:cs="Times New Roman" w:eastAsia="Times New Roman" w:hAnsi="Times New Roman"/>
          <w:sz w:val="21"/>
          <w:szCs w:val="21"/>
          <w:color w:val="auto"/>
        </w:rPr>
        <w:t>, in consideration of the foregoing premises and the mutual promises, covenants and conditions contained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this Amendment, in accordance with Section 18.5 of the Agreement, the Parties agree as follows:</w:t>
      </w:r>
    </w:p>
    <w:p>
      <w:pPr>
        <w:spacing w:after="0" w:line="155" w:lineRule="exact"/>
        <w:rPr>
          <w:sz w:val="20"/>
          <w:szCs w:val="20"/>
          <w:color w:val="auto"/>
        </w:rPr>
      </w:pPr>
    </w:p>
    <w:p>
      <w:pPr>
        <w:ind w:firstLine="872"/>
        <w:spacing w:after="0" w:line="272" w:lineRule="auto"/>
        <w:tabs>
          <w:tab w:leader="none" w:pos="166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Defined Terms</w:t>
      </w:r>
      <w:r>
        <w:rPr>
          <w:rFonts w:ascii="Times New Roman" w:cs="Times New Roman" w:eastAsia="Times New Roman" w:hAnsi="Times New Roman"/>
          <w:sz w:val="21"/>
          <w:szCs w:val="21"/>
          <w:color w:val="auto"/>
        </w:rPr>
        <w:t>. As used in this Amendment, capitalized terms, whether used in the singular or plural form,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capitalized but not defined herein shall have the meanings ascribed to such terms in the Agreement.</w:t>
      </w:r>
    </w:p>
    <w:p>
      <w:pPr>
        <w:spacing w:after="0" w:line="154" w:lineRule="exact"/>
        <w:rPr>
          <w:rFonts w:ascii="Times New Roman" w:cs="Times New Roman" w:eastAsia="Times New Roman" w:hAnsi="Times New Roman"/>
          <w:sz w:val="20"/>
          <w:szCs w:val="20"/>
          <w:b w:val="1"/>
          <w:bCs w:val="1"/>
          <w:color w:val="auto"/>
        </w:rPr>
      </w:pPr>
    </w:p>
    <w:p>
      <w:pPr>
        <w:ind w:left="1660" w:hanging="788"/>
        <w:spacing w:after="0"/>
        <w:tabs>
          <w:tab w:leader="none" w:pos="166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Amendments.</w:t>
      </w:r>
    </w:p>
    <w:p>
      <w:pPr>
        <w:spacing w:after="0" w:line="219" w:lineRule="exact"/>
        <w:rPr>
          <w:rFonts w:ascii="Times New Roman" w:cs="Times New Roman" w:eastAsia="Times New Roman" w:hAnsi="Times New Roman"/>
          <w:sz w:val="20"/>
          <w:szCs w:val="20"/>
          <w:b w:val="1"/>
          <w:bCs w:val="1"/>
          <w:color w:val="auto"/>
        </w:rPr>
      </w:pPr>
    </w:p>
    <w:p>
      <w:pPr>
        <w:ind w:firstLine="1735"/>
        <w:spacing w:after="0" w:line="270" w:lineRule="auto"/>
        <w:tabs>
          <w:tab w:leader="none" w:pos="2606" w:val="left"/>
        </w:tabs>
        <w:numPr>
          <w:ilvl w:val="1"/>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An amended Research Plan for the [*] is attached hereto as Exhibit A. Such Research Plan shall be deemed approved by the JRC as of the Amendment Date. For clarity:</w:t>
      </w:r>
    </w:p>
    <w:p>
      <w:pPr>
        <w:spacing w:after="0" w:line="158" w:lineRule="exact"/>
        <w:rPr>
          <w:rFonts w:ascii="Times New Roman" w:cs="Times New Roman" w:eastAsia="Times New Roman" w:hAnsi="Times New Roman"/>
          <w:sz w:val="20"/>
          <w:szCs w:val="20"/>
          <w:b w:val="1"/>
          <w:bCs w:val="1"/>
          <w:color w:val="auto"/>
        </w:rPr>
      </w:pPr>
    </w:p>
    <w:p>
      <w:pPr>
        <w:jc w:val="both"/>
        <w:ind w:firstLine="2600"/>
        <w:spacing w:after="0" w:line="255" w:lineRule="auto"/>
        <w:tabs>
          <w:tab w:leader="none" w:pos="3427"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all pre-clinical research activities under such amended Research Plan, including those activities conducted by Sanofi or its Affiliates, shall be deemed to be Research under the Agreement and part of the Research Program for the [*];</w:t>
      </w:r>
    </w:p>
    <w:p>
      <w:pPr>
        <w:spacing w:after="0" w:line="175" w:lineRule="exact"/>
        <w:rPr>
          <w:rFonts w:ascii="Times New Roman" w:cs="Times New Roman" w:eastAsia="Times New Roman" w:hAnsi="Times New Roman"/>
          <w:sz w:val="20"/>
          <w:szCs w:val="20"/>
          <w:color w:val="auto"/>
        </w:rPr>
      </w:pPr>
    </w:p>
    <w:p>
      <w:pPr>
        <w:ind w:firstLine="2600"/>
        <w:spacing w:after="0" w:line="270" w:lineRule="auto"/>
        <w:tabs>
          <w:tab w:leader="none" w:pos="3482" w:val="left"/>
        </w:tabs>
        <w:numPr>
          <w:ilvl w:val="2"/>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nothing in this Amendment is intended to modify the Research Term, including with respect to such amended Research Plan for the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03" w:name="page104"/>
    <w:bookmarkEnd w:id="103"/>
    <w:p>
      <w:pPr>
        <w:jc w:val="both"/>
        <w:ind w:left="-880" w:firstLine="2600"/>
        <w:spacing w:after="0" w:line="255" w:lineRule="auto"/>
        <w:tabs>
          <w:tab w:leader="none" w:pos="2657"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in accordance with, and subject to the terms and conditions of, Section 2.1.1 (Research Programs; General) of the Agreement, each Party shall bear its own costs and expenses incurred by or on behalf of it or its respective Affiliates in the performance of such Party’s respective Research activities under such amended Research Plan;</w:t>
      </w:r>
    </w:p>
    <w:p>
      <w:pPr>
        <w:spacing w:after="0" w:line="175" w:lineRule="exact"/>
        <w:rPr>
          <w:rFonts w:ascii="Times New Roman" w:cs="Times New Roman" w:eastAsia="Times New Roman" w:hAnsi="Times New Roman"/>
          <w:sz w:val="20"/>
          <w:szCs w:val="20"/>
          <w:color w:val="auto"/>
        </w:rPr>
      </w:pPr>
    </w:p>
    <w:p>
      <w:pPr>
        <w:jc w:val="both"/>
        <w:ind w:left="-880" w:firstLine="2600"/>
        <w:spacing w:after="0" w:line="255" w:lineRule="auto"/>
        <w:tabs>
          <w:tab w:leader="none" w:pos="2646"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1"/>
          <w:szCs w:val="21"/>
          <w:color w:val="auto"/>
        </w:rPr>
        <w:t>in accordance with, and subject to the terms and conditions of, Section 12.1.1 (Research License to Nurix), Nurix may use Collaboration [*] (defined below) in its activities under the Research Plan for the [*], including for purposes of [*] such Collaboration [*] into [*] that are Directed To such [*].</w:t>
      </w:r>
    </w:p>
    <w:p>
      <w:pPr>
        <w:spacing w:after="0" w:line="175" w:lineRule="exact"/>
        <w:rPr>
          <w:rFonts w:ascii="Times New Roman" w:cs="Times New Roman" w:eastAsia="Times New Roman" w:hAnsi="Times New Roman"/>
          <w:sz w:val="20"/>
          <w:szCs w:val="20"/>
          <w:color w:val="auto"/>
        </w:rPr>
      </w:pPr>
    </w:p>
    <w:p>
      <w:pPr>
        <w:ind w:left="1740" w:hanging="885"/>
        <w:spacing w:after="0"/>
        <w:tabs>
          <w:tab w:leader="none" w:pos="174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Section 1.127 of the Agreement is hereby deleted in its entirety and replaced with the following:</w:t>
      </w:r>
    </w:p>
    <w:p>
      <w:pPr>
        <w:spacing w:after="0" w:line="216" w:lineRule="exact"/>
        <w:rPr>
          <w:sz w:val="20"/>
          <w:szCs w:val="20"/>
          <w:color w:val="auto"/>
        </w:rPr>
      </w:pPr>
    </w:p>
    <w:p>
      <w:pPr>
        <w:jc w:val="both"/>
        <w:ind w:firstLine="797"/>
        <w:spacing w:after="0" w:line="245" w:lineRule="auto"/>
        <w:rPr>
          <w:sz w:val="20"/>
          <w:szCs w:val="20"/>
          <w:color w:val="auto"/>
        </w:rPr>
      </w:pPr>
      <w:r>
        <w:rPr>
          <w:rFonts w:ascii="Times New Roman" w:cs="Times New Roman" w:eastAsia="Times New Roman" w:hAnsi="Times New Roman"/>
          <w:sz w:val="21"/>
          <w:szCs w:val="21"/>
          <w:color w:val="auto"/>
        </w:rPr>
        <w:t>1.127 “</w:t>
      </w:r>
      <w:r>
        <w:rPr>
          <w:rFonts w:ascii="Times New Roman" w:cs="Times New Roman" w:eastAsia="Times New Roman" w:hAnsi="Times New Roman"/>
          <w:sz w:val="21"/>
          <w:szCs w:val="21"/>
          <w:b w:val="1"/>
          <w:bCs w:val="1"/>
          <w:color w:val="auto"/>
        </w:rPr>
        <w:t>Licensed Product</w:t>
      </w:r>
      <w:r>
        <w:rPr>
          <w:rFonts w:ascii="Times New Roman" w:cs="Times New Roman" w:eastAsia="Times New Roman" w:hAnsi="Times New Roman"/>
          <w:sz w:val="21"/>
          <w:szCs w:val="21"/>
          <w:color w:val="auto"/>
        </w:rPr>
        <w:t>” means any pharmaceutical preparation in final form containing (a) a CTM (including any Development Candidate) that has relevant pharmacological activity and is Directed To a Collaboration Target, or (b) a Selected Target Binder or Collaboration [*] that is Directed To a Collaboration Target and itself has relevant pharmacological activity (each, a “</w:t>
      </w:r>
      <w:r>
        <w:rPr>
          <w:rFonts w:ascii="Times New Roman" w:cs="Times New Roman" w:eastAsia="Times New Roman" w:hAnsi="Times New Roman"/>
          <w:sz w:val="21"/>
          <w:szCs w:val="21"/>
          <w:b w:val="1"/>
          <w:bCs w:val="1"/>
          <w:color w:val="auto"/>
        </w:rPr>
        <w:t>Standalone Target Binder</w:t>
      </w:r>
      <w:r>
        <w:rPr>
          <w:rFonts w:ascii="Times New Roman" w:cs="Times New Roman" w:eastAsia="Times New Roman" w:hAnsi="Times New Roman"/>
          <w:sz w:val="21"/>
          <w:szCs w:val="21"/>
          <w:color w:val="auto"/>
        </w:rPr>
        <w:t>”), in each case that was identified (except for [*]), synthesized and Researched by or on behalf of Nurix or its Affiliates and/or, solely in the case of Collaboration [*], Sanofi or its Affiliates, in each case pursuant to a Research Plan, prior to the expiration of the applicable Collaboration Target Research Term (whether alone or as part of a Combination Product, and in all presentations and formulations including manner of delivery and dosage).</w:t>
      </w:r>
    </w:p>
    <w:p>
      <w:pPr>
        <w:spacing w:after="0" w:line="200" w:lineRule="exact"/>
        <w:rPr>
          <w:sz w:val="20"/>
          <w:szCs w:val="20"/>
          <w:color w:val="auto"/>
        </w:rPr>
      </w:pPr>
    </w:p>
    <w:p>
      <w:pPr>
        <w:spacing w:after="0" w:line="260" w:lineRule="exact"/>
        <w:rPr>
          <w:sz w:val="20"/>
          <w:szCs w:val="20"/>
          <w:color w:val="auto"/>
        </w:rPr>
      </w:pPr>
    </w:p>
    <w:p>
      <w:pPr>
        <w:ind w:left="1720" w:hanging="865"/>
        <w:spacing w:after="0"/>
        <w:tabs>
          <w:tab w:leader="none" w:pos="172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Section 1.198 of the Agreement is hereby deleted in its entirety and replaced with the following:</w:t>
      </w:r>
    </w:p>
    <w:p>
      <w:pPr>
        <w:spacing w:after="0" w:line="216" w:lineRule="exact"/>
        <w:rPr>
          <w:sz w:val="20"/>
          <w:szCs w:val="20"/>
          <w:color w:val="auto"/>
        </w:rPr>
      </w:pPr>
    </w:p>
    <w:p>
      <w:pPr>
        <w:jc w:val="both"/>
        <w:ind w:firstLine="797"/>
        <w:spacing w:after="0" w:line="249" w:lineRule="auto"/>
        <w:rPr>
          <w:sz w:val="20"/>
          <w:szCs w:val="20"/>
          <w:color w:val="auto"/>
        </w:rPr>
      </w:pPr>
      <w:r>
        <w:rPr>
          <w:rFonts w:ascii="Times New Roman" w:cs="Times New Roman" w:eastAsia="Times New Roman" w:hAnsi="Times New Roman"/>
          <w:sz w:val="21"/>
          <w:szCs w:val="21"/>
          <w:color w:val="auto"/>
        </w:rPr>
        <w:t>1.198 “</w:t>
      </w:r>
      <w:r>
        <w:rPr>
          <w:rFonts w:ascii="Times New Roman" w:cs="Times New Roman" w:eastAsia="Times New Roman" w:hAnsi="Times New Roman"/>
          <w:sz w:val="21"/>
          <w:szCs w:val="21"/>
          <w:b w:val="1"/>
          <w:bCs w:val="1"/>
          <w:color w:val="auto"/>
        </w:rPr>
        <w:t>Reverted Product</w:t>
      </w:r>
      <w:r>
        <w:rPr>
          <w:rFonts w:ascii="Times New Roman" w:cs="Times New Roman" w:eastAsia="Times New Roman" w:hAnsi="Times New Roman"/>
          <w:sz w:val="21"/>
          <w:szCs w:val="21"/>
          <w:color w:val="auto"/>
        </w:rPr>
        <w:t xml:space="preserve">” means all CTMs, Target Binders, Standalone Target Binders and Development Candidates (and backups thereto) that are Directed To a Reverted Target, but in each case excluding any [*] and any CTMs comprising a [*];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for clarity, if the [*] becomes a Reverted Target, then Reverted Products shall include all Collaboration [*] that are: (a) derived by [*] from Target Binders [*]; or (b) identified or developed by [*] using (i) [*] or (ii) [*].</w:t>
      </w:r>
    </w:p>
    <w:p>
      <w:pPr>
        <w:spacing w:after="0" w:line="200" w:lineRule="exact"/>
        <w:rPr>
          <w:sz w:val="20"/>
          <w:szCs w:val="20"/>
          <w:color w:val="auto"/>
        </w:rPr>
      </w:pPr>
    </w:p>
    <w:p>
      <w:pPr>
        <w:spacing w:after="0" w:line="223" w:lineRule="exact"/>
        <w:rPr>
          <w:sz w:val="20"/>
          <w:szCs w:val="20"/>
          <w:color w:val="auto"/>
        </w:rPr>
      </w:pPr>
    </w:p>
    <w:p>
      <w:pPr>
        <w:ind w:left="1740" w:hanging="885"/>
        <w:spacing w:after="0"/>
        <w:tabs>
          <w:tab w:leader="none" w:pos="174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Section 1.212 of the Agreement is hereby deleted in its entirety and replaced with the following:</w:t>
      </w:r>
    </w:p>
    <w:p>
      <w:pPr>
        <w:spacing w:after="0" w:line="216" w:lineRule="exact"/>
        <w:rPr>
          <w:sz w:val="20"/>
          <w:szCs w:val="20"/>
          <w:color w:val="auto"/>
        </w:rPr>
      </w:pPr>
    </w:p>
    <w:p>
      <w:pPr>
        <w:jc w:val="both"/>
        <w:ind w:firstLine="797"/>
        <w:spacing w:after="0" w:line="256" w:lineRule="auto"/>
        <w:rPr>
          <w:sz w:val="20"/>
          <w:szCs w:val="20"/>
          <w:color w:val="auto"/>
        </w:rPr>
      </w:pPr>
      <w:r>
        <w:rPr>
          <w:rFonts w:ascii="Times New Roman" w:cs="Times New Roman" w:eastAsia="Times New Roman" w:hAnsi="Times New Roman"/>
          <w:sz w:val="21"/>
          <w:szCs w:val="21"/>
          <w:color w:val="auto"/>
        </w:rPr>
        <w:t>1.212 “</w:t>
      </w:r>
      <w:r>
        <w:rPr>
          <w:rFonts w:ascii="Times New Roman" w:cs="Times New Roman" w:eastAsia="Times New Roman" w:hAnsi="Times New Roman"/>
          <w:sz w:val="21"/>
          <w:szCs w:val="21"/>
          <w:b w:val="1"/>
          <w:bCs w:val="1"/>
          <w:color w:val="auto"/>
        </w:rPr>
        <w:t>Sanofi M1 Criteria</w:t>
      </w:r>
      <w:r>
        <w:rPr>
          <w:rFonts w:ascii="Times New Roman" w:cs="Times New Roman" w:eastAsia="Times New Roman" w:hAnsi="Times New Roman"/>
          <w:sz w:val="21"/>
          <w:szCs w:val="21"/>
          <w:color w:val="auto"/>
        </w:rPr>
        <w:t>” means, with respect to a CTM or Target Binder, the criteria that serve as a basis for Sanofi’s determination in accordance with its standard internal policies and formal governance procedures to further commit resources to potentially achieve [*] for such CTM or Target Binder, which criteria include [*].</w:t>
      </w:r>
    </w:p>
    <w:p>
      <w:pPr>
        <w:spacing w:after="0" w:line="174" w:lineRule="exact"/>
        <w:rPr>
          <w:sz w:val="20"/>
          <w:szCs w:val="20"/>
          <w:color w:val="auto"/>
        </w:rPr>
      </w:pPr>
    </w:p>
    <w:p>
      <w:pPr>
        <w:ind w:left="4700" w:right="1420" w:hanging="3845"/>
        <w:spacing w:after="0" w:line="469" w:lineRule="auto"/>
        <w:tabs>
          <w:tab w:leader="none" w:pos="1729"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 xml:space="preserve">A new Section 1.242 is hereby added to the Agreement which shall provide as follows: </w:t>
      </w: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197485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60"/>
          </w:cols>
          <w:pgMar w:left="1200" w:top="120" w:right="339" w:bottom="1440" w:gutter="0" w:footer="0" w:header="0"/>
        </w:sectPr>
      </w:pPr>
    </w:p>
    <w:bookmarkStart w:id="104" w:name="page105"/>
    <w:bookmarkEnd w:id="104"/>
    <w:p>
      <w:pPr>
        <w:jc w:val="both"/>
        <w:ind w:left="880" w:firstLine="797"/>
        <w:spacing w:after="0" w:line="256" w:lineRule="auto"/>
        <w:rPr>
          <w:sz w:val="20"/>
          <w:szCs w:val="20"/>
          <w:color w:val="auto"/>
        </w:rPr>
      </w:pPr>
      <w:r>
        <w:rPr>
          <w:rFonts w:ascii="Times New Roman" w:cs="Times New Roman" w:eastAsia="Times New Roman" w:hAnsi="Times New Roman"/>
          <w:sz w:val="21"/>
          <w:szCs w:val="21"/>
          <w:color w:val="auto"/>
        </w:rPr>
        <w:t>1.242 “</w:t>
      </w:r>
      <w:r>
        <w:rPr>
          <w:rFonts w:ascii="Times New Roman" w:cs="Times New Roman" w:eastAsia="Times New Roman" w:hAnsi="Times New Roman"/>
          <w:sz w:val="21"/>
          <w:szCs w:val="21"/>
          <w:b w:val="1"/>
          <w:bCs w:val="1"/>
          <w:color w:val="auto"/>
        </w:rPr>
        <w:t>Amended</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b w:val="1"/>
          <w:bCs w:val="1"/>
          <w:color w:val="auto"/>
        </w:rPr>
        <w:t>Research Plan</w:t>
      </w:r>
      <w:r>
        <w:rPr>
          <w:rFonts w:ascii="Times New Roman" w:cs="Times New Roman" w:eastAsia="Times New Roman" w:hAnsi="Times New Roman"/>
          <w:sz w:val="21"/>
          <w:szCs w:val="21"/>
          <w:color w:val="auto"/>
        </w:rPr>
        <w:t>” means the amended Research Plan for the [*], attached as Exhibit A to Amendment No. 3 to the Agreement, as such plan may be further amended from time to time in accordance with this Agreement.</w:t>
      </w:r>
    </w:p>
    <w:p>
      <w:pPr>
        <w:spacing w:after="0" w:line="200" w:lineRule="exact"/>
        <w:rPr>
          <w:sz w:val="20"/>
          <w:szCs w:val="20"/>
          <w:color w:val="auto"/>
        </w:rPr>
      </w:pPr>
    </w:p>
    <w:p>
      <w:pPr>
        <w:spacing w:after="0" w:line="217" w:lineRule="exact"/>
        <w:rPr>
          <w:sz w:val="20"/>
          <w:szCs w:val="20"/>
          <w:color w:val="auto"/>
        </w:rPr>
      </w:pPr>
    </w:p>
    <w:p>
      <w:pPr>
        <w:ind w:left="2580" w:hanging="845"/>
        <w:spacing w:after="0"/>
        <w:tabs>
          <w:tab w:leader="none" w:pos="258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A new Section 1.243 is hereby added to the Agreement which shall provide as follows:</w:t>
      </w:r>
    </w:p>
    <w:p>
      <w:pPr>
        <w:spacing w:after="0" w:line="216" w:lineRule="exact"/>
        <w:rPr>
          <w:sz w:val="20"/>
          <w:szCs w:val="20"/>
          <w:color w:val="auto"/>
        </w:rPr>
      </w:pPr>
    </w:p>
    <w:p>
      <w:pPr>
        <w:ind w:left="880" w:firstLine="797"/>
        <w:spacing w:after="0" w:line="272" w:lineRule="auto"/>
        <w:rPr>
          <w:sz w:val="20"/>
          <w:szCs w:val="20"/>
          <w:color w:val="auto"/>
        </w:rPr>
      </w:pPr>
      <w:r>
        <w:rPr>
          <w:rFonts w:ascii="Times New Roman" w:cs="Times New Roman" w:eastAsia="Times New Roman" w:hAnsi="Times New Roman"/>
          <w:sz w:val="21"/>
          <w:szCs w:val="21"/>
          <w:color w:val="auto"/>
        </w:rPr>
        <w:t>1.243 “</w:t>
      </w:r>
      <w:r>
        <w:rPr>
          <w:rFonts w:ascii="Times New Roman" w:cs="Times New Roman" w:eastAsia="Times New Roman" w:hAnsi="Times New Roman"/>
          <w:sz w:val="21"/>
          <w:szCs w:val="21"/>
          <w:b w:val="1"/>
          <w:bCs w:val="1"/>
          <w:color w:val="auto"/>
        </w:rPr>
        <w:t>Collaboration</w:t>
      </w:r>
      <w:r>
        <w:rPr>
          <w:rFonts w:ascii="Times New Roman" w:cs="Times New Roman" w:eastAsia="Times New Roman" w:hAnsi="Times New Roman"/>
          <w:sz w:val="21"/>
          <w:szCs w:val="21"/>
          <w:color w:val="auto"/>
        </w:rPr>
        <w:t xml:space="preserve"> [*]” means each [*] that: (a) is [*]; (b) [*]; and (c) is identified and Researched under Part 2 ([*]) of the [*]. For clarity, each Collaboration [*] is a Target Binder.</w:t>
      </w:r>
    </w:p>
    <w:p>
      <w:pPr>
        <w:spacing w:after="0" w:line="400" w:lineRule="exact"/>
        <w:rPr>
          <w:sz w:val="20"/>
          <w:szCs w:val="20"/>
          <w:color w:val="auto"/>
        </w:rPr>
      </w:pPr>
    </w:p>
    <w:p>
      <w:pPr>
        <w:ind w:left="2620" w:hanging="885"/>
        <w:spacing w:after="0"/>
        <w:tabs>
          <w:tab w:leader="none" w:pos="262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A new Section 1.244 is hereby added to the Agreement which shall provide as follows:</w:t>
      </w:r>
    </w:p>
    <w:p>
      <w:pPr>
        <w:spacing w:after="0" w:line="216" w:lineRule="exact"/>
        <w:rPr>
          <w:sz w:val="20"/>
          <w:szCs w:val="20"/>
          <w:color w:val="auto"/>
        </w:rPr>
      </w:pPr>
    </w:p>
    <w:p>
      <w:pPr>
        <w:jc w:val="both"/>
        <w:ind w:left="880" w:firstLine="797"/>
        <w:spacing w:after="0" w:line="253" w:lineRule="auto"/>
        <w:rPr>
          <w:sz w:val="20"/>
          <w:szCs w:val="20"/>
          <w:color w:val="auto"/>
        </w:rPr>
      </w:pPr>
      <w:r>
        <w:rPr>
          <w:rFonts w:ascii="Times New Roman" w:cs="Times New Roman" w:eastAsia="Times New Roman" w:hAnsi="Times New Roman"/>
          <w:sz w:val="21"/>
          <w:szCs w:val="21"/>
          <w:color w:val="auto"/>
        </w:rPr>
        <w:t>1.244 “</w:t>
      </w:r>
      <w:r>
        <w:rPr>
          <w:rFonts w:ascii="Times New Roman" w:cs="Times New Roman" w:eastAsia="Times New Roman" w:hAnsi="Times New Roman"/>
          <w:sz w:val="21"/>
          <w:szCs w:val="21"/>
          <w:b w:val="1"/>
          <w:bCs w:val="1"/>
          <w:color w:val="auto"/>
        </w:rPr>
        <w:t>Modulate</w:t>
      </w:r>
      <w:r>
        <w:rPr>
          <w:rFonts w:ascii="Times New Roman" w:cs="Times New Roman" w:eastAsia="Times New Roman" w:hAnsi="Times New Roman"/>
          <w:sz w:val="21"/>
          <w:szCs w:val="21"/>
          <w:color w:val="auto"/>
        </w:rPr>
        <w:t>” means, with regard to a particular Target, that the compound or product at issue activates, inhibits, agonizes, antagonizes, or otherwise regulates or adjusts such Target, and such activation, inhibition, agonizing, antagonizing, or other regulation or adjustment causes pharmacologically relevant activity with respect to such Target.</w:t>
      </w:r>
    </w:p>
    <w:p>
      <w:pPr>
        <w:spacing w:after="0" w:line="200" w:lineRule="exact"/>
        <w:rPr>
          <w:sz w:val="20"/>
          <w:szCs w:val="20"/>
          <w:color w:val="auto"/>
        </w:rPr>
      </w:pPr>
    </w:p>
    <w:p>
      <w:pPr>
        <w:spacing w:after="0" w:line="253" w:lineRule="exact"/>
        <w:rPr>
          <w:sz w:val="20"/>
          <w:szCs w:val="20"/>
          <w:color w:val="auto"/>
        </w:rPr>
      </w:pPr>
    </w:p>
    <w:p>
      <w:pPr>
        <w:ind w:left="2620" w:hanging="885"/>
        <w:spacing w:after="0"/>
        <w:tabs>
          <w:tab w:leader="none" w:pos="262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A new Section 1.245 is hereby added to the Agreement which shall provide as follows:</w:t>
      </w:r>
    </w:p>
    <w:p>
      <w:pPr>
        <w:spacing w:after="0" w:line="216" w:lineRule="exact"/>
        <w:rPr>
          <w:sz w:val="20"/>
          <w:szCs w:val="20"/>
          <w:color w:val="auto"/>
        </w:rPr>
      </w:pPr>
    </w:p>
    <w:p>
      <w:pPr>
        <w:jc w:val="both"/>
        <w:ind w:left="880" w:firstLine="797"/>
        <w:spacing w:after="0" w:line="247" w:lineRule="auto"/>
        <w:rPr>
          <w:sz w:val="20"/>
          <w:szCs w:val="20"/>
          <w:color w:val="auto"/>
        </w:rPr>
      </w:pPr>
      <w:r>
        <w:rPr>
          <w:rFonts w:ascii="Times New Roman" w:cs="Times New Roman" w:eastAsia="Times New Roman" w:hAnsi="Times New Roman"/>
          <w:sz w:val="21"/>
          <w:szCs w:val="21"/>
          <w:color w:val="auto"/>
        </w:rPr>
        <w:t xml:space="preserve">1.245 “[*] </w:t>
      </w:r>
      <w:r>
        <w:rPr>
          <w:rFonts w:ascii="Times New Roman" w:cs="Times New Roman" w:eastAsia="Times New Roman" w:hAnsi="Times New Roman"/>
          <w:sz w:val="21"/>
          <w:szCs w:val="21"/>
          <w:b w:val="1"/>
          <w:bCs w:val="1"/>
          <w:color w:val="auto"/>
        </w:rPr>
        <w:t>Sanofi Background IP</w:t>
      </w:r>
      <w:r>
        <w:rPr>
          <w:rFonts w:ascii="Times New Roman" w:cs="Times New Roman" w:eastAsia="Times New Roman" w:hAnsi="Times New Roman"/>
          <w:sz w:val="21"/>
          <w:szCs w:val="21"/>
          <w:color w:val="auto"/>
        </w:rPr>
        <w:t>” means Background IP Controlled by Sanofi consisting solely of: (a) Patents covering inventions that (i) were conceived or reduced to practice on or before [*] for the [*] (even if such Patents were applied for or issued after such date), (ii) are [*] into a Collaboration [*] or [*] pursuant to Section 2.9.1 (Information Sharing), and (iii) [*], pursuant to Section 17.7.2 (Reversion); and (b) Know-How that (i) was in existence on or before [*] for the [*], (ii) is [*] under Part 2 ([*]) of the [*] and that [*] pursuant to Section 2.9.1 (Information Sharing), and (iii) [*] to Research, Develop, Manufacture, or Commercialize a Reverted Product that is Directed To the [*]. [*].</w:t>
      </w:r>
    </w:p>
    <w:p>
      <w:pPr>
        <w:spacing w:after="0" w:line="212" w:lineRule="exact"/>
        <w:rPr>
          <w:sz w:val="20"/>
          <w:szCs w:val="20"/>
          <w:color w:val="auto"/>
        </w:rPr>
      </w:pPr>
    </w:p>
    <w:p>
      <w:pPr>
        <w:ind w:left="2580" w:hanging="845"/>
        <w:spacing w:after="0"/>
        <w:tabs>
          <w:tab w:leader="none" w:pos="258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Section 2.7.4 of the Agreement is hereby deleted in its entirety and replaced with the following:</w:t>
      </w:r>
    </w:p>
    <w:p>
      <w:pPr>
        <w:spacing w:after="0" w:line="218" w:lineRule="exact"/>
        <w:rPr>
          <w:sz w:val="20"/>
          <w:szCs w:val="20"/>
          <w:color w:val="auto"/>
        </w:rPr>
      </w:pPr>
    </w:p>
    <w:p>
      <w:pPr>
        <w:jc w:val="both"/>
        <w:ind w:left="880" w:firstLine="797"/>
        <w:spacing w:after="0" w:line="245" w:lineRule="auto"/>
        <w:rPr>
          <w:sz w:val="20"/>
          <w:szCs w:val="20"/>
          <w:color w:val="auto"/>
        </w:rPr>
      </w:pPr>
      <w:r>
        <w:rPr>
          <w:rFonts w:ascii="Times New Roman" w:cs="Times New Roman" w:eastAsia="Times New Roman" w:hAnsi="Times New Roman"/>
          <w:sz w:val="21"/>
          <w:szCs w:val="21"/>
          <w:color w:val="auto"/>
        </w:rPr>
        <w:t xml:space="preserve">2.7.4 </w:t>
      </w:r>
      <w:r>
        <w:rPr>
          <w:rFonts w:ascii="Times New Roman" w:cs="Times New Roman" w:eastAsia="Times New Roman" w:hAnsi="Times New Roman"/>
          <w:sz w:val="21"/>
          <w:szCs w:val="21"/>
          <w:u w:val="single" w:color="auto"/>
          <w:color w:val="auto"/>
        </w:rPr>
        <w:t>Activities to be Performed by Sanofi</w:t>
      </w:r>
      <w:r>
        <w:rPr>
          <w:rFonts w:ascii="Times New Roman" w:cs="Times New Roman" w:eastAsia="Times New Roman" w:hAnsi="Times New Roman"/>
          <w:sz w:val="21"/>
          <w:szCs w:val="21"/>
          <w:color w:val="auto"/>
        </w:rPr>
        <w:t>. The Parties agree that Sanofi shall have the right to perform certain research activities under the Agreement, including [*]. If Sanofi performs any such [*] research activities, then Nurix shall transfer upon request by Sanofi and at no cost to Sanofi, adequate amounts of biological and CTM materials and Target Binder materials (including protocols, control compounds, and reagents for related assays) for such purposes, in each case as may be specified in the applicable Research Plan or otherwise mutually agreed by the Parties via the JRC as reflected in written minutes approved in accordance with Section 9.2.2 of the Agreement. Prior to Nurix transferring any such materials to Sanofi, the Parties shall enter into a material transfer agreement in substantially the form set forth on Exhibit F to the Correspondence (a “</w:t>
      </w:r>
      <w:r>
        <w:rPr>
          <w:rFonts w:ascii="Times New Roman" w:cs="Times New Roman" w:eastAsia="Times New Roman" w:hAnsi="Times New Roman"/>
          <w:sz w:val="21"/>
          <w:szCs w:val="21"/>
          <w:b w:val="1"/>
          <w:bCs w:val="1"/>
          <w:color w:val="auto"/>
        </w:rPr>
        <w:t>Material Transfer Agreement</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ind w:firstLine="1735"/>
        <w:spacing w:after="0" w:line="270" w:lineRule="auto"/>
        <w:tabs>
          <w:tab w:leader="none" w:pos="2573"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For clarity, Section 2.9.1 (Information Sharing) shall apply to all Research conducted by Sanofi under Part 2 ([*]) of the Amended [*] Research Plan. For further clarity,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361315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jc w:val="both"/>
        <w:spacing w:after="0" w:line="255" w:lineRule="auto"/>
        <w:rPr>
          <w:sz w:val="20"/>
          <w:szCs w:val="20"/>
          <w:color w:val="auto"/>
        </w:rPr>
      </w:pPr>
      <w:r>
        <w:rPr>
          <w:rFonts w:ascii="Times New Roman" w:cs="Times New Roman" w:eastAsia="Times New Roman" w:hAnsi="Times New Roman"/>
          <w:sz w:val="21"/>
          <w:szCs w:val="21"/>
          <w:color w:val="auto"/>
        </w:rPr>
        <w:t>notwithstanding anything to the contrary in Section 2.9.2 (Development Candidate Data Package) or Section 2.9.3 (Nurix Key Data Report) of the Agreement, [*] results of Sanofi’s activities with respect to the Research under Part 2 ([*]) of the [*], as assigned to Sanofi under the [*].</w:t>
      </w:r>
    </w:p>
    <w:p>
      <w:pPr>
        <w:spacing w:after="0" w:line="175" w:lineRule="exact"/>
        <w:rPr>
          <w:sz w:val="20"/>
          <w:szCs w:val="20"/>
          <w:color w:val="auto"/>
        </w:rPr>
      </w:pPr>
    </w:p>
    <w:p>
      <w:pPr>
        <w:ind w:left="2620" w:hanging="885"/>
        <w:spacing w:after="0"/>
        <w:tabs>
          <w:tab w:leader="none" w:pos="262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Section 2.10.3 of the Agreement is hereby deleted in its entirety and replaced with the following:</w:t>
      </w:r>
    </w:p>
    <w:p>
      <w:pPr>
        <w:spacing w:after="0" w:line="218" w:lineRule="exact"/>
        <w:rPr>
          <w:sz w:val="20"/>
          <w:szCs w:val="20"/>
          <w:color w:val="auto"/>
        </w:rPr>
      </w:pPr>
    </w:p>
    <w:p>
      <w:pPr>
        <w:jc w:val="both"/>
        <w:ind w:left="880" w:firstLine="797"/>
        <w:spacing w:after="0" w:line="243" w:lineRule="auto"/>
        <w:rPr>
          <w:sz w:val="20"/>
          <w:szCs w:val="20"/>
          <w:color w:val="auto"/>
        </w:rPr>
      </w:pPr>
      <w:r>
        <w:rPr>
          <w:rFonts w:ascii="Times New Roman" w:cs="Times New Roman" w:eastAsia="Times New Roman" w:hAnsi="Times New Roman"/>
          <w:sz w:val="21"/>
          <w:szCs w:val="21"/>
          <w:color w:val="auto"/>
        </w:rPr>
        <w:t xml:space="preserve">2.10.3 </w:t>
      </w:r>
      <w:r>
        <w:rPr>
          <w:rFonts w:ascii="Times New Roman" w:cs="Times New Roman" w:eastAsia="Times New Roman" w:hAnsi="Times New Roman"/>
          <w:sz w:val="21"/>
          <w:szCs w:val="21"/>
          <w:u w:val="single" w:color="auto"/>
          <w:color w:val="auto"/>
        </w:rPr>
        <w:t>Research Results</w:t>
      </w:r>
      <w:r>
        <w:rPr>
          <w:rFonts w:ascii="Times New Roman" w:cs="Times New Roman" w:eastAsia="Times New Roman" w:hAnsi="Times New Roman"/>
          <w:sz w:val="21"/>
          <w:szCs w:val="21"/>
          <w:color w:val="auto"/>
        </w:rPr>
        <w:t>. All Research Results generated by or on behalf of (i) Nurix or (ii) solely in the case of Research Results related to Collaboration [*], either Party, in each case, under this Agreement or any Ancillary Agreement will be deemed the Confidential Information of both Parties, provided, however, that, if Sanofi fails to make a License Extension Fee for a Collaboration Target in accordance with Section 11.4 (License Extension Fee) prior to the expiration of the License Extension Fee Timeframe for such Collaboration License, then upon the expiration of the Target Exclusivity Period for such Target, all Research Results related to such Target that are generated by or on behalf of (i) Nurix or (ii) solely in the case of [*], either Party, in each case, in the performance of the Collaboration will be deemed the Confidential Information of Nurix, to the extent such Research Results do not include any data, results or other information pertaining to any CTM comprising a [*], any [*] or other Sanofi Materials, or, in the case of the [*], any [*], in each case, which will be deemed the Confidential Information of Sanofi. For clarity: (a) this Section 2.10.3 (Research Results) shall not limit Sanofi’s ability to exercise the license set forth in Section 17.7.2(c) (Reversion), in accordance with the terms and conditions thereof; and (b) Sanofi’s ability to use and disclose such Nurix Confidential Information to Third Parties is governed by Article 14 (Confidentiality), including Sanofi’s right to make disclosures as further described in Section 14.3.1(e)(ii) under customary confidentiality and non-use obligations, to the extent necessary or reasonably useful for Sanofi to exercise its rights under the license set forth in Section 17.7.2(c) (Reversion).</w:t>
      </w:r>
    </w:p>
    <w:p>
      <w:pPr>
        <w:spacing w:after="0" w:line="193" w:lineRule="exact"/>
        <w:rPr>
          <w:sz w:val="20"/>
          <w:szCs w:val="20"/>
          <w:color w:val="auto"/>
        </w:rPr>
      </w:pPr>
    </w:p>
    <w:p>
      <w:pPr>
        <w:ind w:left="2580" w:hanging="845"/>
        <w:spacing w:after="0"/>
        <w:tabs>
          <w:tab w:leader="none" w:pos="258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Section 7.1 of the Agreement is hereby deleted in its entirety and replaced with the following:</w:t>
      </w:r>
    </w:p>
    <w:p>
      <w:pPr>
        <w:spacing w:after="0" w:line="218" w:lineRule="exact"/>
        <w:rPr>
          <w:sz w:val="20"/>
          <w:szCs w:val="20"/>
          <w:color w:val="auto"/>
        </w:rPr>
      </w:pPr>
    </w:p>
    <w:p>
      <w:pPr>
        <w:jc w:val="both"/>
        <w:ind w:left="880" w:firstLine="797"/>
        <w:spacing w:after="0" w:line="246"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u w:val="single" w:color="auto"/>
          <w:color w:val="auto"/>
        </w:rPr>
        <w:t>Manufacturing</w:t>
      </w:r>
      <w:r>
        <w:rPr>
          <w:rFonts w:ascii="Times New Roman" w:cs="Times New Roman" w:eastAsia="Times New Roman" w:hAnsi="Times New Roman"/>
          <w:sz w:val="21"/>
          <w:szCs w:val="21"/>
          <w:color w:val="auto"/>
        </w:rPr>
        <w:t>. Subject to the terms and conditions of this Agreement, (a) Nurix, at its sole cost and expense, will Manufacture, itself or through Third Parties, Research supplies (other than GLP tox supplies) for the Parties’ use of the respective CTMs, Target Binders and Development Candidates in the Field in the Territory under the Collaboration, provided that [*], provided, further, that Research supplies for Sanofi shall be limited to those specified in any Research Plan for Sanofi activities or otherwise as permitted under Section 2.7.4 (Activities to be Performed by Sanofi), and</w:t>
      </w:r>
    </w:p>
    <w:p>
      <w:pPr>
        <w:spacing w:after="0" w:line="1" w:lineRule="exact"/>
        <w:rPr>
          <w:sz w:val="20"/>
          <w:szCs w:val="20"/>
          <w:color w:val="auto"/>
        </w:rPr>
      </w:pPr>
    </w:p>
    <w:p>
      <w:pPr>
        <w:jc w:val="both"/>
        <w:ind w:left="880" w:hanging="8"/>
        <w:spacing w:after="0" w:line="242" w:lineRule="auto"/>
        <w:tabs>
          <w:tab w:leader="none" w:pos="1174"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Sanofi will have the sole and exclusive right to Manufacture (and will solely and exclusively control, at its discretion, the Manufacture of), itself or with or through its Affiliates, Sublicensees or other Third Parties, the GLP tox supplies, and supplies to support Development or Commercial activities for the respective Development Candidates, backups thereto and Licensed Products in the Field in the Territory. Subject to the Co-Development/Co-Commercialization Agreement and Profit/Loss Share Agreement (if executed), all such Manufacturing described in clause (b) will be at Sanofi’s sole cost and expense. Notwithstanding the foregoing, Sanofi shall have the right, but not the obligation, to Manufacture, itself or through Third Parties, Research supplies of [*] to enable Sanofi’s activities with respect to the Research of Collaboration [*], as assigned to Sanofi under the [*]. Upon request, Nurix shall provide Sanofi with [*] for Sanofi to be able to Manufacture such Research supplies, including, without limitation, [*] for the relevant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361315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6" w:name="page107"/>
    <w:bookmarkEnd w:id="106"/>
    <w:p>
      <w:pPr>
        <w:ind w:left="880"/>
        <w:spacing w:after="0"/>
        <w:rPr>
          <w:sz w:val="20"/>
          <w:szCs w:val="20"/>
          <w:color w:val="auto"/>
        </w:rPr>
      </w:pPr>
      <w:r>
        <w:rPr>
          <w:rFonts w:ascii="Times New Roman" w:cs="Times New Roman" w:eastAsia="Times New Roman" w:hAnsi="Times New Roman"/>
          <w:sz w:val="21"/>
          <w:szCs w:val="21"/>
          <w:color w:val="auto"/>
        </w:rPr>
        <w:t>Collaboration [*].</w:t>
      </w:r>
    </w:p>
    <w:p>
      <w:pPr>
        <w:spacing w:after="0" w:line="218" w:lineRule="exact"/>
        <w:rPr>
          <w:sz w:val="20"/>
          <w:szCs w:val="20"/>
          <w:color w:val="auto"/>
        </w:rPr>
      </w:pPr>
    </w:p>
    <w:p>
      <w:pPr>
        <w:jc w:val="both"/>
        <w:ind w:firstLine="1735"/>
        <w:spacing w:after="0" w:line="258" w:lineRule="auto"/>
        <w:tabs>
          <w:tab w:leader="none" w:pos="2672" w:val="left"/>
        </w:tabs>
        <w:numPr>
          <w:ilvl w:val="1"/>
          <w:numId w:val="7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Notwithstanding anything in Article 8 (Nurix Options) to the contrary: (i) under Section 8.1 (Delivery of Profit/Loss Share Data Package to Nurix), if [*] is achieved for a Licensed Product that is a [*] (a “[*]”) and/or a [*], then Sanofi will provide Nurix with a Profit/Loss Share Data Package for [*] Licensed Product Directed To the [*] that achieves [*]; and (ii) under Section 8.2 (Option Exercise), [*], Nurix may elect to exercise a Co-Development/Co-Promotion Option for [*], in each case, after receiving the Profit/Loss Share Data Package for the [*]. If (a) Nurix elects to exercise the Co-Development/Co-Promotion Option for</w:t>
      </w:r>
    </w:p>
    <w:p>
      <w:pPr>
        <w:spacing w:after="0" w:line="2" w:lineRule="exact"/>
        <w:rPr>
          <w:rFonts w:ascii="Times New Roman" w:cs="Times New Roman" w:eastAsia="Times New Roman" w:hAnsi="Times New Roman"/>
          <w:sz w:val="19"/>
          <w:szCs w:val="19"/>
          <w:b w:val="1"/>
          <w:bCs w:val="1"/>
          <w:color w:val="auto"/>
        </w:rPr>
      </w:pPr>
    </w:p>
    <w:p>
      <w:pPr>
        <w:ind w:right="20" w:firstLine="8"/>
        <w:spacing w:after="0" w:line="246" w:lineRule="auto"/>
        <w:tabs>
          <w:tab w:leader="none" w:pos="29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receiving such Profit/Loss Share Data Package and (b) [*], then Sanofi will [*] for the [*]; provided that, for clarity, [*], which shall [*]. [*].</w:t>
      </w:r>
    </w:p>
    <w:p>
      <w:pPr>
        <w:spacing w:after="0" w:line="182" w:lineRule="exact"/>
        <w:rPr>
          <w:rFonts w:ascii="Times New Roman" w:cs="Times New Roman" w:eastAsia="Times New Roman" w:hAnsi="Times New Roman"/>
          <w:sz w:val="21"/>
          <w:szCs w:val="21"/>
          <w:color w:val="auto"/>
        </w:rPr>
      </w:pPr>
    </w:p>
    <w:p>
      <w:pPr>
        <w:ind w:left="2620" w:hanging="885"/>
        <w:spacing w:after="0"/>
        <w:tabs>
          <w:tab w:leader="none" w:pos="2620" w:val="left"/>
        </w:tabs>
        <w:numPr>
          <w:ilvl w:val="1"/>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Section 9.4.1 of the Agreement is hereby deleted in its entirety and replaced with the following:</w:t>
      </w:r>
    </w:p>
    <w:p>
      <w:pPr>
        <w:spacing w:after="0" w:line="218" w:lineRule="exact"/>
        <w:rPr>
          <w:sz w:val="20"/>
          <w:szCs w:val="20"/>
          <w:color w:val="auto"/>
        </w:rPr>
      </w:pPr>
    </w:p>
    <w:p>
      <w:pPr>
        <w:jc w:val="both"/>
        <w:ind w:left="880" w:firstLine="797"/>
        <w:spacing w:after="0" w:line="262" w:lineRule="auto"/>
        <w:rPr>
          <w:sz w:val="20"/>
          <w:szCs w:val="20"/>
          <w:color w:val="auto"/>
        </w:rPr>
      </w:pPr>
      <w:r>
        <w:rPr>
          <w:rFonts w:ascii="Times New Roman" w:cs="Times New Roman" w:eastAsia="Times New Roman" w:hAnsi="Times New Roman"/>
          <w:sz w:val="20"/>
          <w:szCs w:val="20"/>
          <w:color w:val="auto"/>
        </w:rPr>
        <w:t xml:space="preserve">9.4.1 </w:t>
      </w:r>
      <w:r>
        <w:rPr>
          <w:rFonts w:ascii="Times New Roman" w:cs="Times New Roman" w:eastAsia="Times New Roman" w:hAnsi="Times New Roman"/>
          <w:sz w:val="20"/>
          <w:szCs w:val="20"/>
          <w:u w:val="single" w:color="auto"/>
          <w:color w:val="auto"/>
        </w:rPr>
        <w:t>JRC Decisions</w:t>
      </w:r>
      <w:r>
        <w:rPr>
          <w:rFonts w:ascii="Times New Roman" w:cs="Times New Roman" w:eastAsia="Times New Roman" w:hAnsi="Times New Roman"/>
          <w:sz w:val="20"/>
          <w:szCs w:val="20"/>
          <w:color w:val="auto"/>
        </w:rPr>
        <w:t xml:space="preserve">. Each Party will have one vote at the JRC. The JRC will endeavor to make decisions by consensus. In the absence of consensus, any dispute will be escalated to the Executive Officers, and if the Executive Officers are unable to resolve such dispute within [*] Business Days after such matter has been referred to them then (a) for matters relating to [*], Nurix shall have final decision-making ability;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Sanofi shall have final decision-making ability for matters relating to [*], and (b) for all other matters and any matter overseen by the JRC, Sanofi shall have final decision-making ability. For clarity, Nurix shall not use its final decision-making ability to (i) [*]; (ii) [*] or (iii) [*].</w:t>
      </w:r>
    </w:p>
    <w:p>
      <w:pPr>
        <w:spacing w:after="0" w:line="168" w:lineRule="exact"/>
        <w:rPr>
          <w:sz w:val="20"/>
          <w:szCs w:val="20"/>
          <w:color w:val="auto"/>
        </w:rPr>
      </w:pPr>
    </w:p>
    <w:p>
      <w:pPr>
        <w:jc w:val="both"/>
        <w:ind w:firstLine="1735"/>
        <w:spacing w:after="0" w:line="255" w:lineRule="auto"/>
        <w:tabs>
          <w:tab w:leader="none" w:pos="2606"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Exhibit B attached to this Amendment is hereby added to Schedule 1.188 (Research Milestone Event Criteria) to the Agreement, solely with respect to [*]. For clarity, with respect to Licensed Products other than [*], Schedule 1.188 shall remain unchanged.</w:t>
      </w:r>
    </w:p>
    <w:p>
      <w:pPr>
        <w:spacing w:after="0" w:line="175" w:lineRule="exact"/>
        <w:rPr>
          <w:rFonts w:ascii="Times New Roman" w:cs="Times New Roman" w:eastAsia="Times New Roman" w:hAnsi="Times New Roman"/>
          <w:sz w:val="20"/>
          <w:szCs w:val="20"/>
          <w:b w:val="1"/>
          <w:bCs w:val="1"/>
          <w:color w:val="auto"/>
        </w:rPr>
      </w:pPr>
    </w:p>
    <w:p>
      <w:pPr>
        <w:ind w:left="2620" w:hanging="885"/>
        <w:spacing w:after="0"/>
        <w:tabs>
          <w:tab w:leader="none" w:pos="262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Clause (a) of Section 13.2.1 of the Agreement is hereby deleted in its entirety and replaced with the</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following:</w:t>
      </w:r>
    </w:p>
    <w:p>
      <w:pPr>
        <w:spacing w:after="0" w:line="193" w:lineRule="exact"/>
        <w:rPr>
          <w:rFonts w:ascii="Times New Roman" w:cs="Times New Roman" w:eastAsia="Times New Roman" w:hAnsi="Times New Roman"/>
          <w:sz w:val="20"/>
          <w:szCs w:val="20"/>
          <w:b w:val="1"/>
          <w:bCs w:val="1"/>
          <w:color w:val="auto"/>
        </w:rPr>
      </w:pPr>
    </w:p>
    <w:p>
      <w:pPr>
        <w:jc w:val="both"/>
        <w:ind w:firstLine="2600"/>
        <w:spacing w:after="0" w:line="251" w:lineRule="auto"/>
        <w:tabs>
          <w:tab w:leader="none" w:pos="347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Before License Term Extension</w:t>
      </w:r>
      <w:r>
        <w:rPr>
          <w:rFonts w:ascii="Times New Roman" w:cs="Times New Roman" w:eastAsia="Times New Roman" w:hAnsi="Times New Roman"/>
          <w:sz w:val="21"/>
          <w:szCs w:val="21"/>
          <w:color w:val="auto"/>
        </w:rPr>
        <w:t>. Prior to the occurrence of a License Term Extension with respect to a Collaboration Target, [*] will be responsible for the Prosecution and Maintenance of Product Patents, including [*], at [*] sole cost and expense. Product Patents invented [*] will be Prosecuted and Maintained [*], Product Patents invented [*] will be Prosecuted and Maintained in [*], and Product Patents that are [*] will be Prosecuted and Maintained in [*], provided that [*].</w:t>
      </w:r>
    </w:p>
    <w:p>
      <w:pPr>
        <w:spacing w:after="0" w:line="204" w:lineRule="exact"/>
        <w:rPr>
          <w:rFonts w:ascii="Times New Roman" w:cs="Times New Roman" w:eastAsia="Times New Roman" w:hAnsi="Times New Roman"/>
          <w:sz w:val="21"/>
          <w:szCs w:val="21"/>
          <w:color w:val="auto"/>
        </w:rPr>
      </w:pPr>
    </w:p>
    <w:p>
      <w:pPr>
        <w:jc w:val="both"/>
        <w:ind w:firstLine="1735"/>
        <w:spacing w:after="0" w:line="248" w:lineRule="auto"/>
        <w:tabs>
          <w:tab w:leader="none" w:pos="2617"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For clarity: (1) all Inventions made or created solely by Sanofi’s or its Affiliates’ employees, independent contractors or consultants in the course of conducting activities under Part 2 ([*]) of the [*] will be Foreground IP [*] in accordance with Section 13.1.1 (General); and (2) such Foreground IP (A) is licensed to Nurix in accordance with Section 12.1.1 (Research License to Nurix), including for purposes of the Research to be conducted by Nurix or its Affiliates under Part 1 of the [*], and (B) would be [*].</w:t>
      </w:r>
    </w:p>
    <w:p>
      <w:pPr>
        <w:spacing w:after="0" w:line="183" w:lineRule="exact"/>
        <w:rPr>
          <w:rFonts w:ascii="Times New Roman" w:cs="Times New Roman" w:eastAsia="Times New Roman" w:hAnsi="Times New Roman"/>
          <w:sz w:val="20"/>
          <w:szCs w:val="20"/>
          <w:b w:val="1"/>
          <w:bCs w:val="1"/>
          <w:color w:val="auto"/>
        </w:rPr>
      </w:pPr>
    </w:p>
    <w:p>
      <w:pPr>
        <w:ind w:left="2600" w:hanging="865"/>
        <w:spacing w:after="0"/>
        <w:tabs>
          <w:tab w:leader="none" w:pos="260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Section 17.7.2 of the Agreement is hereby deleted in its entirety and replaced with the following:</w:t>
      </w:r>
    </w:p>
    <w:p>
      <w:pPr>
        <w:spacing w:after="0" w:line="218" w:lineRule="exact"/>
        <w:rPr>
          <w:sz w:val="20"/>
          <w:szCs w:val="20"/>
          <w:color w:val="auto"/>
        </w:rPr>
      </w:pPr>
    </w:p>
    <w:p>
      <w:pPr>
        <w:ind w:left="1660"/>
        <w:spacing w:after="0"/>
        <w:tabs>
          <w:tab w:leader="none" w:pos="2820" w:val="left"/>
        </w:tabs>
        <w:rPr>
          <w:sz w:val="20"/>
          <w:szCs w:val="20"/>
          <w:color w:val="auto"/>
        </w:rPr>
      </w:pPr>
      <w:r>
        <w:rPr>
          <w:rFonts w:ascii="Times New Roman" w:cs="Times New Roman" w:eastAsia="Times New Roman" w:hAnsi="Times New Roman"/>
          <w:sz w:val="21"/>
          <w:szCs w:val="21"/>
          <w:color w:val="auto"/>
        </w:rPr>
        <w:t>17.7.2</w:t>
      </w:r>
      <w:r>
        <w:rPr>
          <w:sz w:val="20"/>
          <w:szCs w:val="20"/>
          <w:color w:val="auto"/>
        </w:rPr>
        <w:tab/>
      </w:r>
      <w:r>
        <w:rPr>
          <w:rFonts w:ascii="Times New Roman" w:cs="Times New Roman" w:eastAsia="Times New Roman" w:hAnsi="Times New Roman"/>
          <w:sz w:val="20"/>
          <w:szCs w:val="20"/>
          <w:u w:val="single" w:color="auto"/>
          <w:color w:val="auto"/>
        </w:rPr>
        <w:t>Reversion</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361315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7" w:name="page108"/>
    <w:bookmarkEnd w:id="107"/>
    <w:p>
      <w:pPr>
        <w:jc w:val="both"/>
        <w:ind w:left="880" w:firstLine="789"/>
        <w:spacing w:after="0" w:line="243" w:lineRule="auto"/>
        <w:tabs>
          <w:tab w:leader="none" w:pos="2091"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Sanofi hereby grants to Nurix (i) [*] license, under [*] to Develop, Manufacture and Commercialize all Reverted Products in the Field in each applicable country in the Territory, subject to Nurix’s obligations under Section 2.10.1 (Target Exclusivity), and (ii) solely in the case of the [*], [*], subject to Nurix’s obligations under Section 2.10.1 (Target Exclusivity). Nurix will only exercise its rights under the foregoing license in accordance with Section 12.2 (Expiration; License Term Extension), if Sanofi fails to make the License Extension Fee for the applicable Collaboration Target in accordance with Section 11.4 (License Extension Fee) prior to the expiration of the License Extension Fee Timeframe for such Collaboration License, and will only exercise its rights under the foregoing license with respect to Reverted Products in existence as of the expiration date of the applicable Collaboration License. For clarity, Sanofi shall retain the right to use [*] for [*], and all such other intellectual property rights, Patents or Know-How owned or Controlled by Sanofi for [*] other than with respect to a Reverted Product. Nurix shall have the right to terminate all or any portion of the rights granted to it under this 17.7.2 (Reversion), upon written notice to Sanofi. Subject to the previous sentence, Nurix shall pay to Sanofi royalties on Annual Net Sales (as such term is applied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xml:space="preserve"> to Nurix and its Affiliates and sublicensees) of: (a) Reverted Products that [*] or, (b) solely with respect to [*], to the extent Covered by [*]. For clarity, with respect to [*], the license granted to Nurix in this Section 17.7.2 shall be [*].</w:t>
      </w:r>
    </w:p>
    <w:p>
      <w:pPr>
        <w:spacing w:after="0" w:line="195" w:lineRule="exact"/>
        <w:rPr>
          <w:rFonts w:ascii="Times New Roman" w:cs="Times New Roman" w:eastAsia="Times New Roman" w:hAnsi="Times New Roman"/>
          <w:sz w:val="21"/>
          <w:szCs w:val="21"/>
          <w:color w:val="auto"/>
        </w:rPr>
      </w:pPr>
    </w:p>
    <w:p>
      <w:pPr>
        <w:ind w:left="2020" w:hanging="351"/>
        <w:spacing w:after="0"/>
        <w:tabs>
          <w:tab w:leader="none" w:pos="202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1"/>
          <w:szCs w:val="21"/>
          <w:color w:val="auto"/>
        </w:rPr>
      </w:pPr>
    </w:p>
    <w:p>
      <w:pPr>
        <w:jc w:val="both"/>
        <w:ind w:left="880" w:firstLine="789"/>
        <w:spacing w:after="0" w:line="255" w:lineRule="auto"/>
        <w:tabs>
          <w:tab w:leader="none" w:pos="2028"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Nurix hereby grants to Sanofi a [*] license, under the Research Results generated by Sanofi related to [*] that became the sole Confidential Information of Nurix upon the expiration of the Target Exclusivity Period for the [*] in accordance with Section 2.10.3 (Research Results) to use for [*].</w:t>
      </w:r>
    </w:p>
    <w:p>
      <w:pPr>
        <w:spacing w:after="0" w:line="175" w:lineRule="exact"/>
        <w:rPr>
          <w:rFonts w:ascii="Times New Roman" w:cs="Times New Roman" w:eastAsia="Times New Roman" w:hAnsi="Times New Roman"/>
          <w:sz w:val="21"/>
          <w:szCs w:val="21"/>
          <w:color w:val="auto"/>
        </w:rPr>
      </w:pPr>
    </w:p>
    <w:p>
      <w:pPr>
        <w:ind w:left="2600" w:hanging="865"/>
        <w:spacing w:after="0"/>
        <w:tabs>
          <w:tab w:leader="none" w:pos="2600" w:val="left"/>
        </w:tabs>
        <w:numPr>
          <w:ilvl w:val="1"/>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color w:val="auto"/>
        </w:rPr>
        <w:t>Section 13.2.4 of the Agreement is hereby deleted in its entirety and replaced with the following:</w:t>
      </w:r>
    </w:p>
    <w:p>
      <w:pPr>
        <w:spacing w:after="0" w:line="218" w:lineRule="exact"/>
        <w:rPr>
          <w:sz w:val="20"/>
          <w:szCs w:val="20"/>
          <w:color w:val="auto"/>
        </w:rPr>
      </w:pPr>
    </w:p>
    <w:p>
      <w:pPr>
        <w:jc w:val="both"/>
        <w:ind w:left="980" w:firstLine="690"/>
        <w:spacing w:after="0" w:line="244" w:lineRule="auto"/>
        <w:rPr>
          <w:sz w:val="20"/>
          <w:szCs w:val="20"/>
          <w:color w:val="auto"/>
        </w:rPr>
      </w:pPr>
      <w:r>
        <w:rPr>
          <w:rFonts w:ascii="Times New Roman" w:cs="Times New Roman" w:eastAsia="Times New Roman" w:hAnsi="Times New Roman"/>
          <w:sz w:val="21"/>
          <w:szCs w:val="21"/>
          <w:color w:val="auto"/>
        </w:rPr>
        <w:t xml:space="preserve">13.2.4 </w:t>
      </w:r>
      <w:r>
        <w:rPr>
          <w:rFonts w:ascii="Times New Roman" w:cs="Times New Roman" w:eastAsia="Times New Roman" w:hAnsi="Times New Roman"/>
          <w:sz w:val="21"/>
          <w:szCs w:val="21"/>
          <w:u w:val="single" w:color="auto"/>
          <w:color w:val="auto"/>
        </w:rPr>
        <w:t>Cooperation via JPC</w:t>
      </w:r>
      <w:r>
        <w:rPr>
          <w:rFonts w:ascii="Times New Roman" w:cs="Times New Roman" w:eastAsia="Times New Roman" w:hAnsi="Times New Roman"/>
          <w:sz w:val="21"/>
          <w:szCs w:val="21"/>
          <w:color w:val="auto"/>
        </w:rPr>
        <w:t>. A Party that Prosecutes and Maintains any Patent in accordance with this Section 13.2 (Prosecution and Maintenance) (the “</w:t>
      </w:r>
      <w:r>
        <w:rPr>
          <w:rFonts w:ascii="Times New Roman" w:cs="Times New Roman" w:eastAsia="Times New Roman" w:hAnsi="Times New Roman"/>
          <w:sz w:val="21"/>
          <w:szCs w:val="21"/>
          <w:b w:val="1"/>
          <w:bCs w:val="1"/>
          <w:color w:val="auto"/>
        </w:rPr>
        <w:t>Prosecuting Party</w:t>
      </w:r>
      <w:r>
        <w:rPr>
          <w:rFonts w:ascii="Times New Roman" w:cs="Times New Roman" w:eastAsia="Times New Roman" w:hAnsi="Times New Roman"/>
          <w:sz w:val="21"/>
          <w:szCs w:val="21"/>
          <w:color w:val="auto"/>
        </w:rPr>
        <w:t>”) will keep the other Party (the “</w:t>
      </w:r>
      <w:r>
        <w:rPr>
          <w:rFonts w:ascii="Times New Roman" w:cs="Times New Roman" w:eastAsia="Times New Roman" w:hAnsi="Times New Roman"/>
          <w:sz w:val="21"/>
          <w:szCs w:val="21"/>
          <w:b w:val="1"/>
          <w:bCs w:val="1"/>
          <w:color w:val="auto"/>
        </w:rPr>
        <w:t>Non-Prosecuting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Party</w:t>
      </w:r>
      <w:r>
        <w:rPr>
          <w:rFonts w:ascii="Times New Roman" w:cs="Times New Roman" w:eastAsia="Times New Roman" w:hAnsi="Times New Roman"/>
          <w:sz w:val="21"/>
          <w:szCs w:val="21"/>
          <w:color w:val="auto"/>
        </w:rPr>
        <w:t>”) reasonably informed of the status of such Patent via the JPC. The Non-Prosecuting Party will fully cooperate with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Prosecuting Party in connection with the Prosecution and Maintenance of such Patents described in Section 13.2.1 (Before License Term Extension) and Section 13.2.1(b) (After License Term Extension), including as set forth in Section 13.1.2 (Invention Assignments) above. With respect to Non-Product Patents, Sanofi will have an opportunity to comment through the JPC on the Prosecution and Maintenance of such Non-Product Patent solely to the extent [*]. Each Party through the JPC will promptly notify the other Party of any opposition by a Third Party or similar adverse proceeding by a Third Party with respect to a Product Patent or, to the extent described in the foregoing sentence, a Non-Product Patent, of which it becomes aware.</w:t>
      </w:r>
    </w:p>
    <w:p>
      <w:pPr>
        <w:spacing w:after="0" w:line="189" w:lineRule="exact"/>
        <w:rPr>
          <w:sz w:val="20"/>
          <w:szCs w:val="20"/>
          <w:color w:val="auto"/>
        </w:rPr>
      </w:pPr>
    </w:p>
    <w:p>
      <w:pPr>
        <w:ind w:left="1660" w:hanging="788"/>
        <w:spacing w:after="0"/>
        <w:tabs>
          <w:tab w:leader="none" w:pos="166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Miscellaneous</w:t>
      </w:r>
      <w:r>
        <w:rPr>
          <w:rFonts w:ascii="Times New Roman" w:cs="Times New Roman" w:eastAsia="Times New Roman" w:hAnsi="Times New Roman"/>
          <w:sz w:val="21"/>
          <w:szCs w:val="21"/>
          <w:color w:val="auto"/>
        </w:rPr>
        <w:t>.</w:t>
      </w:r>
    </w:p>
    <w:p>
      <w:pPr>
        <w:spacing w:after="0" w:line="217" w:lineRule="exact"/>
        <w:rPr>
          <w:rFonts w:ascii="Times New Roman" w:cs="Times New Roman" w:eastAsia="Times New Roman" w:hAnsi="Times New Roman"/>
          <w:sz w:val="20"/>
          <w:szCs w:val="20"/>
          <w:b w:val="1"/>
          <w:bCs w:val="1"/>
          <w:color w:val="auto"/>
        </w:rPr>
      </w:pPr>
    </w:p>
    <w:p>
      <w:pPr>
        <w:jc w:val="both"/>
        <w:ind w:firstLine="1735"/>
        <w:spacing w:after="0" w:line="251" w:lineRule="auto"/>
        <w:tabs>
          <w:tab w:leader="none" w:pos="2606" w:val="left"/>
        </w:tabs>
        <w:numPr>
          <w:ilvl w:val="1"/>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 xml:space="preserve">No Other Amendments. </w:t>
      </w:r>
      <w:r>
        <w:rPr>
          <w:rFonts w:ascii="Times New Roman" w:cs="Times New Roman" w:eastAsia="Times New Roman" w:hAnsi="Times New Roman"/>
          <w:sz w:val="21"/>
          <w:szCs w:val="21"/>
          <w:color w:val="auto"/>
        </w:rPr>
        <w:t>This Amendment shall be deemed to be a part of and incorporated into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In the event of a conflict between this Amendment and the Agreement, this Amendment shall control. Except as expressly set forth in this Amendment, all of the terms and conditions of the Agreement, including without limitation rights and obligations with respect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361315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1"/>
          <w:szCs w:val="21"/>
          <w:color w:val="auto"/>
        </w:rPr>
        <w:t>to Patents and Know-How, shall remain unchanged and are ratified and confirmed in all respects and remain in full force and effect.</w:t>
      </w:r>
    </w:p>
    <w:p>
      <w:pPr>
        <w:spacing w:after="0" w:line="216" w:lineRule="exact"/>
        <w:rPr>
          <w:sz w:val="20"/>
          <w:szCs w:val="20"/>
          <w:color w:val="auto"/>
        </w:rPr>
      </w:pPr>
    </w:p>
    <w:p>
      <w:pPr>
        <w:jc w:val="both"/>
        <w:ind w:firstLine="1735"/>
        <w:spacing w:after="0" w:line="256" w:lineRule="auto"/>
        <w:tabs>
          <w:tab w:leader="none" w:pos="2617"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Entire Agreement</w:t>
      </w:r>
      <w:r>
        <w:rPr>
          <w:rFonts w:ascii="Times New Roman" w:cs="Times New Roman" w:eastAsia="Times New Roman" w:hAnsi="Times New Roman"/>
          <w:sz w:val="21"/>
          <w:szCs w:val="21"/>
          <w:color w:val="auto"/>
        </w:rPr>
        <w:t>. This Amendment, together with the Agreement and any exhibits or attachments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thereto, contains the entire agreement by the Parties with respect to the subject matter hereof, and any reference to the Agreement shall refer to the Agreement, as amended by this Amendment.</w:t>
      </w:r>
    </w:p>
    <w:p>
      <w:pPr>
        <w:spacing w:after="0" w:line="172" w:lineRule="exact"/>
        <w:rPr>
          <w:rFonts w:ascii="Times New Roman" w:cs="Times New Roman" w:eastAsia="Times New Roman" w:hAnsi="Times New Roman"/>
          <w:sz w:val="20"/>
          <w:szCs w:val="20"/>
          <w:b w:val="1"/>
          <w:bCs w:val="1"/>
          <w:color w:val="auto"/>
        </w:rPr>
      </w:pPr>
    </w:p>
    <w:p>
      <w:pPr>
        <w:jc w:val="both"/>
        <w:ind w:firstLine="1735"/>
        <w:spacing w:after="0" w:line="245" w:lineRule="auto"/>
        <w:tabs>
          <w:tab w:leader="none" w:pos="2595"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1"/>
          <w:szCs w:val="21"/>
          <w:b w:val="1"/>
          <w:bCs w:val="1"/>
          <w:color w:val="auto"/>
        </w:rPr>
        <w:t>Counterparts</w:t>
      </w:r>
      <w:r>
        <w:rPr>
          <w:rFonts w:ascii="Times New Roman" w:cs="Times New Roman" w:eastAsia="Times New Roman" w:hAnsi="Times New Roman"/>
          <w:sz w:val="21"/>
          <w:szCs w:val="21"/>
          <w:color w:val="auto"/>
        </w:rPr>
        <w:t>. This Amendment may be executed in counterparts with the same effect as if both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had signed the same document. All such counterparts will be deemed an original, will be construed together and will constitute one and the same instrument. Any such counterpart, to the extent delivered by Electronic Delivery, will be treated in all manner and respects as an original executed counterpart and will be considered to have the same binding legal effect as if it were the original signed version thereof delivered in person. No Party will raise the use of Electronic Delivery to deliver a signature or the fact that any signature or agreement or instrument was transmitted or communicated through the use of Electronic Delivery as a defense to the formation of a contract, and each Party forever waives any such defense, except to the extent that such defense relates to lack of authenticity.</w:t>
      </w:r>
    </w:p>
    <w:p>
      <w:pPr>
        <w:spacing w:after="0" w:line="187" w:lineRule="exact"/>
        <w:rPr>
          <w:rFonts w:ascii="Times New Roman" w:cs="Times New Roman" w:eastAsia="Times New Roman" w:hAnsi="Times New Roman"/>
          <w:sz w:val="20"/>
          <w:szCs w:val="20"/>
          <w:b w:val="1"/>
          <w:bCs w:val="1"/>
          <w:color w:val="auto"/>
        </w:rPr>
      </w:pPr>
    </w:p>
    <w:p>
      <w:pPr>
        <w:ind w:right="20" w:firstLine="1735"/>
        <w:spacing w:after="0" w:line="297" w:lineRule="auto"/>
        <w:tabs>
          <w:tab w:leader="none" w:pos="2617" w:val="left"/>
        </w:tabs>
        <w:numPr>
          <w:ilvl w:val="0"/>
          <w:numId w:val="8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 xml:space="preserve">Choice of Law. </w:t>
      </w:r>
      <w:r>
        <w:rPr>
          <w:rFonts w:ascii="Times New Roman" w:cs="Times New Roman" w:eastAsia="Times New Roman" w:hAnsi="Times New Roman"/>
          <w:sz w:val="20"/>
          <w:szCs w:val="20"/>
          <w:color w:val="auto"/>
        </w:rPr>
        <w:t>This Amendment and any Dispute arising from the performance or breach hereof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governed by and interpreted in accordance with the laws of the State of New York, without giving effect to any choice of law rules.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361315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109" w:name="page110"/>
    <w:bookmarkEnd w:id="109"/>
    <w:p>
      <w:pPr>
        <w:ind w:firstLine="864"/>
        <w:spacing w:after="0" w:line="272" w:lineRule="auto"/>
        <w:rPr>
          <w:sz w:val="20"/>
          <w:szCs w:val="20"/>
          <w:color w:val="auto"/>
        </w:rPr>
      </w:pPr>
      <w:r>
        <w:rPr>
          <w:rFonts w:ascii="Times New Roman" w:cs="Times New Roman" w:eastAsia="Times New Roman" w:hAnsi="Times New Roman"/>
          <w:sz w:val="21"/>
          <w:szCs w:val="21"/>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1"/>
          <w:szCs w:val="21"/>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1"/>
          <w:szCs w:val="21"/>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intending to be legally bound hereby, the Parties have caused this Amendment to be executed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their respective duly authorized representatives as of the Amendment Date.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3600" w:type="dxa"/>
            <w:vAlign w:val="bottom"/>
            <w:gridSpan w:val="5"/>
          </w:tcPr>
          <w:p>
            <w:pPr>
              <w:spacing w:after="0"/>
              <w:rPr>
                <w:sz w:val="20"/>
                <w:szCs w:val="20"/>
                <w:color w:val="auto"/>
              </w:rPr>
            </w:pPr>
            <w:r>
              <w:rPr>
                <w:rFonts w:ascii="Times New Roman" w:cs="Times New Roman" w:eastAsia="Times New Roman" w:hAnsi="Times New Roman"/>
                <w:sz w:val="21"/>
                <w:szCs w:val="21"/>
                <w:b w:val="1"/>
                <w:bCs w:val="1"/>
                <w:color w:val="auto"/>
              </w:rPr>
              <w:t>NURIX THERAPEUTICS, INC.</w:t>
            </w:r>
          </w:p>
        </w:tc>
        <w:tc>
          <w:tcPr>
            <w:tcW w:w="4560" w:type="dxa"/>
            <w:vAlign w:val="bottom"/>
            <w:gridSpan w:val="5"/>
          </w:tcPr>
          <w:p>
            <w:pPr>
              <w:ind w:left="720"/>
              <w:spacing w:after="0"/>
              <w:rPr>
                <w:sz w:val="20"/>
                <w:szCs w:val="20"/>
                <w:color w:val="auto"/>
              </w:rPr>
            </w:pPr>
            <w:r>
              <w:rPr>
                <w:rFonts w:ascii="Times New Roman" w:cs="Times New Roman" w:eastAsia="Times New Roman" w:hAnsi="Times New Roman"/>
                <w:sz w:val="21"/>
                <w:szCs w:val="21"/>
                <w:b w:val="1"/>
                <w:bCs w:val="1"/>
                <w:color w:val="auto"/>
              </w:rPr>
              <w:t>GENZYME CORPORATION</w:t>
            </w:r>
          </w:p>
        </w:tc>
      </w:tr>
      <w:tr>
        <w:trPr>
          <w:trHeight w:val="519"/>
        </w:trPr>
        <w:tc>
          <w:tcPr>
            <w:tcW w:w="36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By: /s/ Christine Ring</w:t>
            </w:r>
          </w:p>
        </w:tc>
        <w:tc>
          <w:tcPr>
            <w:tcW w:w="4560" w:type="dxa"/>
            <w:vAlign w:val="bottom"/>
            <w:gridSpan w:val="5"/>
          </w:tcPr>
          <w:p>
            <w:pPr>
              <w:ind w:left="720"/>
              <w:spacing w:after="0"/>
              <w:rPr>
                <w:sz w:val="20"/>
                <w:szCs w:val="20"/>
                <w:color w:val="auto"/>
              </w:rPr>
            </w:pPr>
            <w:r>
              <w:rPr>
                <w:rFonts w:ascii="Times New Roman" w:cs="Times New Roman" w:eastAsia="Times New Roman" w:hAnsi="Times New Roman"/>
                <w:sz w:val="21"/>
                <w:szCs w:val="21"/>
                <w:color w:val="auto"/>
              </w:rPr>
              <w:t>By: /s/ Matthew J. LaMarche</w:t>
            </w:r>
          </w:p>
        </w:tc>
      </w:tr>
      <w:tr>
        <w:trPr>
          <w:trHeight w:val="20"/>
        </w:trPr>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39"/>
        </w:trPr>
        <w:tc>
          <w:tcPr>
            <w:tcW w:w="36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Name: Christine Ring</w:t>
            </w:r>
          </w:p>
        </w:tc>
        <w:tc>
          <w:tcPr>
            <w:tcW w:w="4560" w:type="dxa"/>
            <w:vAlign w:val="bottom"/>
            <w:gridSpan w:val="5"/>
          </w:tcPr>
          <w:p>
            <w:pPr>
              <w:ind w:left="720"/>
              <w:spacing w:after="0"/>
              <w:rPr>
                <w:sz w:val="20"/>
                <w:szCs w:val="20"/>
                <w:color w:val="auto"/>
              </w:rPr>
            </w:pPr>
            <w:r>
              <w:rPr>
                <w:rFonts w:ascii="Times New Roman" w:cs="Times New Roman" w:eastAsia="Times New Roman" w:hAnsi="Times New Roman"/>
                <w:sz w:val="21"/>
                <w:szCs w:val="21"/>
                <w:color w:val="auto"/>
              </w:rPr>
              <w:t>Name: Matthew J. LaMarche</w:t>
            </w:r>
          </w:p>
        </w:tc>
      </w:tr>
      <w:tr>
        <w:trPr>
          <w:trHeight w:val="20"/>
        </w:trPr>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39"/>
        </w:trPr>
        <w:tc>
          <w:tcPr>
            <w:tcW w:w="360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Title: General Counsel</w:t>
            </w:r>
          </w:p>
        </w:tc>
        <w:tc>
          <w:tcPr>
            <w:tcW w:w="4560" w:type="dxa"/>
            <w:vAlign w:val="bottom"/>
            <w:gridSpan w:val="5"/>
          </w:tcPr>
          <w:p>
            <w:pPr>
              <w:ind w:left="720"/>
              <w:spacing w:after="0"/>
              <w:rPr>
                <w:sz w:val="20"/>
                <w:szCs w:val="20"/>
                <w:color w:val="auto"/>
              </w:rPr>
            </w:pPr>
            <w:r>
              <w:rPr>
                <w:rFonts w:ascii="Times New Roman" w:cs="Times New Roman" w:eastAsia="Times New Roman" w:hAnsi="Times New Roman"/>
                <w:sz w:val="21"/>
                <w:szCs w:val="21"/>
                <w:color w:val="auto"/>
                <w:w w:val="97"/>
              </w:rPr>
              <w:t>Title: US Site Head, Integrated Drug Discover</w:t>
            </w:r>
          </w:p>
        </w:tc>
      </w:tr>
      <w:tr>
        <w:trPr>
          <w:trHeight w:val="20"/>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780" w:type="dxa"/>
            <w:vAlign w:val="bottom"/>
            <w:tcBorders>
              <w:left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ectPr>
          <w:pgSz w:w="11900" w:h="16838" w:orient="portrait"/>
          <w:cols w:equalWidth="0" w:num="1">
            <w:col w:w="11240"/>
          </w:cols>
          <w:pgMar w:left="320" w:top="57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Arthur T. Sands, certify that:</w:t>
      </w:r>
    </w:p>
    <w:p>
      <w:pPr>
        <w:spacing w:after="0" w:line="117" w:lineRule="exact"/>
        <w:rPr>
          <w:sz w:val="20"/>
          <w:szCs w:val="20"/>
          <w:color w:val="auto"/>
        </w:rPr>
      </w:pPr>
    </w:p>
    <w:p>
      <w:pPr>
        <w:ind w:left="440" w:hanging="432"/>
        <w:spacing w:after="0"/>
        <w:tabs>
          <w:tab w:leader="none" w:pos="4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Nurix Therapeutics, Inc.;</w:t>
      </w:r>
    </w:p>
    <w:p>
      <w:pPr>
        <w:spacing w:after="0" w:line="117"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7020"/>
        <w:spacing w:after="0"/>
        <w:tabs>
          <w:tab w:leader="none" w:pos="7460" w:val="left"/>
        </w:tabs>
        <w:rPr>
          <w:sz w:val="20"/>
          <w:szCs w:val="20"/>
          <w:color w:val="auto"/>
        </w:rPr>
      </w:pPr>
      <w:r>
        <w:rPr>
          <w:rFonts w:ascii="Times New Roman" w:cs="Times New Roman" w:eastAsia="Times New Roman" w:hAnsi="Times New Roman"/>
          <w:sz w:val="18"/>
          <w:szCs w:val="18"/>
          <w:color w:val="auto"/>
        </w:rPr>
        <w:t>By:</w:t>
        <w:tab/>
        <w:t>/s/ A</w:t>
      </w:r>
      <w:r>
        <w:rPr>
          <w:rFonts w:ascii="Times New Roman" w:cs="Times New Roman" w:eastAsia="Times New Roman" w:hAnsi="Times New Roman"/>
          <w:sz w:val="12"/>
          <w:szCs w:val="12"/>
          <w:color w:val="auto"/>
        </w:rPr>
        <w:t>rthur</w:t>
      </w:r>
      <w:r>
        <w:rPr>
          <w:rFonts w:ascii="Times New Roman" w:cs="Times New Roman" w:eastAsia="Times New Roman" w:hAnsi="Times New Roman"/>
          <w:sz w:val="18"/>
          <w:szCs w:val="18"/>
          <w:color w:val="auto"/>
        </w:rPr>
        <w:t xml:space="preserve"> T. S</w:t>
      </w:r>
      <w:r>
        <w:rPr>
          <w:rFonts w:ascii="Times New Roman" w:cs="Times New Roman" w:eastAsia="Times New Roman" w:hAnsi="Times New Roman"/>
          <w:sz w:val="12"/>
          <w:szCs w:val="12"/>
          <w:color w:val="auto"/>
        </w:rPr>
        <w:t>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17145</wp:posOffset>
            </wp:positionV>
            <wp:extent cx="23914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Arthur T. Sands, M.D., Ph.D.</w:t>
      </w:r>
    </w:p>
    <w:p>
      <w:pPr>
        <w:spacing w:after="0" w:line="2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6, 2022</w:t>
      </w:r>
    </w:p>
    <w:p>
      <w:pPr>
        <w:sectPr>
          <w:pgSz w:w="11900" w:h="16838" w:orient="portrait"/>
          <w:cols w:equalWidth="0" w:num="1">
            <w:col w:w="11240"/>
          </w:cols>
          <w:pgMar w:left="320" w:top="104"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AND ACCOUNTING OFFICER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Hans van Houte, certify that:</w:t>
      </w:r>
    </w:p>
    <w:p>
      <w:pPr>
        <w:spacing w:after="0" w:line="117" w:lineRule="exact"/>
        <w:rPr>
          <w:sz w:val="20"/>
          <w:szCs w:val="20"/>
          <w:color w:val="auto"/>
        </w:rPr>
      </w:pPr>
    </w:p>
    <w:p>
      <w:pPr>
        <w:ind w:left="440" w:hanging="432"/>
        <w:spacing w:after="0"/>
        <w:tabs>
          <w:tab w:leader="none" w:pos="4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Nurix Therapeutics, Inc.;</w:t>
      </w:r>
    </w:p>
    <w:p>
      <w:pPr>
        <w:spacing w:after="0" w:line="117"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440" w:hanging="432"/>
        <w:spacing w:after="0" w:line="266" w:lineRule="auto"/>
        <w:tabs>
          <w:tab w:leader="none" w:pos="4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hanging="432"/>
        <w:spacing w:after="0" w:line="282" w:lineRule="auto"/>
        <w:tabs>
          <w:tab w:leader="none" w:pos="4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7020"/>
        <w:spacing w:after="0"/>
        <w:tabs>
          <w:tab w:leader="none" w:pos="7460" w:val="left"/>
        </w:tabs>
        <w:rPr>
          <w:sz w:val="20"/>
          <w:szCs w:val="20"/>
          <w:color w:val="auto"/>
        </w:rPr>
      </w:pPr>
      <w:r>
        <w:rPr>
          <w:rFonts w:ascii="Times New Roman" w:cs="Times New Roman" w:eastAsia="Times New Roman" w:hAnsi="Times New Roman"/>
          <w:sz w:val="18"/>
          <w:szCs w:val="18"/>
          <w:color w:val="auto"/>
        </w:rPr>
        <w:t>By:</w:t>
        <w:tab/>
        <w:t>/s/ H</w:t>
      </w:r>
      <w:r>
        <w:rPr>
          <w:rFonts w:ascii="Times New Roman" w:cs="Times New Roman" w:eastAsia="Times New Roman" w:hAnsi="Times New Roman"/>
          <w:sz w:val="12"/>
          <w:szCs w:val="12"/>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17145</wp:posOffset>
            </wp:positionV>
            <wp:extent cx="23914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Hans van Houte</w:t>
      </w:r>
    </w:p>
    <w:p>
      <w:pPr>
        <w:spacing w:after="0" w:line="2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6, 2022</w:t>
      </w:r>
    </w:p>
    <w:p>
      <w:pPr>
        <w:sectPr>
          <w:pgSz w:w="11900" w:h="16838" w:orient="portrait"/>
          <w:cols w:equalWidth="0" w:num="1">
            <w:col w:w="11240"/>
          </w:cols>
          <w:pgMar w:left="320" w:top="104"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officers of Nurix Therapeutics, Inc. (the Company) certifies, pursuant to 18 U.S.C. § 1350, as adopted pursuant to §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w:t>
      </w:r>
    </w:p>
    <w:p>
      <w:pPr>
        <w:spacing w:after="0" w:line="207" w:lineRule="exact"/>
        <w:rPr>
          <w:sz w:val="20"/>
          <w:szCs w:val="20"/>
          <w:color w:val="auto"/>
        </w:rPr>
      </w:pPr>
    </w:p>
    <w:p>
      <w:pPr>
        <w:ind w:left="440" w:right="20" w:hanging="432"/>
        <w:spacing w:after="0" w:line="282" w:lineRule="auto"/>
        <w:tabs>
          <w:tab w:leader="none" w:pos="4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August 31, 2022 (the Quarterly Report), as filed with the Securities and Exchange Commission,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440" w:right="20" w:hanging="432"/>
        <w:spacing w:after="0" w:line="282" w:lineRule="auto"/>
        <w:tabs>
          <w:tab w:leader="none" w:pos="4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fairly presents, in all material respects, the financial condition and results of operations of the Company.</w:t>
      </w:r>
    </w:p>
    <w:p>
      <w:pPr>
        <w:spacing w:after="0" w:line="18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w:t>
            </w:r>
            <w:r>
              <w:rPr>
                <w:rFonts w:ascii="Times New Roman" w:cs="Times New Roman" w:eastAsia="Times New Roman" w:hAnsi="Times New Roman"/>
                <w:sz w:val="12"/>
                <w:szCs w:val="12"/>
                <w:color w:val="auto"/>
              </w:rPr>
              <w:t>rthur</w:t>
            </w:r>
            <w:r>
              <w:rPr>
                <w:rFonts w:ascii="Times New Roman" w:cs="Times New Roman" w:eastAsia="Times New Roman" w:hAnsi="Times New Roman"/>
                <w:sz w:val="18"/>
                <w:szCs w:val="18"/>
                <w:color w:val="auto"/>
              </w:rPr>
              <w:t xml:space="preserve"> T. S</w:t>
            </w:r>
            <w:r>
              <w:rPr>
                <w:rFonts w:ascii="Times New Roman" w:cs="Times New Roman" w:eastAsia="Times New Roman" w:hAnsi="Times New Roman"/>
                <w:sz w:val="12"/>
                <w:szCs w:val="12"/>
                <w:color w:val="auto"/>
              </w:rPr>
              <w:t>ands</w:t>
            </w:r>
          </w:p>
        </w:tc>
      </w:tr>
      <w:tr>
        <w:trPr>
          <w:trHeight w:val="191"/>
        </w:trPr>
        <w:tc>
          <w:tcPr>
            <w:tcW w:w="60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Arthur T. Sands, M.D., Ph.D.</w:t>
            </w:r>
          </w:p>
        </w:tc>
      </w:tr>
      <w:tr>
        <w:trPr>
          <w:trHeight w:val="216"/>
        </w:trPr>
        <w:tc>
          <w:tcPr>
            <w:tcW w:w="6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34"/>
        </w:trPr>
        <w:tc>
          <w:tcPr>
            <w:tcW w:w="6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w:t>
            </w:r>
            <w:r>
              <w:rPr>
                <w:rFonts w:ascii="Times New Roman" w:cs="Times New Roman" w:eastAsia="Times New Roman" w:hAnsi="Times New Roman"/>
                <w:sz w:val="12"/>
                <w:szCs w:val="12"/>
                <w:color w:val="auto"/>
              </w:rPr>
              <w:t>ans van</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oute</w:t>
            </w:r>
          </w:p>
        </w:tc>
      </w:tr>
      <w:tr>
        <w:trPr>
          <w:trHeight w:val="191"/>
        </w:trPr>
        <w:tc>
          <w:tcPr>
            <w:tcW w:w="60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Hans van Houte</w:t>
            </w:r>
          </w:p>
        </w:tc>
      </w:tr>
      <w:tr>
        <w:trPr>
          <w:trHeight w:val="216"/>
        </w:trPr>
        <w:tc>
          <w:tcPr>
            <w:tcW w:w="6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0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6, 2022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1."/>
      <w:numFmt w:val="decimal"/>
      <w:start w:val="2"/>
    </w:lvl>
  </w:abstractNum>
  <w:abstractNum w:abstractNumId="4">
    <w:nsid w:val="4B588F54"/>
    <w:multiLevelType w:val="hybridMultilevel"/>
    <w:lvl w:ilvl="0">
      <w:lvlJc w:val="left"/>
      <w:lvlText w:val="(%1)"/>
      <w:numFmt w:val="lowerRoman"/>
      <w:start w:val="1"/>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1)"/>
      <w:numFmt w:val="decimal"/>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1"/>
      <w:numFmt w:val="decimal"/>
      <w:start w:val="104"/>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1."/>
      <w:numFmt w:val="decimal"/>
      <w:start w:val="1"/>
    </w:lvl>
  </w:abstractNum>
  <w:abstractNum w:abstractNumId="54">
    <w:nsid w:val="799D0247"/>
    <w:multiLevelType w:val="hybridMultilevel"/>
    <w:lvl w:ilvl="0">
      <w:lvlJc w:val="left"/>
      <w:lvlText w:val="%1."/>
      <w:numFmt w:val="decimal"/>
      <w:start w:val="3"/>
    </w:lvl>
  </w:abstractNum>
  <w:abstractNum w:abstractNumId="55">
    <w:nsid w:val="6B94764"/>
    <w:multiLevelType w:val="hybridMultilevel"/>
    <w:lvl w:ilvl="0">
      <w:lvlJc w:val="left"/>
      <w:lvlText w:val="%1."/>
      <w:numFmt w:val="decimal"/>
      <w:start w:val="1"/>
    </w:lvl>
  </w:abstractNum>
  <w:abstractNum w:abstractNumId="56">
    <w:nsid w:val="42C296BD"/>
    <w:multiLevelType w:val="hybridMultilevel"/>
    <w:lvl w:ilvl="0">
      <w:lvlJc w:val="left"/>
      <w:lvlText w:val="%1."/>
      <w:numFmt w:val="decimal"/>
      <w:start w:val="1"/>
    </w:lvl>
  </w:abstractNum>
  <w:abstractNum w:abstractNumId="57">
    <w:nsid w:val="168E121F"/>
    <w:multiLevelType w:val="hybridMultilevel"/>
    <w:lvl w:ilvl="0">
      <w:lvlJc w:val="left"/>
      <w:lvlText w:val="(%1)"/>
      <w:numFmt w:val="lowerLetter"/>
      <w:start w:val="1"/>
    </w:lvl>
  </w:abstractNum>
  <w:abstractNum w:abstractNumId="58">
    <w:nsid w:val="1EBA5D23"/>
    <w:multiLevelType w:val="hybridMultilevel"/>
    <w:lvl w:ilvl="0">
      <w:lvlJc w:val="left"/>
      <w:lvlText w:val="(%1)"/>
      <w:numFmt w:val="lowerLetter"/>
      <w:start w:val="2"/>
    </w:lvl>
  </w:abstractNum>
  <w:abstractNum w:abstractNumId="59">
    <w:nsid w:val="661E3F1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60">
    <w:nsid w:val="5DC79EA8"/>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61">
    <w:nsid w:val="540A471C"/>
    <w:multiLevelType w:val="hybridMultilevel"/>
    <w:lvl w:ilvl="0">
      <w:lvlJc w:val="left"/>
      <w:lvlText w:val="(%1)"/>
      <w:numFmt w:val="lowerLetter"/>
      <w:start w:val="4"/>
    </w:lvl>
  </w:abstractNum>
  <w:abstractNum w:abstractNumId="62">
    <w:nsid w:val="7BD3EE7B"/>
    <w:multiLevelType w:val="hybridMultilevel"/>
    <w:lvl w:ilvl="0">
      <w:lvlJc w:val="left"/>
      <w:lvlText w:val="%1."/>
      <w:numFmt w:val="decimal"/>
      <w:start w:val="1"/>
    </w:lvl>
    <w:lvl w:ilvl="1">
      <w:lvlJc w:val="left"/>
      <w:lvlText w:val="(%2)"/>
      <w:numFmt w:val="lowerLetter"/>
      <w:start w:val="1"/>
    </w:lvl>
  </w:abstractNum>
  <w:abstractNum w:abstractNumId="63">
    <w:nsid w:val="51D9C564"/>
    <w:multiLevelType w:val="hybridMultilevel"/>
    <w:lvl w:ilvl="0">
      <w:lvlJc w:val="left"/>
      <w:lvlText w:val="%1."/>
      <w:numFmt w:val="decimal"/>
      <w:start w:val="3"/>
    </w:lvl>
    <w:lvl w:ilvl="1">
      <w:lvlJc w:val="left"/>
      <w:lvlText w:val="(%2)"/>
      <w:numFmt w:val="lowerLetter"/>
      <w:start w:val="1"/>
    </w:lvl>
  </w:abstractNum>
  <w:abstractNum w:abstractNumId="64">
    <w:nsid w:val="613EFD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5">
    <w:nsid w:val="BF72B14"/>
    <w:multiLevelType w:val="hybridMultilevel"/>
    <w:lvl w:ilvl="0">
      <w:lvlJc w:val="left"/>
      <w:lvlText w:val="%1"/>
      <w:numFmt w:val="lowerLetter"/>
      <w:start w:val="1"/>
    </w:lvl>
    <w:lvl w:ilvl="1">
      <w:lvlJc w:val="left"/>
      <w:lvlText w:val="(%2)"/>
      <w:numFmt w:val="lowerRoman"/>
      <w:start w:val="3"/>
    </w:lvl>
  </w:abstractNum>
  <w:abstractNum w:abstractNumId="66">
    <w:nsid w:val="11447B73"/>
    <w:multiLevelType w:val="hybridMultilevel"/>
    <w:lvl w:ilvl="0">
      <w:lvlJc w:val="left"/>
      <w:lvlText w:val="(%1)"/>
      <w:numFmt w:val="lowerLetter"/>
      <w:start w:val="2"/>
    </w:lvl>
    <w:lvl w:ilvl="1">
      <w:lvlJc w:val="left"/>
      <w:lvlText w:val="%2"/>
      <w:numFmt w:val="lowerRoman"/>
      <w:start w:val="1"/>
    </w:lvl>
  </w:abstractNum>
  <w:abstractNum w:abstractNumId="67">
    <w:nsid w:val="42963E5A"/>
    <w:multiLevelType w:val="hybridMultilevel"/>
    <w:lvl w:ilvl="0">
      <w:lvlJc w:val="left"/>
      <w:lvlText w:val="(%1)"/>
      <w:numFmt w:val="lowerLetter"/>
      <w:start w:val="3"/>
    </w:lvl>
  </w:abstractNum>
  <w:abstractNum w:abstractNumId="68">
    <w:nsid w:val="A0382C5"/>
    <w:multiLevelType w:val="hybridMultilevel"/>
    <w:lvl w:ilvl="0">
      <w:lvlJc w:val="left"/>
      <w:lvlText w:val="(%1)"/>
      <w:numFmt w:val="lowerLetter"/>
      <w:start w:val="4"/>
    </w:lvl>
  </w:abstractNum>
  <w:abstractNum w:abstractNumId="69">
    <w:nsid w:val="8F2B15E"/>
    <w:multiLevelType w:val="hybridMultilevel"/>
    <w:lvl w:ilvl="0">
      <w:lvlJc w:val="left"/>
      <w:lvlText w:val="(%1)"/>
      <w:numFmt w:val="lowerLetter"/>
      <w:start w:val="5"/>
    </w:lvl>
  </w:abstractNum>
  <w:abstractNum w:abstractNumId="70">
    <w:nsid w:val="1A32234B"/>
    <w:multiLevelType w:val="hybridMultilevel"/>
    <w:lvl w:ilvl="0">
      <w:lvlJc w:val="left"/>
      <w:lvlText w:val="(%1)"/>
      <w:numFmt w:val="lowerLetter"/>
      <w:start w:val="6"/>
    </w:lvl>
  </w:abstractNum>
  <w:abstractNum w:abstractNumId="71">
    <w:nsid w:val="3B0FD379"/>
    <w:multiLevelType w:val="hybridMultilevel"/>
    <w:lvl w:ilvl="0">
      <w:lvlJc w:val="left"/>
      <w:lvlText w:val="(%1)"/>
      <w:numFmt w:val="lowerLetter"/>
      <w:start w:val="7"/>
    </w:lvl>
  </w:abstractNum>
  <w:abstractNum w:abstractNumId="72">
    <w:nsid w:val="68EB2F63"/>
    <w:multiLevelType w:val="hybridMultilevel"/>
    <w:lvl w:ilvl="0">
      <w:lvlJc w:val="left"/>
      <w:lvlText w:val="(%1)"/>
      <w:numFmt w:val="lowerLetter"/>
      <w:start w:val="8"/>
    </w:lvl>
  </w:abstractNum>
  <w:abstractNum w:abstractNumId="73">
    <w:nsid w:val="4962813B"/>
    <w:multiLevelType w:val="hybridMultilevel"/>
    <w:lvl w:ilvl="0">
      <w:lvlJc w:val="left"/>
      <w:lvlText w:val="(%1)"/>
      <w:numFmt w:val="lowerRoman"/>
      <w:start w:val="1"/>
    </w:lvl>
  </w:abstractNum>
  <w:abstractNum w:abstractNumId="74">
    <w:nsid w:val="60B6DF70"/>
    <w:multiLevelType w:val="hybridMultilevel"/>
    <w:lvl w:ilvl="0">
      <w:lvlJc w:val="left"/>
      <w:lvlText w:val="(%1)"/>
      <w:numFmt w:val="lowerLetter"/>
      <w:start w:val="10"/>
    </w:lvl>
  </w:abstractNum>
  <w:abstractNum w:abstractNumId="75">
    <w:nsid w:val="6A5EE64"/>
    <w:multiLevelType w:val="hybridMultilevel"/>
    <w:lvl w:ilvl="0">
      <w:lvlJc w:val="left"/>
      <w:lvlText w:val="(%1)"/>
      <w:numFmt w:val="lowerLetter"/>
      <w:start w:val="11"/>
    </w:lvl>
  </w:abstractNum>
  <w:abstractNum w:abstractNumId="76">
    <w:nsid w:val="14330624"/>
    <w:multiLevelType w:val="hybridMultilevel"/>
    <w:lvl w:ilvl="0">
      <w:lvlJc w:val="left"/>
      <w:lvlText w:val="(%1)"/>
      <w:numFmt w:val="lowerLetter"/>
      <w:start w:val="12"/>
    </w:lvl>
  </w:abstractNum>
  <w:abstractNum w:abstractNumId="77">
    <w:nsid w:val="7FFFCA11"/>
    <w:multiLevelType w:val="hybridMultilevel"/>
    <w:lvl w:ilvl="0">
      <w:lvlJc w:val="left"/>
      <w:lvlText w:val="(%1)"/>
      <w:numFmt w:val="lowerLetter"/>
      <w:start w:val="2"/>
    </w:lvl>
  </w:abstractNum>
  <w:abstractNum w:abstractNumId="78">
    <w:nsid w:val="1A27709E"/>
    <w:multiLevelType w:val="hybridMultilevel"/>
    <w:lvl w:ilvl="0">
      <w:lvlJc w:val="left"/>
      <w:lvlText w:val="[*]"/>
      <w:numFmt w:val="bullet"/>
      <w:start w:val="1"/>
    </w:lvl>
    <w:lvl w:ilvl="1">
      <w:lvlJc w:val="left"/>
      <w:lvlText w:val="(%2)"/>
      <w:numFmt w:val="lowerLetter"/>
      <w:start w:val="13"/>
    </w:lvl>
  </w:abstractNum>
  <w:abstractNum w:abstractNumId="79">
    <w:nsid w:val="71EA1109"/>
    <w:multiLevelType w:val="hybridMultilevel"/>
    <w:lvl w:ilvl="0">
      <w:lvlJc w:val="left"/>
      <w:lvlText w:val="[*]"/>
      <w:numFmt w:val="bullet"/>
      <w:start w:val="1"/>
    </w:lvl>
    <w:lvl w:ilvl="1">
      <w:lvlJc w:val="left"/>
      <w:lvlText w:val="(%2)"/>
      <w:numFmt w:val="lowerLetter"/>
      <w:start w:val="14"/>
    </w:lvl>
  </w:abstractNum>
  <w:abstractNum w:abstractNumId="80">
    <w:nsid w:val="100F59DC"/>
    <w:multiLevelType w:val="hybridMultilevel"/>
    <w:lvl w:ilvl="0">
      <w:lvlJc w:val="left"/>
      <w:lvlText w:val="(%1)"/>
      <w:numFmt w:val="lowerLetter"/>
      <w:start w:val="15"/>
    </w:lvl>
    <w:lvl w:ilvl="1">
      <w:lvlJc w:val="left"/>
      <w:lvlText w:val="(%2)"/>
      <w:numFmt w:val="lowerLetter"/>
      <w:start w:val="1"/>
    </w:lvl>
  </w:abstractNum>
  <w:abstractNum w:abstractNumId="81">
    <w:nsid w:val="7FB7E0AA"/>
    <w:multiLevelType w:val="hybridMultilevel"/>
    <w:lvl w:ilvl="0">
      <w:lvlJc w:val="left"/>
      <w:lvlText w:val="(%1)"/>
      <w:numFmt w:val="lowerLetter"/>
      <w:start w:val="1"/>
    </w:lvl>
    <w:lvl w:ilvl="1">
      <w:lvlJc w:val="left"/>
      <w:lvlText w:val="(%2)"/>
      <w:numFmt w:val="lowerLetter"/>
      <w:start w:val="19"/>
    </w:lvl>
  </w:abstractNum>
  <w:abstractNum w:abstractNumId="82">
    <w:nsid w:val="6EB5BD4"/>
    <w:multiLevelType w:val="hybridMultilevel"/>
    <w:lvl w:ilvl="0">
      <w:lvlJc w:val="left"/>
      <w:lvlText w:val="%1."/>
      <w:numFmt w:val="decimal"/>
      <w:start w:val="3"/>
    </w:lvl>
    <w:lvl w:ilvl="1">
      <w:lvlJc w:val="left"/>
      <w:lvlText w:val="(%2)"/>
      <w:numFmt w:val="lowerLetter"/>
      <w:start w:val="1"/>
    </w:lvl>
  </w:abstractNum>
  <w:abstractNum w:abstractNumId="83">
    <w:nsid w:val="6F6DD9AC"/>
    <w:multiLevelType w:val="hybridMultilevel"/>
    <w:lvl w:ilvl="0">
      <w:lvlJc w:val="left"/>
      <w:lvlText w:val="(%1)"/>
      <w:numFmt w:val="lowerLetter"/>
      <w:start w:val="2"/>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lvl w:ilvl="1">
      <w:lvlJc w:val="left"/>
      <w:lvlText w:val="%2."/>
      <w:numFmt w:val="lowerLetter"/>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05" Type="http://schemas.openxmlformats.org/officeDocument/2006/relationships/hyperlink" Target="http://www.sec.gov/Archives/edgar/data/1549595/000119312522190492/d355546dex41.htm" TargetMode="External"/><Relationship Id="rId106" Type="http://schemas.openxmlformats.org/officeDocument/2006/relationships/hyperlink" Target="http://www.sec.gov/Archives/edgar/data/1549595/000119312522190492/d35554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2022-10-06T15:37:33Z</dcterms:created>
  <dcterms:modified xsi:type="dcterms:W3CDTF">2022-10-06T15:37:33Z</dcterms:modified>
</cp:coreProperties>
</file>