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6472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47255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van Houte Hans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NURIX THERAPEUTICS,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1700 OWENS STREET, SUITE 205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Nurix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NRIX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10/30/2024</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94"/>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39" w:lineRule="exact"/>
        <w:rPr>
          <w:sz w:val="24"/>
          <w:szCs w:val="24"/>
          <w:color w:val="auto"/>
        </w:rPr>
      </w:pPr>
    </w:p>
    <w:p>
      <w:pPr>
        <w:sectPr>
          <w:pgSz w:w="11900" w:h="16838" w:orient="portrait"/>
          <w:cols w:equalWidth="0" w:num="3">
            <w:col w:w="3180" w:space="720"/>
            <w:col w:w="3106" w:space="720"/>
            <w:col w:w="3354"/>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80" w:type="dxa"/>
            <w:vAlign w:val="bottom"/>
            <w:shd w:val="clear" w:color="auto" w:fill="9A9A9A"/>
          </w:tcPr>
          <w:p>
            <w:pPr>
              <w:spacing w:after="0"/>
              <w:rPr>
                <w:sz w:val="3"/>
                <w:szCs w:val="3"/>
                <w:color w:val="auto"/>
              </w:rPr>
            </w:pPr>
          </w:p>
        </w:tc>
        <w:tc>
          <w:tcPr>
            <w:tcW w:w="200" w:type="dxa"/>
            <w:vAlign w:val="bottom"/>
            <w:shd w:val="clear" w:color="auto" w:fill="9A9A9A"/>
          </w:tcPr>
          <w:p>
            <w:pPr>
              <w:spacing w:after="0"/>
              <w:rPr>
                <w:sz w:val="3"/>
                <w:szCs w:val="3"/>
                <w:color w:val="auto"/>
              </w:rPr>
            </w:pPr>
          </w:p>
        </w:tc>
        <w:tc>
          <w:tcPr>
            <w:tcW w:w="1040" w:type="dxa"/>
            <w:vAlign w:val="bottom"/>
            <w:shd w:val="clear" w:color="auto" w:fill="9A9A9A"/>
          </w:tcPr>
          <w:p>
            <w:pPr>
              <w:spacing w:after="0"/>
              <w:rPr>
                <w:sz w:val="3"/>
                <w:szCs w:val="3"/>
                <w:color w:val="auto"/>
              </w:rPr>
            </w:pPr>
          </w:p>
        </w:tc>
        <w:tc>
          <w:tcPr>
            <w:tcW w:w="1200" w:type="dxa"/>
            <w:vAlign w:val="bottom"/>
            <w:tcBorders>
              <w:right w:val="single" w:sz="8" w:color="9A9A9A"/>
            </w:tcBorders>
            <w:shd w:val="clear" w:color="auto" w:fill="9A9A9A"/>
          </w:tcPr>
          <w:p>
            <w:pPr>
              <w:spacing w:after="0"/>
              <w:rPr>
                <w:sz w:val="3"/>
                <w:szCs w:val="3"/>
                <w:color w:val="auto"/>
              </w:rPr>
            </w:pPr>
          </w:p>
        </w:tc>
        <w:tc>
          <w:tcPr>
            <w:tcW w:w="3640" w:type="dxa"/>
            <w:vAlign w:val="bottom"/>
            <w:gridSpan w:val="6"/>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00" w:type="dxa"/>
            <w:vAlign w:val="bottom"/>
            <w:gridSpan w:val="9"/>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370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w:t>
            </w:r>
          </w:p>
        </w:tc>
        <w:tc>
          <w:tcPr>
            <w:tcW w:w="580" w:type="dxa"/>
            <w:vAlign w:val="bottom"/>
          </w:tcPr>
          <w:p>
            <w:pPr>
              <w:spacing w:after="0"/>
              <w:rPr>
                <w:sz w:val="18"/>
                <w:szCs w:val="18"/>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94158</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2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4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200" w:type="dxa"/>
            <w:vAlign w:val="bottom"/>
          </w:tcPr>
          <w:p>
            <w:pPr>
              <w:ind w:left="2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2"/>
          </w:tcPr>
          <w:p>
            <w:pPr>
              <w:spacing w:after="0"/>
              <w:rPr>
                <w:sz w:val="10"/>
                <w:szCs w:val="10"/>
                <w:color w:val="auto"/>
              </w:rPr>
            </w:pPr>
          </w:p>
        </w:tc>
        <w:tc>
          <w:tcPr>
            <w:tcW w:w="4960" w:type="dxa"/>
            <w:vAlign w:val="bottom"/>
            <w:tcBorders>
              <w:bottom w:val="single" w:sz="8" w:color="2C2C2C"/>
            </w:tcBorders>
            <w:gridSpan w:val="9"/>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1"/>
          </w:tcPr>
          <w:p>
            <w:pPr>
              <w:jc w:val="center"/>
              <w:ind w:left="713"/>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ind w:left="600"/>
              <w:spacing w:after="0" w:line="129"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6"/>
              </w:rPr>
              <w:t>Disposed Of (D) (Instr. 3, 4 and 5)</w:t>
            </w:r>
          </w:p>
        </w:tc>
        <w:tc>
          <w:tcPr>
            <w:tcW w:w="2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2"/>
          </w:tcPr>
          <w:p>
            <w:pPr>
              <w:ind w:left="60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0000FF"/>
              </w:rPr>
              <w:t>10/30/2024</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0000FF"/>
                <w:w w:val="99"/>
              </w:rPr>
              <w:t>2,886</w:t>
            </w:r>
          </w:p>
        </w:tc>
        <w:tc>
          <w:tcPr>
            <w:tcW w:w="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Pr>
          <w:p>
            <w:pPr>
              <w:jc w:val="center"/>
              <w:ind w:left="6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33,888</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0000FF"/>
              </w:rPr>
              <w:t>10/30/2024</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0000FF"/>
                <w:w w:val="99"/>
              </w:rPr>
              <w:t>2,000</w:t>
            </w:r>
          </w:p>
        </w:tc>
        <w:tc>
          <w:tcPr>
            <w:tcW w:w="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Pr>
          <w:p>
            <w:pPr>
              <w:jc w:val="center"/>
              <w:ind w:left="6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35,888</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0000FF"/>
              </w:rPr>
              <w:t>10/30/2024</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0000FF"/>
                <w:w w:val="99"/>
              </w:rPr>
              <w:t>3,750</w:t>
            </w:r>
          </w:p>
        </w:tc>
        <w:tc>
          <w:tcPr>
            <w:tcW w:w="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Pr>
          <w:p>
            <w:pPr>
              <w:jc w:val="center"/>
              <w:ind w:left="6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39,638</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10/30/2024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34"/>
              <w:spacing w:after="0"/>
              <w:rPr>
                <w:sz w:val="20"/>
                <w:szCs w:val="20"/>
                <w:color w:val="auto"/>
              </w:rPr>
            </w:pPr>
            <w:r>
              <w:rPr>
                <w:rFonts w:ascii="Times New Roman" w:cs="Times New Roman" w:eastAsia="Times New Roman" w:hAnsi="Times New Roman"/>
                <w:sz w:val="17"/>
                <w:szCs w:val="17"/>
                <w:color w:val="0000FF"/>
                <w:w w:val="95"/>
              </w:rPr>
              <w:t>2,368</w:t>
            </w:r>
            <w:r>
              <w:rPr>
                <w:rFonts w:ascii="Times New Roman" w:cs="Times New Roman" w:eastAsia="Times New Roman" w:hAnsi="Times New Roman"/>
                <w:sz w:val="21"/>
                <w:szCs w:val="21"/>
                <w:color w:val="008000"/>
                <w:w w:val="95"/>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24.305</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37,270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1"/>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0" w:type="dxa"/>
            <w:vAlign w:val="bottom"/>
            <w:gridSpan w:val="8"/>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76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8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(3)</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2,886</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10/30/2024</w:t>
            </w:r>
          </w:p>
        </w:tc>
        <w:tc>
          <w:tcPr>
            <w:tcW w:w="1200" w:type="dxa"/>
            <w:vAlign w:val="bottom"/>
          </w:tcPr>
          <w:p>
            <w:pPr>
              <w:spacing w:after="0"/>
              <w:rPr>
                <w:sz w:val="5"/>
                <w:szCs w:val="5"/>
                <w:color w:val="auto"/>
              </w:rPr>
            </w:pPr>
          </w:p>
        </w:tc>
        <w:tc>
          <w:tcPr>
            <w:tcW w:w="40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70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2,886</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restart"/>
          </w:tcPr>
          <w:p>
            <w:pPr>
              <w:jc w:val="center"/>
              <w:ind w:right="174"/>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2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14,431</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8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(3)</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2,000</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10/30/2024</w:t>
            </w:r>
          </w:p>
        </w:tc>
        <w:tc>
          <w:tcPr>
            <w:tcW w:w="1200" w:type="dxa"/>
            <w:vAlign w:val="bottom"/>
          </w:tcPr>
          <w:p>
            <w:pPr>
              <w:spacing w:after="0"/>
              <w:rPr>
                <w:sz w:val="5"/>
                <w:szCs w:val="5"/>
                <w:color w:val="auto"/>
              </w:rPr>
            </w:pPr>
          </w:p>
        </w:tc>
        <w:tc>
          <w:tcPr>
            <w:tcW w:w="40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70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2,000</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restart"/>
          </w:tcPr>
          <w:p>
            <w:pPr>
              <w:jc w:val="center"/>
              <w:ind w:right="174"/>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2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12,000</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8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(3)</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3,750</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10/30/2024</w:t>
            </w:r>
          </w:p>
        </w:tc>
        <w:tc>
          <w:tcPr>
            <w:tcW w:w="1200" w:type="dxa"/>
            <w:vAlign w:val="bottom"/>
          </w:tcPr>
          <w:p>
            <w:pPr>
              <w:spacing w:after="0"/>
              <w:rPr>
                <w:sz w:val="5"/>
                <w:szCs w:val="5"/>
                <w:color w:val="auto"/>
              </w:rPr>
            </w:pPr>
          </w:p>
        </w:tc>
        <w:tc>
          <w:tcPr>
            <w:tcW w:w="40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70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3,750</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restart"/>
          </w:tcPr>
          <w:p>
            <w:pPr>
              <w:jc w:val="center"/>
              <w:ind w:right="174"/>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2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37,500</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-2818765</wp:posOffset>
            </wp:positionV>
            <wp:extent cx="29210" cy="2823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8238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3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required to be sold by the Reporting Person to cover tax withholding obligations in connection with the vesting of restricted stock units ("RSUs"). These sales are mandated by the Issuer's election under its equity incentive plans to require the satisfaction of tax withholding obligations to be funded by a "sell to cover" transaction and do not represent discretionary trades by the Reporting Person.</w:t>
      </w:r>
    </w:p>
    <w:p>
      <w:pPr>
        <w:spacing w:after="0" w:line="25" w:lineRule="exact"/>
        <w:rPr>
          <w:rFonts w:ascii="Times New Roman" w:cs="Times New Roman" w:eastAsia="Times New Roman" w:hAnsi="Times New Roman"/>
          <w:sz w:val="13"/>
          <w:szCs w:val="13"/>
          <w:color w:val="008000"/>
        </w:rPr>
      </w:pPr>
    </w:p>
    <w:p>
      <w:pPr>
        <w:ind w:left="40" w:right="28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The lowest price at which shares were sold was $23.98 and the highest price at which shares were sold was $24.77. The Reporting Person undertakes to provide upon request to the staff of the Securities and Exchange Commission, the Issuer or its stockholders, full information regarding the total number of shares sold at each separate price within the range set forth herein.</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4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in substantially equal increments quarterly over four years, with the first quarterly increment vesting on April 30, 2022, subject to the Reporting Person's provision of services to the Issuer on each vesting date. Shares of the Issuer's Common Stock will be delivered to the Reporting Person following vesting.</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do not expire; they either vest or are canceled prior to the vest date.</w:t>
      </w:r>
    </w:p>
    <w:p>
      <w:pPr>
        <w:spacing w:after="0" w:line="45" w:lineRule="exact"/>
        <w:rPr>
          <w:rFonts w:ascii="Times New Roman" w:cs="Times New Roman" w:eastAsia="Times New Roman" w:hAnsi="Times New Roman"/>
          <w:sz w:val="13"/>
          <w:szCs w:val="13"/>
          <w:color w:val="008000"/>
        </w:rPr>
      </w:pPr>
    </w:p>
    <w:p>
      <w:pPr>
        <w:ind w:left="40" w:right="2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as to 1/12 of the total award quarterly over three years, with the first quarterly increment vesting on July 30, 2023, subject to the Reporting Person's provision of services to the Issuer on each vesting date. Shares of the Issuer's common stock will be delivered to the Reporting Person following vesting.</w:t>
      </w:r>
    </w:p>
    <w:p>
      <w:pPr>
        <w:spacing w:after="0" w:line="15" w:lineRule="exact"/>
        <w:rPr>
          <w:rFonts w:ascii="Times New Roman" w:cs="Times New Roman" w:eastAsia="Times New Roman" w:hAnsi="Times New Roman"/>
          <w:sz w:val="13"/>
          <w:szCs w:val="13"/>
          <w:color w:val="008000"/>
        </w:rPr>
      </w:pPr>
    </w:p>
    <w:p>
      <w:pPr>
        <w:ind w:left="40" w:right="2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as to 1/12 of the total award quarterly over three years, with the first quarterly increment vesting on July 30, 2024, subject to the Reporting Person's provision of services to the Issuer on each vesting date. Shares of the Issuer's common stock will be delivered to the Reporting Person following vesting.</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Daniel Burbach, as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10/30/2024</w:t>
            </w:r>
          </w:p>
        </w:tc>
      </w:tr>
      <w:tr>
        <w:trPr>
          <w:trHeight w:val="20"/>
        </w:trPr>
        <w:tc>
          <w:tcPr>
            <w:tcW w:w="1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188"/>
        </w:trPr>
        <w:tc>
          <w:tcPr>
            <w:tcW w:w="2040" w:type="dxa"/>
            <w:vAlign w:val="bottom"/>
            <w:tcBorders>
              <w:bottom w:val="single" w:sz="8" w:color="auto"/>
            </w:tcBorders>
            <w:gridSpan w:val="2"/>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 for Hans van</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r>
    </w:tbl>
    <w:p>
      <w:pPr>
        <w:sectPr>
          <w:pgSz w:w="11900" w:h="16838" w:orient="portrait"/>
          <w:cols w:equalWidth="0" w:num="1">
            <w:col w:w="11080"/>
          </w:cols>
          <w:pgMar w:left="460" w:top="216" w:right="359" w:bottom="0" w:gutter="0" w:footer="0" w:header="0"/>
          <w:type w:val="continuous"/>
        </w:sectPr>
      </w:pPr>
    </w:p>
    <w:bookmarkStart w:id="1" w:name="page2"/>
    <w:bookmarkEnd w:id="1"/>
    <w:p>
      <w:pPr>
        <w:ind w:left="6560"/>
        <w:spacing w:after="0"/>
        <w:rPr>
          <w:sz w:val="20"/>
          <w:szCs w:val="20"/>
          <w:color w:val="auto"/>
        </w:rPr>
      </w:pPr>
      <w:r>
        <w:rPr>
          <w:rFonts w:ascii="Times New Roman" w:cs="Times New Roman" w:eastAsia="Times New Roman" w:hAnsi="Times New Roman"/>
          <w:sz w:val="17"/>
          <w:szCs w:val="17"/>
          <w:color w:val="0000FF"/>
        </w:rPr>
        <w:t>Houte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-8255</wp:posOffset>
            </wp:positionV>
            <wp:extent cx="262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62255" cy="8255"/>
                    </a:xfrm>
                    <a:prstGeom prst="rect">
                      <a:avLst/>
                    </a:prstGeom>
                    <a:noFill/>
                  </pic:spPr>
                </pic:pic>
              </a:graphicData>
            </a:graphic>
          </wp:anchor>
        </w:drawing>
      </w:r>
    </w:p>
    <w:p>
      <w:pPr>
        <w:spacing w:after="0" w:line="44"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59" w:firstLine="3"/>
        <w:spacing w:after="0" w:line="339"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17217" TargetMode="External"/><Relationship Id="rId14" Type="http://schemas.openxmlformats.org/officeDocument/2006/relationships/hyperlink" Target="http://www.sec.gov/cgi-bin/browse-edgar?action=getcompany&amp;CIK=00015495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2024-10-30T19:33:22Z</dcterms:created>
  <dcterms:modified xsi:type="dcterms:W3CDTF">2024-10-30T19:33:22Z</dcterms:modified>
</cp:coreProperties>
</file>