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52"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52"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18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May 31, 2025</w:t>
      </w:r>
    </w:p>
    <w:p>
      <w:pPr>
        <w:pStyle w:val="TextBody"/>
        <w:bidi w:val="0"/>
        <w:spacing w:lineRule="auto" w:line="252" w:before="12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52" w:before="120" w:after="283"/>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52" w:before="120" w:after="283"/>
        <w:jc w:val="center"/>
        <w:rPr>
          <w:rFonts w:ascii="Times New Roman;serif" w:hAnsi="Times New Roman;serif"/>
          <w:b/>
          <w:color w:val="000000"/>
          <w:sz w:val="18"/>
        </w:rPr>
      </w:pPr>
      <w:r>
        <w:rPr>
          <w:rFonts w:ascii="Times New Roman;serif" w:hAnsi="Times New Roman;serif"/>
          <w:b/>
          <w:color w:val="000000"/>
          <w:sz w:val="18"/>
        </w:rPr>
        <w:t>Commission File Number: 001-39398</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180" w:after="283"/>
        <w:jc w:val="center"/>
        <w:rPr>
          <w:rFonts w:ascii="Times New Roman;serif" w:hAnsi="Times New Roman;serif"/>
          <w:b/>
          <w:color w:val="000000"/>
          <w:sz w:val="48"/>
        </w:rPr>
      </w:pPr>
      <w:r>
        <w:rPr>
          <w:rFonts w:ascii="Times New Roman;serif" w:hAnsi="Times New Roman;serif"/>
          <w:b/>
          <w:color w:val="000000"/>
          <w:sz w:val="48"/>
        </w:rPr>
        <w:t>NURIX THERAPEUTICS, INC.</w:t>
      </w:r>
    </w:p>
    <w:p>
      <w:pPr>
        <w:pStyle w:val="TextBody"/>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35" w:type="dxa"/>
        <w:jc w:val="center"/>
        <w:tblInd w:w="0" w:type="dxa"/>
        <w:tblLayout w:type="fixed"/>
        <w:tblCellMar>
          <w:top w:w="28" w:type="dxa"/>
          <w:left w:w="28" w:type="dxa"/>
          <w:bottom w:w="28" w:type="dxa"/>
          <w:right w:w="28" w:type="dxa"/>
        </w:tblCellMar>
      </w:tblPr>
      <w:tblGrid>
        <w:gridCol w:w="1110"/>
        <w:gridCol w:w="980"/>
        <w:gridCol w:w="985"/>
        <w:gridCol w:w="455"/>
        <w:gridCol w:w="455"/>
        <w:gridCol w:w="650"/>
      </w:tblGrid>
      <w:tr>
        <w:trPr/>
        <w:tc>
          <w:tcPr>
            <w:tcW w:w="111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5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27-0838048</w:t>
            </w:r>
          </w:p>
        </w:tc>
      </w:tr>
      <w:tr>
        <w:trPr/>
        <w:tc>
          <w:tcPr>
            <w:tcW w:w="307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r>
        <w:trPr/>
        <w:tc>
          <w:tcPr>
            <w:tcW w:w="3075"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1700 Owens Street, Suite 205</w:t>
            </w:r>
          </w:p>
          <w:p>
            <w:pPr>
              <w:pStyle w:val="TableContents"/>
              <w:bidi w:val="0"/>
              <w:spacing w:lineRule="auto" w:line="252" w:before="0" w:after="0"/>
              <w:jc w:val="center"/>
              <w:rPr>
                <w:rFonts w:ascii="Times New Roman;serif" w:hAnsi="Times New Roman;serif"/>
                <w:b/>
                <w:color w:val="000000"/>
                <w:sz w:val="18"/>
              </w:rPr>
            </w:pPr>
            <w:r>
              <w:rPr>
                <w:rFonts w:ascii="Times New Roman;serif" w:hAnsi="Times New Roman;serif"/>
                <w:b/>
                <w:color w:val="000000"/>
                <w:sz w:val="18"/>
              </w:rPr>
              <w:t>San Francisco, CA</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94158</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52" w:before="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(415) 660-5320</w:t>
      </w:r>
    </w:p>
    <w:p>
      <w:pPr>
        <w:pStyle w:val="TextBody"/>
        <w:bidi w:val="0"/>
        <w:spacing w:lineRule="auto" w:line="252"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w:t>
      </w:r>
    </w:p>
    <w:p>
      <w:pPr>
        <w:pStyle w:val="TextBody"/>
        <w:bidi w:val="0"/>
        <w:spacing w:lineRule="auto" w:line="252"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16" w:type="dxa"/>
        <w:jc w:val="center"/>
        <w:tblInd w:w="0" w:type="dxa"/>
        <w:tblLayout w:type="fixed"/>
        <w:tblCellMar>
          <w:top w:w="28" w:type="dxa"/>
          <w:left w:w="28" w:type="dxa"/>
          <w:bottom w:w="28" w:type="dxa"/>
          <w:right w:w="28" w:type="dxa"/>
        </w:tblCellMar>
      </w:tblPr>
      <w:tblGrid>
        <w:gridCol w:w="1301"/>
        <w:gridCol w:w="1145"/>
        <w:gridCol w:w="1153"/>
        <w:gridCol w:w="109"/>
        <w:gridCol w:w="109"/>
        <w:gridCol w:w="109"/>
        <w:gridCol w:w="294"/>
        <w:gridCol w:w="294"/>
        <w:gridCol w:w="296"/>
        <w:gridCol w:w="109"/>
        <w:gridCol w:w="109"/>
        <w:gridCol w:w="109"/>
        <w:gridCol w:w="1019"/>
        <w:gridCol w:w="1019"/>
        <w:gridCol w:w="1441"/>
      </w:tblGrid>
      <w:tr>
        <w:trPr/>
        <w:tc>
          <w:tcPr>
            <w:tcW w:w="130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52" w:before="12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52" w:before="12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52"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52" w:before="12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52"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2025, the Registrant had 76,449,355 shares of common stock, $0.001 par value per share,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and conduct of our clinical trial programs for our lead drug candidates bexobrutideg (NX-5948), zelebrudomide (NX-2127) and NX-1607 and other drug candidates, including statements regarding the timing of data and anticipated announcements, the selection of new development candidates and the initiation of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of, and our ability to obtain, marketing approvals for our lead drug candidates bexobrutideg, zelebrudomide and NX-1607 and other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plans to pursue research and development of other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of investigational new drug application (IND) submissions for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advantages of our DEL-AI platform, our drug candidates and degrader antibody conjugates (DACs);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extent to which our scientific approach, our DEL-AI platform, protein degradation, antibody-drug conjugation, and DACs may potentially address a broad range of diseases;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benefits of our arrangements with Gilead Sciences, Inc., Sanofi S.A. and Seagen Inc. (now a part of Pfizer Inc.);</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of and our ability to obtain and maintain regulatory approvals for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receipt of revenue from future sales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rate and degree of market acceptance and clinical utility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estimates regarding the potential market opportunity for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sales, marketing and distribution capabilities and strategy;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establish and maintain arrangements for the manufacturing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expected impact of global business, political and macroeconomic conditions, including inflation, interest rate fluctuations and volatile market conditions, uncertainty with respect to the federal budget and debt ceiling, potential government shutdowns related thereto, cybersecurity events, instability in the global banking system, and global events, including regional conflicts around the world, on our business, clinical trials, financial condition, liquidity and results of operations;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achievement of milestones and receipt of royalty payments under our collaborations;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enter into additional collaborations with third parties;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intellectual property position;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estimates regarding expenses, future revenues, capital requirements and needs for additional financing;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impact of government laws and regulations;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competitive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and uncertainties, including those risks discussed at-length below. These risks include, among others, the following: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have incurred significant losses since our inception. We expect to incur losses over at least the next several years and may never achieve or maintain profitability.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have never generated revenue from product sales and may never be profitable.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will need substantial additional funding. If we are unable to raise capital when needed, we may be required to delay, limit, reduce or terminate our research or product development programs or future commercialization efforts.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Current and future legislation may increase the difficulty and cost for us, and any collaborators, to obtain marketing approval of and commercialize our drug candidates and affect the prices we, or they, may obtain.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are early in our development efforts. Our lead drug candidates, bexobrutideg (NX-5948), zelebrudomide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limited operating history may make it difficult to evaluate the success of our business to date and to assess our future viability.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serious adverse events, undesirable side effects or unexpected characteristics are identified during the development of any drug candidates we may develop, we may need to abandon or limit our further clinical development of those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results of preclinical studies and early-stage clinical trials may not be predictive of future results. Initial success in clinical trials may not be indicative of results obtained in later-stage trials or when these trials are completed.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seek or obtain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face substantial competition in an environment of rapid technological change, which may result in others discovering, developing or commercializing products before or more successfully than we do.</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7660"/>
                <wp:effectExtent l="0" t="0" r="0" b="0"/>
                <wp:wrapNone/>
                <wp:docPr id="3"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Unfavorable global economic conditions could adversely affect our business, financial condition, stock price and results of operations.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fail to attract and retain management and other key personnel, we may be unable to continue to successfully develop our current and any future drug candidates, commercialize our drug candidates or otherwise implement our business plan.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Even if we are able to commercialize any drug candidates, the products may become subject to unfavorable pricing regulations, third-party reimbursement practices or healthcare reform initiatives, or fail to secure a positive health technology assessment, which would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4"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60" w:type="dxa"/>
        <w:jc w:val="center"/>
        <w:tblInd w:w="0" w:type="dxa"/>
        <w:tblLayout w:type="fixed"/>
        <w:tblCellMar>
          <w:top w:w="28" w:type="dxa"/>
          <w:left w:w="28" w:type="dxa"/>
          <w:bottom w:w="28" w:type="dxa"/>
          <w:right w:w="28" w:type="dxa"/>
        </w:tblCellMar>
      </w:tblPr>
      <w:tblGrid>
        <w:gridCol w:w="320"/>
        <w:gridCol w:w="281"/>
        <w:gridCol w:w="283"/>
        <w:gridCol w:w="2453"/>
        <w:gridCol w:w="2453"/>
        <w:gridCol w:w="2459"/>
        <w:gridCol w:w="149"/>
        <w:gridCol w:w="149"/>
        <w:gridCol w:w="213"/>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6">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6">
              <w:r>
                <w:rPr>
                  <w:rStyle w:val="InternetLink"/>
                  <w:rFonts w:ascii="Times New Roman;serif" w:hAnsi="Times New Roman;serif"/>
                  <w:b w:val="false"/>
                  <w:color w:val="0000FF"/>
                  <w:sz w:val="20"/>
                  <w:u w:val="single"/>
                </w:rPr>
                <w:t>FINANCIAL INFORMATION</w:t>
              </w:r>
            </w:hyperlink>
          </w:p>
        </w:tc>
        <w:tc>
          <w:tcPr>
            <w:tcW w:w="5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right"/>
              <w:rPr/>
            </w:pPr>
            <w:hyperlink w:anchor="i8d92877193c74637b111fc9812f07c6f_16">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9">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9">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19">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22">
              <w:r>
                <w:rPr>
                  <w:rStyle w:val="InternetLink"/>
                  <w:rFonts w:ascii="Times New Roman;serif" w:hAnsi="Times New Roman;serif"/>
                  <w:b w:val="false"/>
                  <w:color w:val="0000FF"/>
                  <w:sz w:val="20"/>
                  <w:u w:val="single"/>
                </w:rPr>
                <w:t xml:space="preserve">Condensed Balance Sheets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22">
              <w:r>
                <w:rPr>
                  <w:rStyle w:val="InternetLink"/>
                  <w:rFonts w:ascii="Times New Roman;serif" w:hAnsi="Times New Roman;serif"/>
                  <w:b w:val="false"/>
                  <w:strike w:val="false"/>
                  <w:dstrike w:val="false"/>
                  <w:color w:val="000000"/>
                  <w:sz w:val="20"/>
                  <w:u w:val="none"/>
                  <w:effect w:val="non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25">
              <w:r>
                <w:rPr>
                  <w:rStyle w:val="InternetLink"/>
                  <w:rFonts w:ascii="Times New Roman;serif" w:hAnsi="Times New Roman;serif"/>
                  <w:b w:val="false"/>
                  <w:color w:val="0000FF"/>
                  <w:sz w:val="20"/>
                  <w:u w:val="single"/>
                </w:rPr>
                <w:t xml:space="preserve">Condensed Statements of Operations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25">
              <w:r>
                <w:rPr>
                  <w:rStyle w:val="InternetLink"/>
                  <w:rFonts w:ascii="Times New Roman;serif" w:hAnsi="Times New Roman;serif"/>
                  <w:b w:val="false"/>
                  <w:strike w:val="false"/>
                  <w:dstrike w:val="false"/>
                  <w:color w:val="000000"/>
                  <w:sz w:val="20"/>
                  <w:u w:val="none"/>
                  <w:effect w:val="non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28">
              <w:r>
                <w:rPr>
                  <w:rStyle w:val="InternetLink"/>
                  <w:rFonts w:ascii="Times New Roman;serif" w:hAnsi="Times New Roman;serif"/>
                  <w:b w:val="false"/>
                  <w:color w:val="0000FF"/>
                  <w:sz w:val="20"/>
                  <w:u w:val="single"/>
                </w:rPr>
                <w:t xml:space="preserve">Condensed Statements of Comprehensive Loss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28">
              <w:r>
                <w:rPr>
                  <w:rStyle w:val="InternetLink"/>
                  <w:rFonts w:ascii="Times New Roman;serif" w:hAnsi="Times New Roman;serif"/>
                  <w:b w:val="false"/>
                  <w:strike w:val="false"/>
                  <w:dstrike w:val="false"/>
                  <w:color w:val="000000"/>
                  <w:sz w:val="20"/>
                  <w:u w:val="none"/>
                  <w:effect w:val="non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31">
              <w:r>
                <w:rPr>
                  <w:rStyle w:val="InternetLink"/>
                  <w:rFonts w:ascii="Times New Roman;serif" w:hAnsi="Times New Roman;serif"/>
                  <w:b w:val="false"/>
                  <w:color w:val="0000FF"/>
                  <w:sz w:val="20"/>
                  <w:u w:val="single"/>
                </w:rPr>
                <w:t xml:space="preserve">Condensed Statements of Stockholders’ Equity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31">
              <w:r>
                <w:rPr>
                  <w:rStyle w:val="InternetLink"/>
                  <w:rFonts w:ascii="Times New Roman;serif" w:hAnsi="Times New Roman;serif"/>
                  <w:b w:val="false"/>
                  <w:strike w:val="false"/>
                  <w:dstrike w:val="false"/>
                  <w:color w:val="000000"/>
                  <w:sz w:val="20"/>
                  <w:u w:val="none"/>
                  <w:effect w:val="none"/>
                </w:rPr>
                <w:t>4</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34">
              <w:r>
                <w:rPr>
                  <w:rStyle w:val="InternetLink"/>
                  <w:rFonts w:ascii="Times New Roman;serif" w:hAnsi="Times New Roman;serif"/>
                  <w:b w:val="false"/>
                  <w:color w:val="0000FF"/>
                  <w:sz w:val="20"/>
                  <w:u w:val="single"/>
                </w:rPr>
                <w:t xml:space="preserve">Condensed Statements of Cash Flows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34">
              <w:r>
                <w:rPr>
                  <w:rStyle w:val="InternetLink"/>
                  <w:rFonts w:ascii="Times New Roman;serif" w:hAnsi="Times New Roman;serif"/>
                  <w:b w:val="false"/>
                  <w:strike w:val="false"/>
                  <w:dstrike w:val="false"/>
                  <w:color w:val="000000"/>
                  <w:sz w:val="20"/>
                  <w:u w:val="none"/>
                  <w:effect w:val="none"/>
                </w:rPr>
                <w:t>6</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37">
              <w:r>
                <w:rPr>
                  <w:rStyle w:val="InternetLink"/>
                  <w:rFonts w:ascii="Times New Roman;serif" w:hAnsi="Times New Roman;serif"/>
                  <w:b w:val="false"/>
                  <w:color w:val="0000FF"/>
                  <w:sz w:val="20"/>
                  <w:u w:val="single"/>
                </w:rPr>
                <w:t>Notes to Condensed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37">
              <w:r>
                <w:rPr>
                  <w:rStyle w:val="InternetLink"/>
                  <w:rFonts w:ascii="Times New Roman;serif" w:hAnsi="Times New Roman;serif"/>
                  <w:b w:val="false"/>
                  <w:strike w:val="false"/>
                  <w:dstrike w:val="false"/>
                  <w:color w:val="000000"/>
                  <w:sz w:val="20"/>
                  <w:u w:val="none"/>
                  <w:effect w:val="none"/>
                </w:rPr>
                <w:t>8</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79">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79">
              <w:r>
                <w:rPr>
                  <w:rStyle w:val="InternetLink"/>
                  <w:rFonts w:ascii="Times New Roman;serif" w:hAnsi="Times New Roman;serif"/>
                  <w:b w:val="false"/>
                  <w:strike w:val="false"/>
                  <w:dstrike w:val="false"/>
                  <w:color w:val="000000"/>
                  <w:sz w:val="20"/>
                  <w:u w:val="none"/>
                  <w:effect w:val="none"/>
                </w:rPr>
                <w:t>25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06">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06">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106">
              <w:r>
                <w:rPr>
                  <w:rStyle w:val="InternetLink"/>
                  <w:rFonts w:ascii="Times New Roman;serif" w:hAnsi="Times New Roman;serif"/>
                  <w:b w:val="false"/>
                  <w:strike w:val="false"/>
                  <w:dstrike w:val="false"/>
                  <w:color w:val="000000"/>
                  <w:sz w:val="20"/>
                  <w:u w:val="none"/>
                  <w:effect w:val="none"/>
                </w:rPr>
                <w:t>38</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09">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09">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109">
              <w:r>
                <w:rPr>
                  <w:rStyle w:val="InternetLink"/>
                  <w:rFonts w:ascii="Times New Roman;serif" w:hAnsi="Times New Roman;serif"/>
                  <w:b w:val="false"/>
                  <w:strike w:val="false"/>
                  <w:dstrike w:val="false"/>
                  <w:color w:val="000000"/>
                  <w:sz w:val="20"/>
                  <w:u w:val="none"/>
                  <w:effect w:val="none"/>
                </w:rPr>
                <w:t>38</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12">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12">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112">
              <w:r>
                <w:rPr>
                  <w:rStyle w:val="InternetLink"/>
                  <w:rFonts w:ascii="Times New Roman;serif" w:hAnsi="Times New Roman;serif"/>
                  <w:b w:val="false"/>
                  <w:strike w:val="false"/>
                  <w:dstrike w:val="false"/>
                  <w:color w:val="000000"/>
                  <w:sz w:val="20"/>
                  <w:u w:val="none"/>
                  <w:effect w:val="none"/>
                </w:rPr>
                <w:t>39</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15">
              <w:r>
                <w:rPr>
                  <w:rStyle w:val="InternetLink"/>
                  <w:rFonts w:ascii="Times New Roman;serif" w:hAnsi="Times New Roman;serif"/>
                  <w:b w:val="false"/>
                  <w:strike w:val="false"/>
                  <w:dstrike w:val="false"/>
                  <w:color w:val="000000"/>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15">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115">
              <w:r>
                <w:rPr>
                  <w:rStyle w:val="InternetLink"/>
                  <w:rFonts w:ascii="Times New Roman;serif" w:hAnsi="Times New Roman;serif"/>
                  <w:b w:val="false"/>
                  <w:strike w:val="false"/>
                  <w:dstrike w:val="false"/>
                  <w:color w:val="000000"/>
                  <w:sz w:val="20"/>
                  <w:u w:val="none"/>
                  <w:effect w:val="none"/>
                </w:rPr>
                <w:t>39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18">
              <w:r>
                <w:rPr>
                  <w:rStyle w:val="InternetLink"/>
                  <w:rFonts w:ascii="Times New Roman;serif" w:hAnsi="Times New Roman;serif"/>
                  <w:b w:val="false"/>
                  <w:strike w:val="false"/>
                  <w:dstrike w:val="false"/>
                  <w:color w:val="000000"/>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18">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118">
              <w:r>
                <w:rPr>
                  <w:rStyle w:val="InternetLink"/>
                  <w:rFonts w:ascii="Times New Roman;serif" w:hAnsi="Times New Roman;serif"/>
                  <w:b w:val="false"/>
                  <w:strike w:val="false"/>
                  <w:dstrike w:val="false"/>
                  <w:color w:val="000000"/>
                  <w:sz w:val="20"/>
                  <w:u w:val="none"/>
                  <w:effect w:val="none"/>
                </w:rPr>
                <w:t>39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45">
              <w:r>
                <w:rPr>
                  <w:rStyle w:val="InternetLink"/>
                  <w:rFonts w:ascii="Times New Roman;serif" w:hAnsi="Times New Roman;serif"/>
                  <w:b w:val="false"/>
                  <w:strike w:val="false"/>
                  <w:dstrike w:val="false"/>
                  <w:color w:val="000000"/>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45">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145">
              <w:r>
                <w:rPr>
                  <w:rStyle w:val="InternetLink"/>
                  <w:rFonts w:ascii="Times New Roman;serif" w:hAnsi="Times New Roman;serif"/>
                  <w:b w:val="false"/>
                  <w:strike w:val="false"/>
                  <w:dstrike w:val="false"/>
                  <w:color w:val="000000"/>
                  <w:sz w:val="20"/>
                  <w:u w:val="none"/>
                  <w:effect w:val="none"/>
                </w:rPr>
                <w:t>99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48">
              <w:r>
                <w:rPr>
                  <w:rStyle w:val="InternetLink"/>
                  <w:rFonts w:ascii="Times New Roman;serif" w:hAnsi="Times New Roman;serif"/>
                  <w:b w:val="false"/>
                  <w:strike w:val="false"/>
                  <w:dstrike w:val="false"/>
                  <w:color w:val="000000"/>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48">
              <w:r>
                <w:rPr>
                  <w:rStyle w:val="InternetLink"/>
                  <w:rFonts w:ascii="Times New Roman;serif" w:hAnsi="Times New Roman;serif"/>
                  <w:b w:val="false"/>
                  <w:color w:val="0000FF"/>
                  <w:sz w:val="20"/>
                  <w:u w:val="single"/>
                </w:rPr>
                <w:t>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148">
              <w:r>
                <w:rPr>
                  <w:rStyle w:val="InternetLink"/>
                  <w:rFonts w:ascii="Times New Roman;serif" w:hAnsi="Times New Roman;serif"/>
                  <w:b w:val="false"/>
                  <w:strike w:val="false"/>
                  <w:dstrike w:val="false"/>
                  <w:color w:val="000000"/>
                  <w:sz w:val="20"/>
                  <w:u w:val="none"/>
                  <w:effect w:val="none"/>
                </w:rPr>
                <w:t>99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51">
              <w:r>
                <w:rPr>
                  <w:rStyle w:val="InternetLink"/>
                  <w:rFonts w:ascii="Times New Roman;serif" w:hAnsi="Times New Roman;serif"/>
                  <w:b w:val="false"/>
                  <w:strike w:val="false"/>
                  <w:dstrike w:val="false"/>
                  <w:color w:val="000000"/>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51">
              <w:r>
                <w:rPr>
                  <w:rStyle w:val="InternetLink"/>
                  <w:rFonts w:ascii="Times New Roman;serif" w:hAnsi="Times New Roman;serif"/>
                  <w:b w:val="false"/>
                  <w:color w:val="0000FF"/>
                  <w:sz w:val="20"/>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151">
              <w:r>
                <w:rPr>
                  <w:rStyle w:val="InternetLink"/>
                  <w:rFonts w:ascii="Times New Roman;serif" w:hAnsi="Times New Roman;serif"/>
                  <w:b w:val="false"/>
                  <w:strike w:val="false"/>
                  <w:dstrike w:val="false"/>
                  <w:color w:val="000000"/>
                  <w:sz w:val="20"/>
                  <w:u w:val="none"/>
                  <w:effect w:val="none"/>
                </w:rPr>
                <w:t>99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54">
              <w:r>
                <w:rPr>
                  <w:rStyle w:val="InternetLink"/>
                  <w:rFonts w:ascii="Times New Roman;serif" w:hAnsi="Times New Roman;serif"/>
                  <w:b w:val="false"/>
                  <w:strike w:val="false"/>
                  <w:dstrike w:val="false"/>
                  <w:color w:val="000000"/>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54">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154">
              <w:r>
                <w:rPr>
                  <w:rStyle w:val="InternetLink"/>
                  <w:rFonts w:ascii="Times New Roman;serif" w:hAnsi="Times New Roman;serif"/>
                  <w:b w:val="false"/>
                  <w:strike w:val="false"/>
                  <w:dstrike w:val="false"/>
                  <w:color w:val="000000"/>
                  <w:sz w:val="20"/>
                  <w:u w:val="none"/>
                  <w:effect w:val="none"/>
                </w:rPr>
                <w:t>99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60">
              <w:r>
                <w:rPr>
                  <w:rStyle w:val="InternetLink"/>
                  <w:rFonts w:ascii="Times New Roman;serif" w:hAnsi="Times New Roman;serif"/>
                  <w:b w:val="false"/>
                  <w:strike w:val="false"/>
                  <w:dstrike w:val="false"/>
                  <w:color w:val="000000"/>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60">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160">
              <w:r>
                <w:rPr>
                  <w:rStyle w:val="InternetLink"/>
                  <w:rFonts w:ascii="Times New Roman;serif" w:hAnsi="Times New Roman;serif"/>
                  <w:b w:val="false"/>
                  <w:strike w:val="false"/>
                  <w:dstrike w:val="false"/>
                  <w:color w:val="000000"/>
                  <w:sz w:val="20"/>
                  <w:u w:val="none"/>
                  <w:effect w:val="none"/>
                </w:rPr>
                <w:t>100</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6"/>
            <w:tcBorders/>
            <w:tcMar>
              <w:top w:w="0" w:type="dxa"/>
              <w:left w:w="0" w:type="dxa"/>
              <w:bottom w:w="0" w:type="dxa"/>
              <w:right w:w="0" w:type="dxa"/>
            </w:tcMar>
            <w:vAlign w:val="center"/>
          </w:tcPr>
          <w:p>
            <w:pPr>
              <w:pStyle w:val="TableContents"/>
              <w:bidi w:val="0"/>
              <w:spacing w:lineRule="auto" w:line="273" w:before="0" w:after="0"/>
              <w:jc w:val="left"/>
              <w:rPr/>
            </w:pPr>
            <w:hyperlink w:anchor="i8d92877193c74637b111fc9812f07c6f_163">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8d92877193c74637b111fc9812f07c6f_163">
              <w:r>
                <w:rPr>
                  <w:rStyle w:val="InternetLink"/>
                  <w:rFonts w:ascii="Times New Roman;serif" w:hAnsi="Times New Roman;serif"/>
                  <w:b w:val="false"/>
                  <w:strike w:val="false"/>
                  <w:dstrike w:val="false"/>
                  <w:color w:val="000000"/>
                  <w:sz w:val="20"/>
                  <w:u w:val="none"/>
                  <w:effect w:val="none"/>
                </w:rPr>
                <w:t>101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89"/>
        <w:gridCol w:w="2350"/>
        <w:gridCol w:w="2300"/>
        <w:gridCol w:w="211"/>
        <w:gridCol w:w="826"/>
        <w:gridCol w:w="109"/>
        <w:gridCol w:w="109"/>
        <w:gridCol w:w="109"/>
        <w:gridCol w:w="109"/>
        <w:gridCol w:w="211"/>
        <w:gridCol w:w="826"/>
        <w:gridCol w:w="156"/>
      </w:tblGrid>
      <w:tr>
        <w:trPr/>
        <w:tc>
          <w:tcPr>
            <w:tcW w:w="288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2024</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499,586 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619,387 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669,343 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stockholdersʼ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Stockholdersʼ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as of May 31, 2025 and November 30, 2024; no shares issued and outstanding as of May 31, 2025 and November 30, 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500,000,000 shares authorized as of May 31, 2025 and November 30, 2024; 76,433,664 and 75,870,718 shares issued and outstanding as of May 31, 2025 and November 30, 2024,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(738,769)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stockholdersʼ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526,993 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stockholdersʼ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591,555 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669,343 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NURIX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60"/>
        <w:gridCol w:w="1493"/>
        <w:gridCol w:w="1507"/>
        <w:gridCol w:w="211"/>
        <w:gridCol w:w="784"/>
        <w:gridCol w:w="109"/>
        <w:gridCol w:w="109"/>
        <w:gridCol w:w="109"/>
        <w:gridCol w:w="109"/>
        <w:gridCol w:w="211"/>
        <w:gridCol w:w="784"/>
        <w:gridCol w:w="109"/>
        <w:gridCol w:w="109"/>
        <w:gridCol w:w="109"/>
        <w:gridCol w:w="109"/>
        <w:gridCol w:w="211"/>
        <w:gridCol w:w="784"/>
        <w:gridCol w:w="109"/>
        <w:gridCol w:w="109"/>
        <w:gridCol w:w="109"/>
        <w:gridCol w:w="109"/>
        <w:gridCol w:w="211"/>
        <w:gridCol w:w="784"/>
        <w:gridCol w:w="157"/>
      </w:tblGrid>
      <w:tr>
        <w:trPr/>
        <w:tc>
          <w:tcPr>
            <w:tcW w:w="176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r>
      <w:tr>
        <w:trPr/>
        <w:tc>
          <w:tcPr>
            <w:tcW w:w="4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122,436 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(93,759)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(85,884)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(86,064)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basic and diluted</w:t>
            </w:r>
          </w:p>
        </w:tc>
        <w:tc>
          <w:tcPr>
            <w:tcW w:w="110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83,882,477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62,377,551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83,723,403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58,660,900</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38"/>
        <w:gridCol w:w="1493"/>
        <w:gridCol w:w="1521"/>
        <w:gridCol w:w="211"/>
        <w:gridCol w:w="786"/>
        <w:gridCol w:w="109"/>
        <w:gridCol w:w="109"/>
        <w:gridCol w:w="109"/>
        <w:gridCol w:w="109"/>
        <w:gridCol w:w="211"/>
        <w:gridCol w:w="786"/>
        <w:gridCol w:w="109"/>
        <w:gridCol w:w="109"/>
        <w:gridCol w:w="109"/>
        <w:gridCol w:w="109"/>
        <w:gridCol w:w="211"/>
        <w:gridCol w:w="786"/>
        <w:gridCol w:w="109"/>
        <w:gridCol w:w="109"/>
        <w:gridCol w:w="109"/>
        <w:gridCol w:w="109"/>
        <w:gridCol w:w="211"/>
        <w:gridCol w:w="786"/>
        <w:gridCol w:w="157"/>
      </w:tblGrid>
      <w:tr>
        <w:trPr/>
        <w:tc>
          <w:tcPr>
            <w:tcW w:w="1738"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r>
      <w:tr>
        <w:trPr/>
        <w:tc>
          <w:tcPr>
            <w:tcW w:w="4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(86,064)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available-for-sale marketable securities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(99,985)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(85,544)</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218"/>
        <w:gridCol w:w="737"/>
        <w:gridCol w:w="742"/>
        <w:gridCol w:w="304"/>
        <w:gridCol w:w="304"/>
        <w:gridCol w:w="308"/>
        <w:gridCol w:w="109"/>
        <w:gridCol w:w="109"/>
        <w:gridCol w:w="109"/>
        <w:gridCol w:w="196"/>
        <w:gridCol w:w="331"/>
        <w:gridCol w:w="109"/>
        <w:gridCol w:w="109"/>
        <w:gridCol w:w="109"/>
        <w:gridCol w:w="109"/>
        <w:gridCol w:w="196"/>
        <w:gridCol w:w="871"/>
        <w:gridCol w:w="109"/>
        <w:gridCol w:w="109"/>
        <w:gridCol w:w="109"/>
        <w:gridCol w:w="109"/>
        <w:gridCol w:w="262"/>
        <w:gridCol w:w="583"/>
        <w:gridCol w:w="146"/>
        <w:gridCol w:w="109"/>
        <w:gridCol w:w="109"/>
        <w:gridCol w:w="109"/>
        <w:gridCol w:w="196"/>
        <w:gridCol w:w="762"/>
        <w:gridCol w:w="109"/>
        <w:gridCol w:w="109"/>
        <w:gridCol w:w="109"/>
        <w:gridCol w:w="109"/>
        <w:gridCol w:w="196"/>
        <w:gridCol w:w="736"/>
        <w:gridCol w:w="155"/>
      </w:tblGrid>
      <w:tr>
        <w:trPr/>
        <w:tc>
          <w:tcPr>
            <w:tcW w:w="121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xml:space="preserve">equity </w:t>
            </w:r>
          </w:p>
        </w:tc>
      </w:tr>
      <w:tr>
        <w:trPr/>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November 30, 2023</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48,718,552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(655)</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200,493 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early exercised stock options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unvested early exercised stock</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7,823 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available-for-sale marketable securities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February 29, 2024</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49,136,954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(586,718)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168,748 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common stock and pre-funded warrants in connection with equity financing, net of issuance costs of $12,518</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11,916,667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18"/>
              </w:rPr>
              <w:t xml:space="preserve">Issuance of common stock in </w:t>
            </w:r>
            <w:r>
              <w:rPr>
                <w:color w:val="000000"/>
                <w:shd w:fill="FFFFFF" w:val="clear"/>
              </w:rPr>
              <w:t>“</w:t>
            </w:r>
            <w:r>
              <w:rPr>
                <w:rFonts w:ascii="Times New Roman;serif" w:hAnsi="Times New Roman;serif"/>
                <w:b w:val="false"/>
                <w:color w:val="000000"/>
                <w:sz w:val="18"/>
              </w:rPr>
              <w:t>at the market</w:t>
            </w:r>
            <w:r>
              <w:rPr>
                <w:color w:val="000000"/>
              </w:rPr>
              <w:t xml:space="preserve">” </w:t>
            </w:r>
            <w:r>
              <w:rPr>
                <w:rFonts w:ascii="Times New Roman;serif" w:hAnsi="Times New Roman;serif"/>
                <w:b w:val="false"/>
                <w:color w:val="000000"/>
                <w:sz w:val="18"/>
              </w:rPr>
              <w:t>financing, net of issuance costs of $1,684</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3,194,809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48,469 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early exercised stock options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8,847 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available-for-sale marketable securities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(44,546)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May 31, 2024</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64,356,535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1,002,028 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(631,264)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370,693 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9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69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69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69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69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69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269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tbl>
      <w:tblPr>
        <w:tblW w:w="10205" w:type="dxa"/>
        <w:jc w:val="center"/>
        <w:tblInd w:w="0" w:type="dxa"/>
        <w:tblLayout w:type="fixed"/>
        <w:tblCellMar>
          <w:top w:w="28" w:type="dxa"/>
          <w:left w:w="28" w:type="dxa"/>
          <w:bottom w:w="28" w:type="dxa"/>
          <w:right w:w="28" w:type="dxa"/>
        </w:tblCellMar>
      </w:tblPr>
      <w:tblGrid>
        <w:gridCol w:w="1125"/>
        <w:gridCol w:w="739"/>
        <w:gridCol w:w="745"/>
        <w:gridCol w:w="304"/>
        <w:gridCol w:w="304"/>
        <w:gridCol w:w="308"/>
        <w:gridCol w:w="109"/>
        <w:gridCol w:w="109"/>
        <w:gridCol w:w="109"/>
        <w:gridCol w:w="196"/>
        <w:gridCol w:w="406"/>
        <w:gridCol w:w="109"/>
        <w:gridCol w:w="109"/>
        <w:gridCol w:w="109"/>
        <w:gridCol w:w="109"/>
        <w:gridCol w:w="196"/>
        <w:gridCol w:w="871"/>
        <w:gridCol w:w="109"/>
        <w:gridCol w:w="109"/>
        <w:gridCol w:w="109"/>
        <w:gridCol w:w="109"/>
        <w:gridCol w:w="267"/>
        <w:gridCol w:w="574"/>
        <w:gridCol w:w="150"/>
        <w:gridCol w:w="109"/>
        <w:gridCol w:w="109"/>
        <w:gridCol w:w="109"/>
        <w:gridCol w:w="196"/>
        <w:gridCol w:w="774"/>
        <w:gridCol w:w="109"/>
        <w:gridCol w:w="109"/>
        <w:gridCol w:w="109"/>
        <w:gridCol w:w="109"/>
        <w:gridCol w:w="196"/>
        <w:gridCol w:w="736"/>
        <w:gridCol w:w="156"/>
      </w:tblGrid>
      <w:tr>
        <w:trPr/>
        <w:tc>
          <w:tcPr>
            <w:tcW w:w="11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 xml:space="preserve">equity </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November 30, 2024</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75,870,718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526,993 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purchase plan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83,730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available-for-sale marketable securities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February 28, 2025</w:t>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76,234,799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1,275,735 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480,917 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available-for-sale marketable securities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May 31, 2025</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76,433,664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1,286,131 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(838,584)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447,603 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93"/>
        <w:gridCol w:w="2387"/>
        <w:gridCol w:w="2405"/>
        <w:gridCol w:w="211"/>
        <w:gridCol w:w="781"/>
        <w:gridCol w:w="109"/>
        <w:gridCol w:w="109"/>
        <w:gridCol w:w="109"/>
        <w:gridCol w:w="109"/>
        <w:gridCol w:w="211"/>
        <w:gridCol w:w="826"/>
        <w:gridCol w:w="155"/>
      </w:tblGrid>
      <w:tr>
        <w:trPr/>
        <w:tc>
          <w:tcPr>
            <w:tcW w:w="2793"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May 31,</w:t>
            </w:r>
          </w:p>
        </w:tc>
      </w:tr>
      <w:tr>
        <w:trPr/>
        <w:tc>
          <w:tcPr>
            <w:tcW w:w="7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(86,064)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 of discount on marketable securities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(81,656)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(279,921)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(95,557)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plan</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issuances of common stock and pre-funded warrants in equity financing, net of issuance costs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188,902 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issuances of common stock in “at the market” financing, net of issuance costs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unvested early exercised stock options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239,376 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62,163 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and equipment included in accounts payable and 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recognized in exchange for lease obligations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issuance costs included in accrued expenses and other current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issuance costs recognized related to the “at the market” financing</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early exercised stock options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8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tbl>
      <w:tblPr>
        <w:tblW w:w="7703" w:type="dxa"/>
        <w:jc w:val="center"/>
        <w:tblInd w:w="0" w:type="dxa"/>
        <w:tblLayout w:type="fixed"/>
        <w:tblCellMar>
          <w:top w:w="28" w:type="dxa"/>
          <w:left w:w="28" w:type="dxa"/>
          <w:bottom w:w="28" w:type="dxa"/>
          <w:right w:w="28" w:type="dxa"/>
        </w:tblCellMar>
      </w:tblPr>
      <w:tblGrid>
        <w:gridCol w:w="1862"/>
        <w:gridCol w:w="1637"/>
        <w:gridCol w:w="1645"/>
        <w:gridCol w:w="211"/>
        <w:gridCol w:w="721"/>
        <w:gridCol w:w="109"/>
        <w:gridCol w:w="109"/>
        <w:gridCol w:w="109"/>
        <w:gridCol w:w="109"/>
        <w:gridCol w:w="211"/>
        <w:gridCol w:w="826"/>
        <w:gridCol w:w="154"/>
      </w:tblGrid>
      <w:tr>
        <w:trPr/>
        <w:tc>
          <w:tcPr>
            <w:tcW w:w="186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May 31,</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w:t>
            </w:r>
          </w:p>
        </w:tc>
        <w:tc>
          <w:tcPr>
            <w:tcW w:w="10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85,161 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117,691 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 Organization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Nurix Therapeutics, Inc. (the Company) was incorporated in the state of Delaware on August 27, 2009, and is headquartered in San Francisco, California. The Company is a clinical stage biopharmaceutical company focused on the discovery, development and commercialization of innovative small molecules and antibody therapies based on the degradation of cellular protein levels as a novel treatment approach for cancer, inflammatory conditions and other challenging diseases. Leveraging the Company’s expertise in E3 ligases together with its proprietary DNA-encoded libraries, the Company has built DEL-AI, a fully AI-integrated discovery platform to identify and advance novel drug candidates targeting E3 ligases, a broad class of enzymes that can degrade proteins within the cell. The Company’s drug discovery approach is to either harness or inhibit the natural function of E3 ligases within the ubiquitin-proteasome system to selectively decrease or increase cellular protein levels.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consists of multiple programs under collaboration agreements with Gilead Sciences, Inc. (Gilead), Sanofi S.A. (Sanofi) and Seagen Inc. (now a part of Pfizer Inc. (Pfizer)), within which the Company retains certain options for co-development, co-commercialization and profit sharing in the United States for multiple drug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Distribution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2021, the Company filed a shelf registration statement on Form S-3 with the Securities and Exchange Commission (SEC), which was amended in February 2023 (the Shelf Registration Statement) and which expired in August 2024 with respect to additional sales of securities. The Shelf Registration Statement, which included a base prospectus, allowed the Company to offer and sell up to $450.0 million of the Company’s registered common stock, preferred stock, debt securities, warrants, subscriptions rights and/or units or any combination of securities described in the prospectus in one or more offerings. In addition, in August 2021, the Company entered into an Equity Distribution Agreement with Piper Sandler &amp; Co. (Piper Sandler) pursuant to which, from time to time, the Company could offer and sell through Piper Sandler up to $150.0 million of the common stock registered under the Shelf Registration Statement pursuant to one or more “at the market” offerings.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was not required to sell any shares at any time during the term of the Equity Distribution Agreement. The Company agreed to pay Piper Sandler a commission of 3.0% of the gross sales price of any shares sold pursuant to the Equity Distribution Agreement. In June 2022, the Company issued and sold 2,000,000 shares of common stock under the Equity Distribution Agreement at a price of $10.00 per share for net proceeds of $19.3 million after deducting offering commissions and expenses paid by the Company. In May 2024, the Company issued and sold 3,194,809 shares of common stock under the Equity Distribution Agreement at various prices ranging from $15.50 to $16.00 per share for total net proceeds of $48.5 million, after deducting offering commissions and expenses paid by the Company.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2024, the Company filed an automatic shelf registration statement on Form S-3 (the Automatic Shelf Registration Statement). The Automatic Shelf Registration Statement, which includes a base prospectus, allows the Company at any time to offer and sell the Company’s registered common stock, preferred stock, debt securities, warrants, subscriptions rights and/or units or any combination of securities described in the prospectus in one or more offerings. On July 11, 2024, the Company entered into Amendment No. 1 to the Equity Distribution Agreement (as amended, the Amended Equity Distribution Agreement), pursuant to which, from time to time, the Company may offer and sell through Piper Sandler up to $150.0 million of common stock registered under the Automatic Shelf Registration Statement pursuant to one or more “at the market” offerings.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was not required to sell any shares at any time during the term of the Amended Equity Distribution Agreement. The Company agreed to pay Piper Sandler a commission of up to 3.0% of the gross sales price of any shares sold pursuant to the Amended Equity Distribution Agreement. In August 2024, the Company issued and sold 2,145,000 shares of common stock under the Amended Equity Distribution Agreement at a price of $20.00 per share for total net proceeds of $42.0 million, after deducting offering commissions and expenses paid by the Company. In October 2024, the Company issued and sold 4,803,573 shares of common stock under the Amended Equity Distribution Agreement at various prices ranging from $21.50 to $25.00 per share for total net proceeds of $105.3 million, after deducting offering commissions and expenses paid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31, 2024, the Company entered into Amendment No. 2 to the Equity Distribution Agreement (as amended, the Second Amended Equity Distribution Agreement), pursuant to which, from time to time, the Company may offer and sell through Piper Sandler up to $300.0 million of common stock registered under the Automatic Shelf Registration Statement pursuant to one or more “at the market” offerings. The Company is not required to sell any shares at any time during the term of the Second Amended Equity Distribution Agreement. The Company agreed to pay Piper Sandler a commission of up to 3.0% of the gross sales price of any shares sold pursuant to the Second Amended Equity Distribution Agreement. In November 2024, the Company issued and sold 3,634,393 shares of common stock under the Second Amended Equity Distribution Agreement at a price of $26.25 per share for total net proceeds of $93.6 million, after deducting offering commissions and expenses paid by the Company. As of May 31, 2025, the Company had $204.6 million of common stock remaining available for sale under the Second Amended Equity Distribution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Registered Direct Offerings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2022, the Company entered into separate securities purchase agreements with certain purchasers to issue and sell pre</w:t>
        <w:noBreakHyphen/>
        <w:t>funded warrants to purchase an aggregate of 6,814,920 shares of the Company’s common stock in registered direct offerings (RDOs) at a price of $13.939 per pre-funded warrant (the 2022 Pre-Funded Warrants). Net proceeds from the RDOs were $94.8 million, after deducting offering expenses of $0.2 million. Refer to Note 7 for more information regarding the 2022 Pre-Funded Warrants.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Public Offering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the Company completed a public offering (2024 Public Offering) pursuant to the Shelf Registration Statement and issued 11,916,667 shares of common stock (including the exercise by the underwriters of their option to purchase an additional 1,750,000 shares of common stock) at a price to the public of $15.00 per share, and pre-funded warrants to purchase an aggregate of 1,500,100 shares of the Company’s common stock at a price of $14.999 per pre-funded warrant (the 2024 Pre-Funded Warrants). Net proceeds from the 2024 Public Offering were approximately $188.7 million, after deducting offering commissions and expenses of $12.5 million. Refer to Note 7 for more information regarding the 2024 Pre-Funded Warrants.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 and Management Plans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operations have historically been financed through the issuance of common stock, redeemable convertible preferred stock and pre-funded warrants and proceeds received under the Company’s collaboration and license agreements. Since inception, the Company has generally incurred significant losses and negative net cash flows from operations. The Company does not expect its existing cash, cash equivalents and marketable securities to be sufficient to fund the completion of its clinical trials through commercialization and will need substantial additional funding to support its continuing operations and pursue its long-term business plan. The Company anticipates incurring additional losses until such time, if ever, that it can generate significant sales of its drug candidates currently in development.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financial statements have been prepared assuming that the Company will continue as a going concern. As of May 31, 2025, the Company had cash, cash equivalents and marketable securities of $485.8 million and an accumulated deficit of $838.6 million. Management believes that its cash, cash equivalents and marketable securities are sufficient to continue operating activities for at least 12 months following the issuance date of these condensed financial statements. Future capital requirements will depend on many factors, including the timing and extent of spending on research and development and payments the Company may receive under its collaboration agreements with Sanofi, Gilead and Pfizer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 Management considered whether there are conditions or events that raise substantial doubt about the Company’s ability to continue as a going concern and evaluated the funds necessary to maintain operations. Based on the Company’s current forecast of future operating results, the Company has concluded that its cash, cash equivalents and marketable securities are sufficient to continue operating activities for at least 12 months following the issuance date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Basis of Presentation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condensed financial statements have been prepared in accordance with U.S. generally accepted accounting principles (U.S. GAAP) and applicable rules and regulations of the SEC regarding interim financial reporting. The Company’s condensed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and six months ended May 31, 2025. The condensed balance sheet as of November 30, 2024,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2024, as filed with the SEC on January 28, 2025. These interim results are not necessarily indicative of results to be expected for the full fiscal year or any future interim period. Subsequent to November 30, 2023, amounts presented in the financial statements are unconsolidated as the Company had no subsidiaries.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also makes certain commencement date estimates for its leases, including the incremental borrowing rate, the expected lease term and the fair value of the leased asset. The Company bases its estimates on historical experience and on other relevant assumptions that are reasonable under the circumstances. Actual results could differ materially from those estimates. Refer to Note 3 for more information regarding the estimates related to revenue recognition.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Concentration of Credit Risk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of cash, cash equivalents and marketable securities. The Company’s marketable securities consist of debt securities issued by highly rated corporate entities,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marketable securities.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Other Risks and Uncertainties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the Company is subject to risks and uncertainties as a result of global business, political and macroeconomic events and conditions, including increasing financial market volatility and uncertainty, inflation, interest rate fluctuations, uncertainty with respect to the federal budget and debt ceiling and potential government shutdowns related thereto, potential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requires management to make estimates and assumptions that affect the amounts reported in the condensed financial statements and accompanying notes. The extent to which the increasing financial market volatility and uncertainty may directly or indirectly impact the condensed financial statements is highly uncertain and subject to change.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relies on single source manufacturers and suppliers for the supply of its drug candidates. Disruption from these manufacturers or suppliers would have a negative impact on the Company’s business, financial position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contains a lease and the classification of the lease at inception. An arrangement contains a lease if there is an identified asset and if the Company controls the use of the identified asset throughout the period of use. The evaluation of whether the lease is an operating or a finance lease requires judgments in determining the fair value of the leased asset. Lease right-of-use (ROU) assets and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any lease incentives received. The Company uses its incremental borrowing rate, if an implicit rate is not readily available, and the information available at the date of lease commencement in determining its lease liabilities. The Company’s incremental borrowing rate is based on the rate of interest that the Company would have to pay to borrow on a collateralized basis over a similar term, an amount equal to the lease payments in a similar economic environment, and the determination of the rate requires the Company to make certain assumptions and judgements, including on its synthetic credit rating. Leases may include options to extend or early terminate the lease term. If the Company, using judgement, is reasonably certain that an option will be exercised, then the option will be included in the calculation of the lease term. The Company elected to combine lease and non-lease components for all underlying assets groups, and not recognize ROU assets or lease liabilities for short-term leases. A short-term lease is a lease that, at the commencement date, has a lease term of 12 months or less and does not include an option to purchase the underlying asset that the lessee is reasonably certain to exercise. Lease expense for operating leases is recognized on a straight-line basis over the lease term. The Company does not have any finance leases.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(i)identify the contract(s) with a customer;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(ii)identify the performance obligations in the contract;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(iii)determine the transaction price;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(iv)allocate the transaction price to the performance obligations in the contract; and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(v)recognize revenue when (or as) the Company satisfies a performance obligation.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Exclusive license rights: If a license to the Company’s intellectual property is determined to be distinct from the other promises identified in the arrangement, the Company recognizes revenue from nonrefundable, upfront payments allocated to the license when the license is transferred to the customer and the customer is able to use and benefit from the license and the underlying intellectual property.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collaboration licenses: Collaboration agreements may include research licenses and research and development services to be performed by the Company. For research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Milestone payments: At the inception of each arrangement that includes research, development or regulatory 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Sales-based milestones and royalties: For arrangements that include sales-based milestone or royalty payments based on the level of 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Customer options: Customer options, such as options granted to allow a licensee to extend a license or research term, to select additional research 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 If the option does not provide a material right, then the option is considered a marketing offer, which would be accounted for as a separate contract upon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which is a contract liability, represents net amounts received by the Company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 The non-current portion of deferred revenue represents amounts to be recognized after one year through the end of the performance period of the performance obligation.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2023, the Financial Accounting Standards Board (FASB) issued Accounting Standard Update (ASU) No. 2023</w:t>
        <w:noBreakHyphen/>
        <w:t>07, Segment Reporting (Topic 280)—Improvements to Reportable Segment Disclosures (ASU 2023-07), which is intended to improve reportable segment disclosure requirements, primarily through enhanced disclosures about significant segment expenses. This amendment is effective for the Company in the fiscal year beginning December 1, 2024, and interim periods within the fiscal year beginning December 1, 2025, on a retrospective basis with early adoption permitted. The Company does not expect the adoption of this standard to have a material impact on the Company’s condensed financial statements.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2023-09—Income Taxes (Topic 740): Improvements to Income Tax Disclosures (ASU 2023-09), which is intended to enhance the transparency and decision usefulness of income tax disclosures, primarily by amending disclosure requirements for the effective tax rate reconciliation and income taxes paid. ASU 2023-09 should be applied on a prospective basis, and retrospective application is permitted. ASU 2023-09 is effective for annual periods beginning after December 15, 2024. Early adoption is permitted. The Company is in the process of evaluating the impact of this new guidance on its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2024-03—Income Statement—Reporting Comprehensive Income—Expense Disaggregation Disclosures (Subtopic 220-40): Disaggregation of Income Statement Expenses (ASU 2024-03), which is intended to enhance transparency into the nature and function of expenses, primarily through additional disclosures on certain cost and expenses. ASU 2024-03 should be applied on a prospective basis, and retrospective application is permitted. ASU 2024-03 is effective for annual periods beginning after December 15, 2026, and interim reporting periods beginning after December 15, 2027. Early adoption is permitted. The Company is in the process of evaluating the impact of this new guidance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3. Collaboration Agreements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Gilead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2019, the Company entered into a global strategic collaboration agreement with Gilead (as subsequently amended, the Gilead Agreement) to discover, develop and commercialize a pipeline of targeted protein degradation drugs for patients with cancer and other challenging diseases using the Company’s DEL-AI platform to identify novel agents that utilize E3 ligases to induce degradation of five specified drug targets. In August 2019 and September 2022, the Company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the Company received in the second quarter of fiscal year 2024.</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the Company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Gilead Agreement, Gilead paid the Company an upfront payment of $45.0 million plus $3.0 million in additional fees. In addition, from the signing of the Gilead Agreement to May 31, 2025, the Company has received payments of $47.0 million for research milestones and additional payments, $20.0 million for a license option exercise payment, $15.0 million in research term extension fees and $5.0 million for a clinical milestone payment. As of May 31, 2025, the Company is eligible to receive up to approximately $1.8 billion in total additional payments, including payments of up to $508.5 million upon the achievement of specified research and development milestones, up to $60.0 million in certain additional fees related to target licensing and reservation and up to $1.2 billion upon the achievement of certain sales milestones. The Company also is eligible to receive mid-single digit to low tens percentage tiered royalties on annual net sales from any commercial products directed to the optioned collaboration targets, subject to certain reductions and excluding sales in the United States of any products for which the Company exercises its option to co-develop and co-promote, for which the parties share profits and losses evenly.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the following promises in the Gilead Agreement: (1) the research licenses, (2) the research services, including selection campaign research services for certain replacement targets, (3) the obligation to share information during the research term and (4) the participation in the joint research committee and joint steering committee. The Company determined that the research licenses, the obligation to share information and the participation in joint committees are not capable of being distinct from the research services due to the specialized nature of the research services to be provided by the Company, and, accordingly, the promises identified were combined as one single performance obligation. The Company also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May 31, 2025. The Company re-evaluates the transaction price in each reporting period and as uncertain events are resolved or other changes in circumstances occur. The Company determined that the transaction price at the inception of the initial research term consisted of the upfront payment of $45.0 million and $3.0 million in additional fees. Upon the achievement of research milestones and additional fees related to target reservations, $47.0 million in variable consideration was added to the transaction price, and a cumulative effect was recorded as revenue in the period the transaction price increased. The transaction price is recognized as collaboration revenue using the cost-based input method over the estimated initial research term of five years, which represents the estimated timing of completion of the identified deliverables. Additionally, the Company considered the impact of Gilead terminating the Gilead Agreement prior to the completion of the research services during the five-year initial research term and determined that there were significant economic costs to Gilead for doing so, and as such, did not adjust the contract term. The initial research term ended in the third quarter of fiscal year 2024.</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Gilead Research Term Extension, which has a term of two years and did not represent a material right at the inception of the Gilead Agreement because it does not contain a significant and incremental discount, is accounted for as a separate contract commencing in June 2024. The research term extension fee of $15.0 million is recognized as collaboration revenue using the cost-based input method over the estimated extended research term of two years, which represents the estimated timing of completion of the identified deliverables. As of May 31, 2025, no milestones have been achieved related to the extended research term.</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under the contract. Costs consist primarily of internal full-time employee (FTE) and third-party contract costs related to the Gilead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May 31, 2025, the Company recognized collaboration revenue related to the Gilead Research Term Extension of $1.6 million and $3.3 million, respectively, all of which was related to the $15.0 million research term extension fee received in the second quarter of fiscal year 2024. For the three and six months ended May 31, 2024, the Company recognized collaboration revenue related to the Gilead Agreement of $4.9 million and $9.5 million, respectively, all of which was included in deferred revenue as of the beginning of the period. As of May 31, 2025, deferred revenue related to the Gilead Agreement was $7.6 million, all of which was current. As of November 30, 2024, deferred revenue related to the Gilead Agreement was $11.0 million, of which $9.1 million was current.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Sanofi</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DEL-AI platform to identify small molecules designed to induce degradation of three specified initial drug targets. In January 2021, as part of the existing Sanofi Agreement, Sanofi paid the Company $22.0 million to exercise its option to expand the number of targets in the Sanofi Agreement from three to a total of five targets.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2021, the Company and Sanofi entered into the First Amendment to the Sanofi Agreement to modify the research term on all targets (the First Sanofi Amendment). In December 2021, the Company and Sanofi entered into the Second Amendment to the Sanofi Agreement to extend the substitution deadline on certain targets. In July 2022, the Company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the Company and Sanofi entered into the Fourth Amendment and Fifth Amendment, respectively, to the Sanofi Agreement to modify the research plan for certain targets, which had no impact on revenue recognition. In March 2024, the Company and Sanofi entered into the Sixth Amendment to the Sanofi Agreement to extend the research term for the collaboration target STAT6, a key drug target in type 2 inflammation, by two years (the Sixth Sanofi Amendment), which increased overall forecasted costs and had an impact on revenue recognition.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Sanofi Agreement, Sanofi has exclusive rights and is responsible for the clinical development, commercialization and manufacture of drug candidates resulting from the collaboration while the Company retains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its future internal programs, provided that the Company distinguished future programs as excluded from the scope of the collaboration.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2025, Sanofi exercised its right to exclusively license one target (the First Sanofi License Extension), the first development candidate resulting from the Sanofi Agreement. This right did not represent a material right at contract inception, since it was not offered for free or at a discount. Pursuant to the Sanofi Agreement, the Company received a license extension fee payment of $15.0 million in March 2025 for the First Sanofi License Extension. In May 2025, Sanofi exercised its right to exclusively license a second target (the Second Sanofi License Extension, and together with the First Sanofi License Extension, the Sanofi License Extensions), the second development candidate resulting from the Sanofi Agreement. This right also did not represent a material right at contract inception, since it was not offered for free or at a discount. Pursuant to the Sanofi Agreement, the Company expected to receive a license extension fee payment of $15.0 million for the Second Sanofi License Extension. As of May 31, 2025, the license extension fee was included in accounts receivable and payment was received in June 2025. The license to the functional intellectual property and all goods and services related to both the First Sanofi License Extension and the Second Sanofi License Extension were transferred during the second quarter of fiscal year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May 31, 2025, the Company has received payments of $16.0 million for research milestones and $15.0 million for a license extension fee. As of May 31, 2025, the Company is eligible to receive up to approximately $949.0 million in total additional payments, including payments of up to $184.0 million upon the achievement of specified research and development milestones, up to $15.0 million in certain additional fees related to target licensing and reservation, up to $250.0 million upon the achievement of specified regulatory milestones and up to $500.0 million upon the achievement of certain sales milestones. The Company is also eligible to receive mid-single digit to low teen percentage tiered royalties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the obligation to share information and the participation in the joint committees are not capable of being distinct from the research services due to the specialized nature of the research services to be provided by the Company, and, accordingly, the promises identified were combined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May 31, 2025. 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$20.0 million in variable consideration was added to the transaction price,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 The research period was extended as part of the Sixth Sanofi Amendment and a cumulative effect was recorded in the second quarter of fiscal year 2024.</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the cost-based input method, which the Company determined most faithfully depicts the transfer of its performance obligation to Sanofi, the Company recognizes revenue based on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May 31, 2025, the Company recognized collaboration revenue related to the Sanofi Agreement of $3.4 million and $16.1 million, respectively, of which $3.1 million and $9.1 million, respectively, were included in deferred revenue as of the beginning of the period, and zero and $6.4 million, respectively, were related to activities satisfied in previous periods. During the three and six months ended May 31, 2025, the Company also recognized $30.0 million in license revenue pursuant to the Sanofi License Extensions. For the three and six months ended May 31, 2024, the Company recognized collaboration revenue related to the Sanofi Agreement of $2.0 million and $10.3 million, respectively, of which $2.0 million and $8.8 million, respectively, were included in deferred revenue as of the beginning of the period, and zero and $1.2 million, respectively, were related to activities satisfied in previous periods. As of May 31, 2025, accounts receivable related to the Sanofi Agreement was $19.0 million and deferred revenue was zero. As of November 30, 2024, deferred revenue related to the Sanofi Agreement was $9.1 million, all of which was current and accounts receivable was zero.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Pfizer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2023, the Company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 antibody conjugates (DACs), a new class of medicines for use in cancer treatment, and advancing these DAC drug candidates through preclinical and clinical development and commercialization.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Pfizer Agreement, Pfizer has the option to obtain exclusive licenses to develop and commercialize certain degraders, while the Company retains an option for U.S. profit sharing and co-promotion on two products arising from the collaboration.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targets nominated by Pfizer under the collaboration, the Company shall use commercially reasonable efforts to identify, synthesize, characterize and deliver targeted protein degraders that selectively bind to and degrade such targets. Development of licensed degraders, with the exception of licensed products for which the Company exercises its profit-share options, will be at Pfizer’s sole cost and expense. For the profit-share products, the parties will share net profits and net losses and global development costs, and the Company will be eligible to receive royalty and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Pfizer Agreement, the Company received an upfront payment of $60.0 million. In addition, from the signing of the Pfizer Agreement to May 31, 2025, the Company has received payments of $10.0 million for research milestones. As of May 31, 2025, the Company is eligible to receive up to approximately $3.4 billion in contingent payments across multiple programs, including payments of up to $626.0 million upon the achievement of specified research and development milestones, up to $19.5 million in certain additional fees related to target licensing and reservation, up to $873.0 million upon the achievement of specified regulatory milestones and up to $1.8 billion upon the achievement of certain sales milestones. The Company is also eligible for mid-single to low double digit percentage tiered royalties on future sales.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the following promises in the Pfizer Agreement: (1) the research licenses, (2) the research services, (3) the participation of a gatekeeper and an alliance managers and the participation in various joint committees, and (4) the obligation to share information during the research term. The Company determined that the research licenses, the participation in the joint committees and the obligation to share information are not capable of being distinct from the research services, and, accordingly, the identified promises were combined as one single performance obligation. The Company also determined that, at the inception of the Pfizer Agreement, Pfizer’s options to obtain an exclusive development, manufacturing and commercialization license for each collaboration target and to extend the four-year research term do not represent material rights and are not considered performance obligations because they do not contain a significant and incremental discount. Additionally, Pfizer’s target reservation right is not a performance obligation as it is an exclusivity right and an attribute of other performance obligations in the Pfizer Agreement, such as the research licenses, and does not require any specific actions from the Company.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determine the transaction price, the Company evaluated all the payments to be received during the duration of the contract. Milestone payments and additional fees were considered variable consideration, which were not included in the transaction price based on the most likely amount method as of May 31, 2025. The Company re-evaluates the transaction price in each reporting period and as uncertain events are resolved or other changes in circumstances occur. The Company determined that the transaction price at the inception of the Pfizer Agreement consisted of the upfront payment of $60.0 million. Subsequently, upon achievement of research milestones, $10.0 million in variable consideration was added to the transaction price and a cumulative effect was recorded as revenue in the period the transaction price increased. The transaction price is recognized as collaboration revenue using the cost-based input method over the estimated research term of four years, not to extend beyond six years, which represents the estimated period to complete the identified deliverables. Additionally, the Company considered the impact of Pfizer terminating the Pfizer Agreement prior to the completion of the research services during the initial four-year research term and determined that there were significant economic costs to Pfizer for doing so, and as such, did not adjust the contract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Using the cost-based input method, which the Company determined most faithfully depicts the transfer of its performance obligation to Pfizer, the Company recognizes revenue based on actual costs incurred as a percentage of total estimated costs as the Company completes its performance obligation under the contract. Costs consist primarily of internal FTE and third-party contract costs related to the Pfizer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May 31, 2025, the Company recognized collaboration revenue related to the Pfizer Agreement of $4.0 million and $8.0 million, respectively, all of which was included in deferred revenue as of the beginning of the period. For the three and six months ended May 31, 2024, the Company recognized collaboration revenue related to the Pfizer Agreement of $5.2 million and $8.9 million, respectively, of which $4.4 million and $8.1 million, respectively, were included in deferred revenue as of the beginning of the period, and $0.5 million and $0.1 million, respectively, were related to activities satisfied in previous periods. As of May 31, 2025, deferred revenue related to the Pfizer Agreement was $41.5 million, of which $19.9 million was current. As of November 30, 2024, deferred revenue related to the Pfizer Agreement was $44.5 million, of which $20.0 million was current, and included $5.0 million in contract assets representing the unbilled amount related to the research milestone achieved in November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4. Condensed Balance Sheet Components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consisted of the following (in thousands): </w:t>
      </w:r>
    </w:p>
    <w:tbl>
      <w:tblPr>
        <w:tblW w:w="6692" w:type="dxa"/>
        <w:jc w:val="center"/>
        <w:tblInd w:w="0" w:type="dxa"/>
        <w:tblLayout w:type="fixed"/>
        <w:tblCellMar>
          <w:top w:w="28" w:type="dxa"/>
          <w:left w:w="28" w:type="dxa"/>
          <w:bottom w:w="28" w:type="dxa"/>
          <w:right w:w="28" w:type="dxa"/>
        </w:tblCellMar>
      </w:tblPr>
      <w:tblGrid>
        <w:gridCol w:w="1504"/>
        <w:gridCol w:w="1322"/>
        <w:gridCol w:w="1328"/>
        <w:gridCol w:w="211"/>
        <w:gridCol w:w="721"/>
        <w:gridCol w:w="109"/>
        <w:gridCol w:w="109"/>
        <w:gridCol w:w="109"/>
        <w:gridCol w:w="109"/>
        <w:gridCol w:w="227"/>
        <w:gridCol w:w="777"/>
        <w:gridCol w:w="166"/>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2024</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39,031 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52,259 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Accrued Expenses and Other Current Liabilities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current liabilities consisted of the following (in thousands): </w:t>
      </w:r>
    </w:p>
    <w:tbl>
      <w:tblPr>
        <w:tblW w:w="6797" w:type="dxa"/>
        <w:jc w:val="center"/>
        <w:tblInd w:w="0" w:type="dxa"/>
        <w:tblLayout w:type="fixed"/>
        <w:tblCellMar>
          <w:top w:w="28" w:type="dxa"/>
          <w:left w:w="28" w:type="dxa"/>
          <w:bottom w:w="28" w:type="dxa"/>
          <w:right w:w="28" w:type="dxa"/>
        </w:tblCellMar>
      </w:tblPr>
      <w:tblGrid>
        <w:gridCol w:w="1543"/>
        <w:gridCol w:w="1353"/>
        <w:gridCol w:w="1363"/>
        <w:gridCol w:w="211"/>
        <w:gridCol w:w="721"/>
        <w:gridCol w:w="109"/>
        <w:gridCol w:w="109"/>
        <w:gridCol w:w="109"/>
        <w:gridCol w:w="109"/>
        <w:gridCol w:w="227"/>
        <w:gridCol w:w="777"/>
        <w:gridCol w:w="166"/>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2024</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contract research and lab supplies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clinical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37,994 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Level 1—Inputs that reflect unadjusted quoted prices in active markets for identical assets or liabilities that the Company has the ability to access at the measurement date;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Level 2—Inputs other than quoted prices included within Level 1 that are observable for the asset or liability either directly or indirectly, including inputs in markets that are not considered to be active; and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Level 3—Inputs that are unobservable.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investments, which consist of cash equivalents and available-for-sale marketable securities, that are measured at fair value on a recurring basis as of May 31, 2025 and November 30, 2024 (in thousands):</w:t>
      </w:r>
    </w:p>
    <w:tbl>
      <w:tblPr>
        <w:tblW w:w="9928" w:type="dxa"/>
        <w:jc w:val="center"/>
        <w:tblInd w:w="0" w:type="dxa"/>
        <w:tblLayout w:type="fixed"/>
        <w:tblCellMar>
          <w:top w:w="28" w:type="dxa"/>
          <w:left w:w="28" w:type="dxa"/>
          <w:bottom w:w="28" w:type="dxa"/>
          <w:right w:w="28" w:type="dxa"/>
        </w:tblCellMar>
      </w:tblPr>
      <w:tblGrid>
        <w:gridCol w:w="1249"/>
        <w:gridCol w:w="1101"/>
        <w:gridCol w:w="1115"/>
        <w:gridCol w:w="109"/>
        <w:gridCol w:w="109"/>
        <w:gridCol w:w="109"/>
        <w:gridCol w:w="238"/>
        <w:gridCol w:w="238"/>
        <w:gridCol w:w="243"/>
        <w:gridCol w:w="109"/>
        <w:gridCol w:w="109"/>
        <w:gridCol w:w="109"/>
        <w:gridCol w:w="211"/>
        <w:gridCol w:w="826"/>
        <w:gridCol w:w="109"/>
        <w:gridCol w:w="109"/>
        <w:gridCol w:w="109"/>
        <w:gridCol w:w="109"/>
        <w:gridCol w:w="257"/>
        <w:gridCol w:w="495"/>
        <w:gridCol w:w="134"/>
        <w:gridCol w:w="109"/>
        <w:gridCol w:w="109"/>
        <w:gridCol w:w="109"/>
        <w:gridCol w:w="257"/>
        <w:gridCol w:w="495"/>
        <w:gridCol w:w="134"/>
        <w:gridCol w:w="109"/>
        <w:gridCol w:w="109"/>
        <w:gridCol w:w="109"/>
        <w:gridCol w:w="211"/>
        <w:gridCol w:w="82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480,722 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480,702 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79,181 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9936" w:type="dxa"/>
        <w:jc w:val="center"/>
        <w:tblInd w:w="0" w:type="dxa"/>
        <w:tblLayout w:type="fixed"/>
        <w:tblCellMar>
          <w:top w:w="28" w:type="dxa"/>
          <w:left w:w="28" w:type="dxa"/>
          <w:bottom w:w="28" w:type="dxa"/>
          <w:right w:w="28" w:type="dxa"/>
        </w:tblCellMar>
      </w:tblPr>
      <w:tblGrid>
        <w:gridCol w:w="1252"/>
        <w:gridCol w:w="1101"/>
        <w:gridCol w:w="1111"/>
        <w:gridCol w:w="109"/>
        <w:gridCol w:w="109"/>
        <w:gridCol w:w="109"/>
        <w:gridCol w:w="238"/>
        <w:gridCol w:w="238"/>
        <w:gridCol w:w="243"/>
        <w:gridCol w:w="109"/>
        <w:gridCol w:w="109"/>
        <w:gridCol w:w="109"/>
        <w:gridCol w:w="211"/>
        <w:gridCol w:w="826"/>
        <w:gridCol w:w="109"/>
        <w:gridCol w:w="109"/>
        <w:gridCol w:w="109"/>
        <w:gridCol w:w="109"/>
        <w:gridCol w:w="237"/>
        <w:gridCol w:w="525"/>
        <w:gridCol w:w="124"/>
        <w:gridCol w:w="109"/>
        <w:gridCol w:w="109"/>
        <w:gridCol w:w="109"/>
        <w:gridCol w:w="233"/>
        <w:gridCol w:w="541"/>
        <w:gridCol w:w="121"/>
        <w:gridCol w:w="109"/>
        <w:gridCol w:w="109"/>
        <w:gridCol w:w="109"/>
        <w:gridCol w:w="211"/>
        <w:gridCol w:w="826"/>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November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589,966 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90,380 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available-for-sale marketable securities in an unrealized loss position for which an allowance for credit losses has not been recorded as of May 31, 2025 and November 30, 2024, aggregated by investment category and length of time in a continuous unrealized loss position (in thousands): </w:t>
      </w:r>
    </w:p>
    <w:tbl>
      <w:tblPr>
        <w:tblW w:w="10205" w:type="dxa"/>
        <w:jc w:val="left"/>
        <w:tblInd w:w="0" w:type="dxa"/>
        <w:tblLayout w:type="fixed"/>
        <w:tblCellMar>
          <w:top w:w="28" w:type="dxa"/>
          <w:left w:w="28" w:type="dxa"/>
          <w:bottom w:w="28" w:type="dxa"/>
          <w:right w:w="28" w:type="dxa"/>
        </w:tblCellMar>
      </w:tblPr>
      <w:tblGrid>
        <w:gridCol w:w="739"/>
        <w:gridCol w:w="502"/>
        <w:gridCol w:w="369"/>
        <w:gridCol w:w="109"/>
        <w:gridCol w:w="109"/>
        <w:gridCol w:w="109"/>
        <w:gridCol w:w="211"/>
        <w:gridCol w:w="826"/>
        <w:gridCol w:w="109"/>
        <w:gridCol w:w="109"/>
        <w:gridCol w:w="109"/>
        <w:gridCol w:w="109"/>
        <w:gridCol w:w="338"/>
        <w:gridCol w:w="604"/>
        <w:gridCol w:w="176"/>
        <w:gridCol w:w="109"/>
        <w:gridCol w:w="109"/>
        <w:gridCol w:w="109"/>
        <w:gridCol w:w="211"/>
        <w:gridCol w:w="616"/>
        <w:gridCol w:w="109"/>
        <w:gridCol w:w="109"/>
        <w:gridCol w:w="109"/>
        <w:gridCol w:w="109"/>
        <w:gridCol w:w="324"/>
        <w:gridCol w:w="625"/>
        <w:gridCol w:w="169"/>
        <w:gridCol w:w="109"/>
        <w:gridCol w:w="109"/>
        <w:gridCol w:w="109"/>
        <w:gridCol w:w="211"/>
        <w:gridCol w:w="826"/>
        <w:gridCol w:w="109"/>
        <w:gridCol w:w="109"/>
        <w:gridCol w:w="109"/>
        <w:gridCol w:w="109"/>
        <w:gridCol w:w="331"/>
        <w:gridCol w:w="590"/>
        <w:gridCol w:w="248"/>
      </w:tblGrid>
      <w:tr>
        <w:trPr/>
        <w:tc>
          <w:tcPr>
            <w:tcW w:w="73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r>
      <w:tr>
        <w:trPr/>
        <w:tc>
          <w:tcPr>
            <w:tcW w:w="1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85"/>
        <w:gridCol w:w="460"/>
        <w:gridCol w:w="464"/>
        <w:gridCol w:w="109"/>
        <w:gridCol w:w="109"/>
        <w:gridCol w:w="109"/>
        <w:gridCol w:w="211"/>
        <w:gridCol w:w="826"/>
        <w:gridCol w:w="109"/>
        <w:gridCol w:w="109"/>
        <w:gridCol w:w="109"/>
        <w:gridCol w:w="109"/>
        <w:gridCol w:w="293"/>
        <w:gridCol w:w="674"/>
        <w:gridCol w:w="152"/>
        <w:gridCol w:w="109"/>
        <w:gridCol w:w="109"/>
        <w:gridCol w:w="109"/>
        <w:gridCol w:w="211"/>
        <w:gridCol w:w="616"/>
        <w:gridCol w:w="109"/>
        <w:gridCol w:w="109"/>
        <w:gridCol w:w="109"/>
        <w:gridCol w:w="109"/>
        <w:gridCol w:w="324"/>
        <w:gridCol w:w="625"/>
        <w:gridCol w:w="169"/>
        <w:gridCol w:w="109"/>
        <w:gridCol w:w="109"/>
        <w:gridCol w:w="109"/>
        <w:gridCol w:w="211"/>
        <w:gridCol w:w="826"/>
        <w:gridCol w:w="109"/>
        <w:gridCol w:w="109"/>
        <w:gridCol w:w="109"/>
        <w:gridCol w:w="109"/>
        <w:gridCol w:w="288"/>
        <w:gridCol w:w="664"/>
        <w:gridCol w:w="217"/>
      </w:tblGrid>
      <w:tr>
        <w:trPr/>
        <w:tc>
          <w:tcPr>
            <w:tcW w:w="68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November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r>
      <w:tr>
        <w:trPr/>
        <w:tc>
          <w:tcPr>
            <w:tcW w:w="1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accrued interest receivable related to the Company’s marketable securities was $1.7 million and $1.5 million as of May 31, 2025 and November 30, 2024, respectively, and was included in prepaid expenses and other current assets on the condensed balance sheet.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money market funds and U.S. treasury securities, which are valued based on quoted market prices in active markets with no valuation adjustment, as Level 1 assets within the fair value hierarchy.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marketable securities in corporate debt securities and U.S. government agency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and six months ended May 31, 2025 and 2024.</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May 31, 2025 and November 30, 2024, the unrealized losses for available-for-sale securities were non-credit related, and the Company does not intend to sell the securities that were in an unrealized loss position, nor will it be required to sell those securities before recovery of their amortized cost basis, which may be maturity. As of May 31, 2025, and November 30, 2024, no allowance for credit losses for the Company’s marketable securities was recorded. During the three and six months ended May 31, 2025 and 2024, the Company did not recognize any impairment losses related to marketable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May 31, 2025, the Company was not a party to any material legal proceedings.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Indemnifications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financial statements.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Operating Leases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leases office and laboratory facilities totaling approximately 57,902 square feet within the same building in San Francisco, California under several lease agreements. The terms of these lease agreements expired in April 2025. The Company had an option to renew these leases for an additional two years, and the option expired. In September 2024, an amendment was signed to extend the lease term for these leases through October 2025. The minimum rent payable by the Company pursuant to the lease amendment is approximately $0.4 million per month. The lease amendment did not have a material impact on the Company's condensed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2021, the Company entered into a lease agreement for the lease of approximately 19,320 square feet of office space in a different building in San Francisco, California (the Mission Bay Lease). The lease commenced in December 2021 and was scheduled to expire in June 2024. In March 2024, the Company entered into a second amendment (the Second Amendment) to the Mission Bay Lease, pursuant to which the lease term was extended through April 2025. The minimum rent payable by the Company under the Second Amendment is approximately $0.1 million per month. In September 2024, the Mission Bay Lease was further amended (the Third Amendment) to extend the lease term through October 2025, and the minimum rent payable by the Company under the Third Amendment is approximately $0.1 million per month. The lease amendments did not have a material impact on the Company's condensed financial statements.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2022, the Company entered into a lease agreement for the lease of approximately 46,434 square feet of office space in The Woodlands, Texas. In August 2023, the lease agreement was amended to increase the square footage of the leased premise to 50,094 square feet. The amendment had no impact on the accounting for the lease. The Company has an option to renew for two additional terms of five years each, and the renewal terms have not been included in the lease term used to calculate the ROU asset and lease liability as it is not reasonably certain that the Company will exercise the option. The lease commenced in September 2023 when the underlying assets became available for use and will expire in March 2035.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 entered into a lease agreement (the Brisbane Lease) with Janssen Research &amp; Development, LLC (Janssen) and HCP LS Brisbane, LLC to sublease from Janssen approximately 159,959 square feet of office space located at 1600 Sierra Point Parkway, Brisbane, California for a research and development laboratory and office space. The lease commenced in March 2025 when the underlying assets became available for use and the Company recorded a $26.7 million ROU asset and lease liability on the condensed balance sheet. A security deposit of $2.4 million was also recorded in other assets, non-current on the condensed balance sheet. In addition, the sublandlord provided for a tenant improvement allowance of approximately $8.0 million, which is expected to be fully utilized.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31, 2025, the Company entered into an amendment to the Brisbane Lease to include an additional 35,929 square feet of office space located at 1400 Sierra Point Parkway, Brisbane, California. As of May 31, 2025, the Company has not recognized an ROU asset or lease liability on the condensed balance sheet for the amended space as it has not been made available for use and the lease for the additional office space has not yet commenced. The Brisbane Lease, as amended, will expire on September 30, 2031, unless terminated earlier. Future minimum lease payments under the Brisbane Lease, as amended, total $52.3 million, which does not include the payment of additional rent to cover the Company’s share of annual operating and tax expenses and utilities costs for the building.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pay base rent plus its proportionate share of operating expenses, as defined in the applicable lease agreement on all of its leases. Variable lease payments related to operating expenses, including utilities, maintenance costs and real estate taxes, were $1.3 million and $3.2 million for the three and six months ended May 31, 2025, respectively, and $1.8 million and $3.3 million for the three and six months ended May 31, 2024, respectively.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expenses, excluding variable lease payments, were $3.7 million and $5.9 million for the three and six months ended May 31, 2025, respectively, and $2.2 million and $4.5 million for the three and six months ended May 31, 2024, respectively. Short-term lease expense was not material for the periods presented.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leases were as follows (in thousands):</w:t>
      </w:r>
    </w:p>
    <w:tbl>
      <w:tblPr>
        <w:tblW w:w="8108" w:type="dxa"/>
        <w:jc w:val="center"/>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May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leases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Common Stock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Restated Certificate of Incorporation authorizes the Company to issue up to 500,000,000 shares of common stock, $0.001 par value per share, as of May 31, 2025 and November 30, 2024. Holders of common stock are entitled to dividends when and if declared by the Company’s board of directors, subject to the prior rights of the holders of shares of preferred stock. The holder of each share of common stock is entitled to one vote. As of May 31, 2025, no dividends have been declared.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2022, the Company issued the 2022 Pre-Funded Warrants to purchase an aggregate of 6,814,920 shares of the Company’s common stock at a price of $13.939 per pre-funded warrant. As of May 31, 2025, a total of 6,097,560 of the 2022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the Company issued the 2024 Pre-Funded Warrants to purchase an aggregate of 1,500,100 shares of the Company’s common stock at a price of $14.999 per pre-funded warrant. As of May 31, 2025, a total of 1,480,349 of the 2024 Pre-Funded Warrants remained available for exercise.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pre-funded warrants were immediately exercisable at issuance,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pre-funded warrants were classified as a component of permanent equity in the Company’s condensed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basic and diluted, attributable to common stockholders because the shares may be issued for little or no consideration, are fully vested and are exercisable after the original issuance date of the pre-funded warrants.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Common stock reserved for future issuance, on an as-if converted basis consists of the following:</w:t>
      </w:r>
    </w:p>
    <w:tbl>
      <w:tblPr>
        <w:tblW w:w="7977" w:type="dxa"/>
        <w:jc w:val="left"/>
        <w:tblInd w:w="0" w:type="dxa"/>
        <w:tblLayout w:type="fixed"/>
        <w:tblCellMar>
          <w:top w:w="28" w:type="dxa"/>
          <w:left w:w="28" w:type="dxa"/>
          <w:bottom w:w="28" w:type="dxa"/>
          <w:right w:w="28" w:type="dxa"/>
        </w:tblCellMar>
      </w:tblPr>
      <w:tblGrid>
        <w:gridCol w:w="1972"/>
        <w:gridCol w:w="1734"/>
        <w:gridCol w:w="1738"/>
        <w:gridCol w:w="344"/>
        <w:gridCol w:w="344"/>
        <w:gridCol w:w="348"/>
        <w:gridCol w:w="109"/>
        <w:gridCol w:w="109"/>
        <w:gridCol w:w="109"/>
        <w:gridCol w:w="343"/>
        <w:gridCol w:w="343"/>
        <w:gridCol w:w="484"/>
      </w:tblGrid>
      <w:tr>
        <w:trPr/>
        <w:tc>
          <w:tcPr>
            <w:tcW w:w="197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br/>
              <w:t>2024</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 issued and outstanding</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11,689,898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9,839,454</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issued and outstanding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1,956,015</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equity grants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2,877,248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3,192,811</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employee stock purchase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2,415,965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1,740,988</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Pre-funded warrants issued and outstanding</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7,577,909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7,577,909</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stock reserved for future issuance</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27,537,766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24,307,177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2020 Equity Incentive Plan (the 2020 Plan) serves as the successor to the Company’s 2012 Equity Incentive Plan (together with the 2020 Plan, the Stock Plans) and provides for the granting of stock options, stock appreciation rights, restricted stock awards, restricted stock units (RSUs), performance awards and stock bonus awards to employees, directors, consultants, independent contractors and advisors of the Company. As of May 31, 2025, the Company had 905,798 shares of common stock available for grant under the Stock Plans.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Equity Inducement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Board adopted and approved the Company’s 2024 Equity Inducement Plan (the 2024 Inducement Plan), which became effective on October 23, 2024. In accordance with Rule 5635(c)(4) of the Nasdaq listing rules, equity awards under the 2024 Inducement Plan may only be made to an employee if he or she is granted such awards in connection with the commencement of his or her employment with the Company and such grant is a material inducement to his or her entering into employment with the Company.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reserved 3,000,000 shares of common stock for issuance pursuant to non-qualified stock options and RSUs under the 2024 Inducement Plan. As of May 31, 2025, the Company had 1,971,450 shares of common stock available for grant under the 2024 Inducement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Option activity under the Stock Plans and the 2024 Inducement Plan is set forth below: </w:t>
      </w:r>
    </w:p>
    <w:tbl>
      <w:tblPr>
        <w:tblW w:w="5268" w:type="dxa"/>
        <w:jc w:val="center"/>
        <w:tblInd w:w="0" w:type="dxa"/>
        <w:tblLayout w:type="fixed"/>
        <w:tblCellMar>
          <w:top w:w="28" w:type="dxa"/>
          <w:left w:w="28" w:type="dxa"/>
          <w:bottom w:w="28" w:type="dxa"/>
          <w:right w:w="28" w:type="dxa"/>
        </w:tblCellMar>
      </w:tblPr>
      <w:tblGrid>
        <w:gridCol w:w="1059"/>
        <w:gridCol w:w="931"/>
        <w:gridCol w:w="934"/>
        <w:gridCol w:w="344"/>
        <w:gridCol w:w="344"/>
        <w:gridCol w:w="348"/>
        <w:gridCol w:w="109"/>
        <w:gridCol w:w="109"/>
        <w:gridCol w:w="109"/>
        <w:gridCol w:w="211"/>
        <w:gridCol w:w="616"/>
        <w:gridCol w:w="154"/>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November 30, 2024</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May 31, 2025</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11,689,898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RSU activity under the Stock Plans and 2024 Inducement Plan is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tbl>
      <w:tblPr>
        <w:tblW w:w="7614" w:type="dxa"/>
        <w:jc w:val="center"/>
        <w:tblInd w:w="0" w:type="dxa"/>
        <w:tblLayout w:type="fixed"/>
        <w:tblCellMar>
          <w:top w:w="28" w:type="dxa"/>
          <w:left w:w="28" w:type="dxa"/>
          <w:bottom w:w="28" w:type="dxa"/>
          <w:right w:w="28" w:type="dxa"/>
        </w:tblCellMar>
      </w:tblPr>
      <w:tblGrid>
        <w:gridCol w:w="1059"/>
        <w:gridCol w:w="931"/>
        <w:gridCol w:w="934"/>
        <w:gridCol w:w="439"/>
        <w:gridCol w:w="439"/>
        <w:gridCol w:w="441"/>
        <w:gridCol w:w="109"/>
        <w:gridCol w:w="109"/>
        <w:gridCol w:w="109"/>
        <w:gridCol w:w="653"/>
        <w:gridCol w:w="1912"/>
        <w:gridCol w:w="479"/>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November 30, 2024</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(440,555)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May 31, 2025</w:t>
            </w:r>
          </w:p>
        </w:tc>
        <w:tc>
          <w:tcPr>
            <w:tcW w:w="13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2,976,746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Company’s 2020 Employee Stock Purchase Plan (the ESPP), eligible employees are entitled to purchase shares of common stock with accumulated payroll deductions. During the six months ended May 31, 2025, the Company issued 83,730 shares of common stock pursuant to the ESPP at a weighted-average price of $14.95 per share.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related to the Stock Plans, the 2024 Inducement Plan and the ESPP that is included in the Company’s condensed statements of operations is as follows (in thousands): </w:t>
      </w:r>
    </w:p>
    <w:tbl>
      <w:tblPr>
        <w:tblW w:w="7829" w:type="dxa"/>
        <w:jc w:val="center"/>
        <w:tblInd w:w="0" w:type="dxa"/>
        <w:tblLayout w:type="fixed"/>
        <w:tblCellMar>
          <w:top w:w="28" w:type="dxa"/>
          <w:left w:w="28" w:type="dxa"/>
          <w:bottom w:w="28" w:type="dxa"/>
          <w:right w:w="28" w:type="dxa"/>
        </w:tblCellMar>
      </w:tblPr>
      <w:tblGrid>
        <w:gridCol w:w="995"/>
        <w:gridCol w:w="872"/>
        <w:gridCol w:w="877"/>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May 31, 2025, the total compensation cost related to stock-based awards not yet recognized was $78.1 million, which is expected to be amortized on a straight-line basis over the weighted-average remaining vesting period of approximately 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Defined Contribution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$0.5 million and $1.0 million during the three and six months ended May 31, 2025, respectively, and $0.4 million and $0.8 million during the three and six months ended May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May 31, 2025, the Company recorded an income tax provision of $760,000. For the three and six months ended May 31, 2024, the Company recorded an income tax provision of $90,000 and $180,000, respectively.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May 31, 2025 and 2024 due to the uncertainty of realizing future tax benefits from its net operating loss (NOL) carryforwards and other deferred tax assets.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United States and in various states. In January 2019, the California Franchise Tax Board (FTB) initiated an examination of the Company’s California tax return for tax years ending in 2015, 2016, 2017 and 2018. During the year ended November 30, 2021, the FTB issued proposed audit assessments related to revenue sourcing and R&amp;D credits. The Company did not agree with the FTB’s assessments and challenged the assessments. In May 2025, the Company received new information from the FTB and remeasured the unrecognized tax benefit for California revenue sourcing, resulting in discrete tax expense. The Company intends to enter into Settlement procedures with the FTB in the next twelve months.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the Company’s basic and diluted net loss per share attributable to common stockholders, which excludes shares which are legally outstanding but subject to repurchase by the Company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1719"/>
        <w:gridCol w:w="1514"/>
        <w:gridCol w:w="1535"/>
        <w:gridCol w:w="211"/>
        <w:gridCol w:w="782"/>
        <w:gridCol w:w="109"/>
        <w:gridCol w:w="109"/>
        <w:gridCol w:w="109"/>
        <w:gridCol w:w="109"/>
        <w:gridCol w:w="211"/>
        <w:gridCol w:w="782"/>
        <w:gridCol w:w="109"/>
        <w:gridCol w:w="109"/>
        <w:gridCol w:w="109"/>
        <w:gridCol w:w="109"/>
        <w:gridCol w:w="211"/>
        <w:gridCol w:w="782"/>
        <w:gridCol w:w="109"/>
        <w:gridCol w:w="109"/>
        <w:gridCol w:w="109"/>
        <w:gridCol w:w="109"/>
        <w:gridCol w:w="211"/>
        <w:gridCol w:w="782"/>
        <w:gridCol w:w="157"/>
      </w:tblGrid>
      <w:tr>
        <w:trPr/>
        <w:tc>
          <w:tcPr>
            <w:tcW w:w="171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Weighted-average number of shares outstanding, basic and diluted</w:t>
            </w:r>
            <w:r>
              <w:rPr>
                <w:rFonts w:ascii="Times New Roman;serif" w:hAnsi="Times New Roman;serif"/>
                <w:b w:val="false"/>
                <w:color w:val="000000"/>
                <w:sz w:val="13"/>
              </w:rPr>
              <w:t>(1)</w:t>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83,882,477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62,377,551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83,723,403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58,660,900</w:t>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shares underlying the pre-funded warrants to purchase shares of the Company’s common stock have been included in the calculation of the weighted-average number of shares outstanding, basic and diluted, for the three and six months ended May 31, 2025 and 2024.</w:t>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potentially dilutive securities were excluded from the computation of the diluted net loss per share of common stock for the periods presented because their effect would have been anti-dilutive:</w:t>
      </w:r>
    </w:p>
    <w:tbl>
      <w:tblPr>
        <w:tblW w:w="8188" w:type="dxa"/>
        <w:jc w:val="center"/>
        <w:tblInd w:w="0" w:type="dxa"/>
        <w:tblLayout w:type="fixed"/>
        <w:tblCellMar>
          <w:top w:w="28" w:type="dxa"/>
          <w:left w:w="28" w:type="dxa"/>
          <w:bottom w:w="28" w:type="dxa"/>
          <w:right w:w="28" w:type="dxa"/>
        </w:tblCellMar>
      </w:tblPr>
      <w:tblGrid>
        <w:gridCol w:w="2081"/>
        <w:gridCol w:w="1829"/>
        <w:gridCol w:w="1834"/>
        <w:gridCol w:w="344"/>
        <w:gridCol w:w="344"/>
        <w:gridCol w:w="348"/>
        <w:gridCol w:w="109"/>
        <w:gridCol w:w="109"/>
        <w:gridCol w:w="109"/>
        <w:gridCol w:w="314"/>
        <w:gridCol w:w="314"/>
        <w:gridCol w:w="453"/>
      </w:tblGrid>
      <w:tr>
        <w:trPr/>
        <w:tc>
          <w:tcPr>
            <w:tcW w:w="208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 issued and outstanding</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11,689,898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9,972,005</w:t>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issued and outstanding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2,976,746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2,110,719</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expected to be purchased under employee stock purchase plan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110,065</w:t>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14,748,241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12,192,789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Related Party Transactions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Financial Officer is a trustee for the multiple employer welfare association that facilitates the acquisition and administration of the Company’s healthcare plans. Expenses related to the healthcare plan premiums were $1.5 million and $2.8 million for the three and six months ended May 31, 2025, respectively, and $1.0 million and $2.1 million for the three and six months ended May 31, 2024, respectively. As of May 31, 2025 and November 30, 2024, the amount recorded in accounts payable and accrued expenses and other current liabilities in connection with this healthcare plan provider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120" w:after="283"/>
        <w:ind w:left="0" w:right="0" w:firstLine="720"/>
        <w:jc w:val="left"/>
        <w:rPr/>
      </w:pPr>
      <w:r>
        <w:rPr>
          <w:rFonts w:ascii="Times New Roman;serif" w:hAnsi="Times New Roman;serif"/>
          <w:b w:val="false"/>
          <w:i/>
          <w:color w:val="000000"/>
          <w:sz w:val="20"/>
        </w:rPr>
        <w:t>The following discussion and analysis of our financial condition and results of operations should be read in conjunction with (1) the unaudited condensed financial statements and the related notes included in Part I, Item 1 of this Quarterly Report on Form 10</w:t>
        <w:noBreakHyphen/>
        <w:t>Q and (2) the audited financial statements and related notes and management’s discussion and analysis of financial condition and results of operations for the fiscal year ended November 30, 2024, included in our Annual Report on Form 10</w:t>
        <w:noBreakHyphen/>
        <w:t>K filed on January 28, 2025.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w:t>
        <w:noBreakHyphen/>
        <w:t>Q.</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clinical stage biopharmaceutical company focused on the discovery, development and commercialization of medicines based on targeted protein degradation, the next frontier in innovative drug design aimed at improving treatment options for patients with cancer and autoimmune diseases. Powered by our prolific DEL-AI discovery engine and leading ligase expertise, capable of tackling any protein class, we have built a significant advantage in translating the science of degradation into clinical advancements. We aim to establish degrader-based treatments at the forefront of patient care, writing medicine’s next chapter with a new script to outmatch disease. We leverage our proprietary DEL-AI platform, employing advanced automated chemistry synthesis and direct-to-biology technologies, to rapidly generate degraders and degrader antibody conjugates (DACs) as first-in-class or best-in-class drug candidates. Harnessing validated binding data collected from DEL screens of hundreds of diverse targets, our DEL-AI platform can prospectively identify binders to genetically validated, high value targets that have yet to be drugged.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multiple programs under collaboration agreements with Gilead Sciences, Inc. (Gilead), Sanofi S.A. (Sanofi) and Seagen Inc. (now a part of Pfizer Inc. (Pfizer)), within which we retain certain options for co-development, co-commercialization and profit sharing in the United States for multiple drug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Targeted Protein Degradation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portfolio of targeted protein degraders of BTK, a B</w:t>
        <w:noBreakHyphen/>
        <w:t>cell signaling protein, comprises bexobrutideg (NX</w:t>
        <w:noBreakHyphen/>
        <w:t>5948), an investigational, orally bioavailable degrader of BTK for the treatment of relapsed or refractory B-cell malignancies and potentially autoimmune diseases, and zelebrudomide (NX</w:t>
        <w:noBreakHyphen/>
        <w:t>2127), an investigational orally bioavailable degrader of BTK that also degrades cereblon neosubstrates IKZF1 (Ikaros) and IKZF3 (Aiolos) for the treatment of relapsed or refractory B</w:t>
        <w:noBreakHyphen/>
        <w:t>cell malignancies.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Bexobrutideg (NX-5948): We are currently conducting a Phase 1a/1b dose-escalation and cohort expansion study in patients with relapsed or refractory B-cell malignancies and we expect to initiate a Phase 2 clinical trial of bexobrutideg in 2025. We also recently initiated a Phase 1 healthy volunteer study to assess food effects and drug-drug interactions in anticipation of the planned initiation of pivotal development in 2025. In January 2024, the U.S. Food and Drug Administration (FDA) granted Fast Track designation for bexobrutideg for the treatment of adult patients with relapsed or refractory chronic lymphocytic leukemia (CLL) or small lymphocytic lymphoma (SLL) after at least two lines of therapy, including a BTK inhibitor (BTKi) and a B-cell lymphoma 2 (BCL2) inhibitor. In November 2024, the European Medicines Agency (EMA) granted PRIME designation for bexobrutideg in CLL or SLL after at least a BTKi and a BCL-2 inhibitor. In December 2024, the FDA granted Fast Track designation for bexobrutideg for the treatment of adult patients with Waldenström macroglobulinemia (WM) after at least two lines of therapy, including a BTKi. In March 2025, the FDA granted Orphan Drug Designation to bexobrutideg for the treatment of adult patients with WM, and in June 2025, the EMA granted Orphan Drug Designation to bexobrutideg for the treatment of adult patients with lymphoplasmacytic lymphoma, of which WM is the most common subtype.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Zelebrudomide (NX</w:t>
        <w:noBreakHyphen/>
        <w:t>2127): We are currently conducting a Phase 1a/1b dose-escalation and cohort expansion study of zelebrudomide in patients with relapsed or refractory B-cell malignancies. We have initiated Phase 1b expansion cohorts for patients with relapsed CLL, diffuse large B-cell lymphoma and mantle cell lymphoma. In March 2024, the FDA lifted the partial clinical hold on the U.S. Phase 1a/1b study evaluating zelebrudomide in adults with relapsed/refractory B-cell malignancies. In August 2024, we reinitiated enrollment with a new chirally controlled drug product, which is being evaluated in a dose escalation study within the Phase 1a/b trial.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Degradation Inhibitor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degradation inhibitor program includes NX-1607, an orally bioavailable inhibitor of CBL-B, an E3 ligase that regulates the activation of multiple immune cell types including T cells and NK cells. NX-1607 is targeted for immuno-oncology indications.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currently conducting a Phase 1a/1b dose-escalation and cohort expansion study of NX-1607 in patients with a range of oncology indications. This study also includes a cohort within the Phase 1a dose escalation study testing NX-1607 in combination with paclitaxel, a taxane chemotherapy commonly used across a range of relapsed and refractory solid tumor indications. In 2022, NX-1607 was awarded an Innovation Passport from the UK Medicines and Healthcare products Regulatory Agency to accelerate time to market and facilitate patient access to novel drugs to treat serious and life-threatening diseases.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Drug Discovery Pipeline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our clinical stage drug candidates, we are extending our protein degrader and ligase inhibitor portfolio, both on our own and with partners, by developing new targeted protein degraders and ligase inhibitors for a number of targets for which we believe these modalities can be clinically advantageous over existing therapies. These existing and future programs may have the potential to address diseases with significant unmet need, including cancer, autoimmunity, inflammation, and other challenging diseases.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several revenue generating collaborations with large biopharmaceutical companies, including with Gilead, Sanofi and Seagen (now a part of Pfizer), to leverage our DEL-AI platform for drug discovery. These collaborations allow us to further advance our future pipeline with multiple currently identified targets included in these collaborations. In aggregate, we have received $482.0 million in non-dilutive financing from our collaborators to date and as of May 31, 2025, we are eligible to receive up to $6.1 billion in potential future fees and milestone payments, as well as royalties on future product sales. We retain certain options for co-development, co-commercialization and profit sharing in the United States for multiple drug candidates, pursuant to these collaborations.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Collaborations and License Agreements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Gilead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DEL-AI platform to identify novel agents that utilize E3 ligases to induce degradation of five specified drug targets. In August 2019 and September 2022, we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we received in the second quarter of fiscal year 2024.</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provided that we may only exercise such option once per licensed product and Gilead retains the right to veto our option selection for any one drug candidate of its choice. The collaboration excludes our current internal protein degradation programs for which we retain all rights, and also excludes our future internal programs, provided that we have distinguished future programs as excluded from the scope of the collaboration. In March 2023, Gilead exercised its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net ex-U.S. sales and reduced milestone payments.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Gilead Agreement, Gilead paid us an upfront payment of $45.0 million, plus $3.0 million in additional fees. In addition, from the signing of the Gilead Agreement to May 31, 2025, we have received payments of $47.0 million for research milestones and additional payments, $20.0 million for a license option exercise payment, $15.0 million in research term extension fees and $5.0 million for a clinical milestone payment. As of May 31, 2025, we are eligible to receive up to approximately $1.8 billion in total additional payments based on certain additional fees, payments and the successful completion of certain preclinical, clinical, development and sales milestones. We also are eligible to receive mid-single digit to low tens percentage tiered royalties on annual net sales from any commercial products directed to the optioned collaboration targets, subject to certain reductions and excluding sales in the United States of any products for which we exercise our option to co-develop and co-promote, for which the parties share profits and losses evenly.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collaboration revenue from the Gilead Agreement of $1.6 million and $3.3 million during the three and six months ended May 31, 2025, respectively, and $4.9 million and $9.5 million during the three and six months ended May 31, 2024, respectively. As of May 31, 2025 and November 30, 2024, there was $7.6 million and $11.0 million, respectively, of deferred revenue related to payments received by us under the Gilead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Sanofi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DEL-AI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2021, we and Sanofi entered into the First Amendment to the Sanofi Agreement to modify the research term on all targets. In December 2021, we and Sanofi entered into the Second Amendment to the Sanofi Agreement to extend the substitution deadline on certain targets. In July 2022, we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we and Sanofi entered into the Fourth Amendment and Fifth Amendment, respectively, to the Sanofi Agreement to modify the research plan for certain targets, which had no impact on revenue recognition. In March 2024, we and Sanofi entered into the Sixth Amendment to the Sanofi Agreement to extend the research term for the collaboration target STAT6 (signal transducer and activator of transcription 6), a key drug target in type 2 inflammation, by two years, which is expected to increase overall forecasted costs and have an impact on revenue recognition.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distinguished future programs as excluded from the scope of the collaboration.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2025, Sanofi exercised its right to exclusively license one target (the First Sanofi License Extension), the first development candidate resulting from the Sanofi Agreement. This right did not represent a material right at contract inception, since it was not offered for free or at a discount. Pursuant to the Sanofi Agreement, we received a license extension fee payment of $15.0 million in March 2025 for the First Sanofi License Extension. In May 2025, Sanofi exercised its right to exclusively license a second target (the Second Sanofi License Extension, and together with the First Sanofi License Extension, the Sanofi License Extensions), the second development candidate resulting from the Sanofi Agreement. This right also did not represent a material right at contract inception, since it was not offered for free or at a discount. Pursuant to the Sanofi Agreement, we received a license extension fee payment of $15.0 million in June 2025 for the Second Sanofi License Extension. The license to the functional intellectual property and all goods and services related to both the First Sanofi License Extension and the Second Sanofi License Extension were transferred during the second quarter of fiscal year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the parties will split U.S. profits and losses evenly, and we will be eligible to receive royalties on ex-U.S. net sales and reduced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May 31, 2025, we have received payments of $16.0 million for research milestones and $15.0 million for a license extension fee. As of May 31, 2025, we are eligible to receive up to approximately $949.0 million in total additional payments based on successful completion of certain research development, regulatory and sales milestones. We are also eligible to receive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the parties share profits and losses evenly.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collaboration revenue from the Sanofi Agreement of $3.4 million and $16.1 million during the three and six months ended May 31, 2025, respectively, and $2.0 million and $10.3 million during the three and six months ended May 31, 2024, respectively. We also recognized $30.0 million in license revenue pursuant to the Sanofi License Extensions during the three and six months ended May 31, 2025. As of May 31, 2025 and November 30, 2024, there was $19.0 million and zero, respectively, of accounts receivable related to billed amounts receivable by us under the Sanofi Agreement. As of May 31, 2025 and November 30, 2024, there was zero and $9.1 million, respectively, of deferred revenue related to payments received by us under the Sanofi Agreement.</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Pfizer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2023, we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DACs, a new class of medicines for use in cancer treatment, and advancing these DAC drug candidates through preclinical and clinical development and commercialization.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Pfizer Agreement, Pfizer has the option to obtain exclusive licenses to develop and commercialize certain degraders, while we retain an option for U.S. profit sharing and co-promotion on two products arising from the collaboration. The collaboration excludes our current internal protein degradation programs for which we retain all rights, and also excludes our future internal programs, provided that we have distinguished future programs as excluded from the scope of the collaboration.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targets nominated by Pfizer under the collaboration, we shall use commercially reasonable efforts to identify, synthesize, characterize and deliver targeted protein degraders that selectively bind to and degrade such targets. Development of licensed degraders, with the exception of licensed products for which we exercise our profit-share options, will be at Pfizer’s sole cost and expense. For the profit-share products, the parties will share net profits and net losses and global development costs, and we will be eligible to receive royalty and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Pfizer Agreement, we received an upfront payment of $60.0 million. In addition, from the signing of the Pfizer Agreement to May 31, 2025, we have received a payment of $10.0 million for research milestones. We are eligible to receive up to approximately $3.4 billion in contingent payments based on specified research, development, regulatory and commercial milestones across multiple programs. We are also eligible for mid-single to low double digit percentage tiered royalties on future sales.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collaboration revenue from the Pfizer Agreement of $4.0 million and $8.0 million during the three and six months ended May 31, 2025, respectively, and $5.2 million and $8.9 million during the three and six months ended May 31, 2024, respectively. As of May 31, 2025 and November 30, 2024, there was $41.5 million and $44.5 million, respectively, of deferred revenue related to payments received by us under the Pfizer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Celgene Corporation, Gilead, Sanofi and Pfizer and the issuance and sale of common stock, redeemable convertible preferred stock and pre-funded warrants. We do not expect to generate product revenue unless and until we successfully develop and obtain approval for the commercialization of a drug candidate, and we cannot assure you that we will ever generate significant revenue or profits.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inception, we have generally incurred significant losses and negative cash flows from operations. During the six months ended May 31, 2025 and 2024, we incurred net losses of $99.8 million and $86.1 million, respectively. As of May 31, 2025, we had an accumulated deficit of $838.6 million. These losses have resulted primarily from costs incurred in connection with research and development activities and general and administrative costs associated with our operations.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DEL-AI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losses and cash flows may fluctuate significantly from period to period, depending on, among other things, variations in the level of expense related to the ongoing development of our drug candidates, our DEL-AI platform or future development programs; the delay, addition or termination of clinical trials; and the execution of any additional collaboration, licensing or similar arrangements, and the timing of payments we may make or receive under such arrangements.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May 31, 2025, we had $485.8 million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Impact of Current Business, Political and Macroeconomic Conditions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Uncertainty in the business, political and macroeconomic environments present significant risks to our business. We are subject to continuing risks and uncertainties, including increasing financial market volatility and uncertainty, inflation, interest rate fluctuations, changing tariff policies and trade restrictions, uncertainty with respect to the federal budget and debt ceiling and potential government shutdowns related thereto, instability in the global banking system, cybersecurity events, the impact of war or military conflict, including regional conflicts around the world, and public health pandemics. We closely monitor the impact of these factors on all aspects of our business, including the impacts on our clinical trial patients, employees, partner, suppliers, and vendors.</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The ultimate impact of global and domestic economic conditions on our business remains highly uncertain and will depend on future developments and factors that continue to evolve. Most of these developments and factors are outside of our control and could exist for an extended period of time. As a result, we are subject to continuing risks and uncertainties and continue to closely monitor the impact of the current conditions on our business. For more information regarding these risks and uncertainties, see the </w:t>
      </w:r>
      <w:r>
        <w:rPr>
          <w:rFonts w:ascii="Times New Roman;serif" w:hAnsi="Times New Roman;serif"/>
          <w:b w:val="false"/>
          <w:color w:val="000000"/>
          <w:sz w:val="20"/>
          <w:shd w:fill="FFFFFF" w:val="clear"/>
        </w:rPr>
        <w:t>section titled “Risk Factors”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Collaboration Revenue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 products approved for commercial sale and to date have not generated any revenue from the sale of products and do not expect to generate any revenue from the sale of products in the near future.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License Revenue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license revenue consists of payments from the Sanofi License Extensions.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costs include: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payroll and personnel expenses, including benefits, stock-based compensation and travel expenses, for our research and development functions;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costs associated with our research and development platform used across programs, process development, manufacturing and preclinical research and development for earlier stage programs and new technologies;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depreciation of research and development equipment, allocated overhead and facilities-related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External expenses for clinical development programs and other research and development expenses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fees paid to third parties such as consultants, contractors and contract research organizations to conduct our clinical trials, discovery programs and preclinical studies;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costs to acquire, develop and manufacture supplies for clinical trials and preclinical studies, including fees paid to third parties such as contract manufacturing organizations;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expenses related to laboratory supplies and services.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allocate our internal costs by product candidate. With respect to internal costs, several of our departments support multiple product candidate research and development programs, and therefore the costs cannot be allocated to a particular product candidate or development program. Our research and development expenses are summarized as follows (in thousands):</w:t>
      </w:r>
    </w:p>
    <w:tbl>
      <w:tblPr>
        <w:tblW w:w="10205" w:type="dxa"/>
        <w:jc w:val="center"/>
        <w:tblInd w:w="0" w:type="dxa"/>
        <w:tblLayout w:type="fixed"/>
        <w:tblCellMar>
          <w:top w:w="28" w:type="dxa"/>
          <w:left w:w="28" w:type="dxa"/>
          <w:bottom w:w="28" w:type="dxa"/>
          <w:right w:w="28" w:type="dxa"/>
        </w:tblCellMar>
      </w:tblPr>
      <w:tblGrid>
        <w:gridCol w:w="863"/>
        <w:gridCol w:w="653"/>
        <w:gridCol w:w="65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55"/>
      </w:tblGrid>
      <w:tr>
        <w:trPr/>
        <w:tc>
          <w:tcPr>
            <w:tcW w:w="86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clinical development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Bexobrutideg (NX-5948)</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Zelebrudomide (NX-2127)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NX-1607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48,832 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research and development expenses to increase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primarily consists of reserves for unrecognized tax benefits and state taxes. We have generated net operating losses since inception and have established a full valuation allowance against our deferred tax assets due to the uncertainty surrounding the realization of such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discussion and analysis of our financial condition and results of operations is based on our condensed financial statements, which have been prepared in accordance with U.S. generally accepted accounting principles (U.S. GAAP). The preparation of these condensed financial statements requires us to make estimates and assumptions that affect the reported amounts of assets and liabilities and the disclosure of contingent assets and liabilities at the date of the condensed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policies and more significant areas involving management’s judgments and estimates used in preparation of our condensed financial statements are discussed in the section titled “Management’s Discussion and Analysis of Financial Condition and Results of Operations” in our Annual Report on Form 10-K for the fiscal year ended November 30, 2024. There have been no significant changes to these policies for the three and six months ended May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2, “Summary of Significant Accounting Policies—Recently Adopted Accounting Pronouncements” to our condensed financial statements included elsewhere in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Comparison of the three and six months ended May 31, 2025 and 2024</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of operations are summarized as follows (in thousands):</w:t>
      </w:r>
    </w:p>
    <w:tbl>
      <w:tblPr>
        <w:tblW w:w="10205" w:type="dxa"/>
        <w:jc w:val="center"/>
        <w:tblInd w:w="0" w:type="dxa"/>
        <w:tblLayout w:type="fixed"/>
        <w:tblCellMar>
          <w:top w:w="28" w:type="dxa"/>
          <w:left w:w="28" w:type="dxa"/>
          <w:bottom w:w="28" w:type="dxa"/>
          <w:right w:w="28" w:type="dxa"/>
        </w:tblCellMar>
      </w:tblPr>
      <w:tblGrid>
        <w:gridCol w:w="767"/>
        <w:gridCol w:w="667"/>
        <w:gridCol w:w="673"/>
        <w:gridCol w:w="211"/>
        <w:gridCol w:w="775"/>
        <w:gridCol w:w="109"/>
        <w:gridCol w:w="109"/>
        <w:gridCol w:w="109"/>
        <w:gridCol w:w="109"/>
        <w:gridCol w:w="211"/>
        <w:gridCol w:w="775"/>
        <w:gridCol w:w="109"/>
        <w:gridCol w:w="109"/>
        <w:gridCol w:w="109"/>
        <w:gridCol w:w="109"/>
        <w:gridCol w:w="211"/>
        <w:gridCol w:w="616"/>
        <w:gridCol w:w="109"/>
        <w:gridCol w:w="109"/>
        <w:gridCol w:w="109"/>
        <w:gridCol w:w="109"/>
        <w:gridCol w:w="211"/>
        <w:gridCol w:w="775"/>
        <w:gridCol w:w="109"/>
        <w:gridCol w:w="109"/>
        <w:gridCol w:w="109"/>
        <w:gridCol w:w="109"/>
        <w:gridCol w:w="211"/>
        <w:gridCol w:w="775"/>
        <w:gridCol w:w="109"/>
        <w:gridCol w:w="109"/>
        <w:gridCol w:w="109"/>
        <w:gridCol w:w="109"/>
        <w:gridCol w:w="211"/>
        <w:gridCol w:w="775"/>
        <w:gridCol w:w="161"/>
      </w:tblGrid>
      <w:tr>
        <w:trPr/>
        <w:tc>
          <w:tcPr>
            <w:tcW w:w="7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33,832 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51,259 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(13,171)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(13,751)</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Collaboration Revenue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collaboration revenue is summarized as follows (in thousands):</w:t>
      </w:r>
    </w:p>
    <w:tbl>
      <w:tblPr>
        <w:tblW w:w="10176" w:type="dxa"/>
        <w:jc w:val="center"/>
        <w:tblInd w:w="0" w:type="dxa"/>
        <w:tblLayout w:type="fixed"/>
        <w:tblCellMar>
          <w:top w:w="28" w:type="dxa"/>
          <w:left w:w="28" w:type="dxa"/>
          <w:bottom w:w="28" w:type="dxa"/>
          <w:right w:w="28" w:type="dxa"/>
        </w:tblCellMar>
      </w:tblPr>
      <w:tblGrid>
        <w:gridCol w:w="861"/>
        <w:gridCol w:w="757"/>
        <w:gridCol w:w="76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91"/>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Gilead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Sanofi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Pfizer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collaboration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collaboration revenue increased by $2.0 million during the three months ended May 31, 2025, compared to the three months ended May 31, 2024, primarily due to increased revenue from our collaboration with Gilead due to the achievement of a clinical milestone and increased revenue from our collaboration with Sanofi due to the achievement of research milestones. The increase in collaboration revenue was partially offset by the decrease in revenue from our collaboration with Pfizer due to a lower percentage of completion of performance obligations in the current period.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collaboration revenue increased by $3.8 million during the six months ended May 31, 2025, compared to the six months ended May 31, 2024, primarily due to increased revenue from our collaboration with Sanofi due to the achievement of research milestones. The increase in collaboration revenue was partially offset by the decrease in revenue from our collaboration with Gilead as we concluded the initial research term for certain drug targets.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License Revenue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license revenue was $30.0 million for the three and six months ended May 31, 2025 and is related to the Sanofi License Extensions. There was no license revenue for the three and six months ended May 31,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increased by $29.2 million and $48.8 million during the three and six months ended May 31, 2025, compared to the three and six months ended May 31, 2024, respectively. For all periods presented, there was an increase in clinical, contract manufacturing and consulting costs as we continued to accelerate the enrollment of patients in the ongoing clinical trials of bexobrutideg (NX-5948) and prepare for the initiation of pivotal trials, and an increase in contract research costs to support our ongoing collaborations. There was also an increase in compensation and related personnel costs and non-cash stock-based compensation expense due to an increase in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general and administrative expenses increased by $2.6 million and $2.4 million during the three and six months ended May 31, 2025, compared to the three and six months ended May 31, 2024, respectively. For all periods presented, there was an increase in compensation and related personnel costs due to an increase in headcount and an increase in consulting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2021, we filed a shelf registration statement on Form S-3 with the SEC, which was amended in February 2023 (the Shelf Registration Statement) and which expired in August 2024 with respect to additional sales of securities. The Shelf Registration Statement, which included a base prospectus, allowed us to offer and sell up to $450.0 million of our registered common stock, preferred stock, debt securities, warrants, subscriptions rights and/or units or any combination of securities described in the prospectus in one or more offerings. In addition, in August 2021, we entered into an Equity Distribution Agreement with Piper Sandler &amp; Co. (Piper Sandler) pursuant to which, from time to time, we could offer and sell through Piper Sandler up to $150.0 million of the common stock registered under the Shelf Registration Statement pursuant to one or more “at the market” offerings. We are not required to sell any shares at any time during the term of the Equity Distribution Agreement. We agreed to pay Piper Sandler a commission of 3.0% of the gross sales price of any shares sold pursuant to the Equity Distribution Agreement. In June 2022, we issued and sold 2,000,000 shares of common stock under the Equity Distribution Agreement at a price of $10.00 per share for net proceeds of $19.3 million after deducting offering commissions and expenses paid by us. In May 2024, we issued and sold 3,194,809 shares of common stock under the Equity Distribution Agreement at various prices ranging from $15.50 to $16.00 per share for total net proceeds of $48.5 million, after deducting offering commissions and expenses paid by us (the May 2024 ATM Financing).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2024, we filed an automatic shelf registration statement on Form S-3 (the Automatic Shelf Registration Statement). The Automatic Shelf Registration Statement, which includes a base prospectus, allows us at any time to offer and sell our registered common stock, preferred stock, debt securities, warrants, subscriptions rights and/or units or any combination of securities described in the prospectus in one or more offerings. On July 11, 2024, we entered into Amendment No. 1 to the Equity Distribution Agreement (as amended, the Amended Equity Distribution Agreement), pursuant to which, from time to time, we could offer and sell through Piper Sandler up to $150.0 million of common stock registered under the Automatic Shelf Registration Statement pursuant to one or more “at the market” offerings. We are not required to sell any shares at any time during the term of the Amended Equity Distribution Agreement. We agreed to pay Piper Sandler a commission of up to 3.0% of the gross sales price of any shares sold pursuant to the Amended Equity Distribution Agreement. In August 2024, we issued and sold 2,145,000 shares of common stock under the Amended Equity Distribution Agreement at $20.00 per share for total net proceeds of $42.0 million after deducting offering commissions and expenses paid by us (the August 2024 ATM Financing). In October 2024, we issued and sold 4,803,573 shares of common stock under the Amended Equity Distribution Agreement at various prices ranging from $21.50 to $25.00 per share for total net proceeds of $105.3 million after deducting offering commissions and expenses paid by us (the October 2024 ATM Financing).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31, 2024, we entered into Amendment No. 2 to the Equity Distribution Agreement (as amended, the Second Amended Equity Distribution Agreement), pursuant to which, from time to time, we may offer and sell through Piper Sandler up to $300.0 million of common stock registered under the Automatic Shelf Registration Statement pursuant to one or more “at the market” offerings. We are not required to sell any shares at any time during the term of the Second Amended Equity Distribution Agreement. We agreed to pay Piper Sandler a commission of up to 3.0% of the gross sales price of any shares sold pursuant to the Second Amended Equity Distribution Agreement. In November 2024, we issued and sold 3,634,393 shares of common stock under the Second Amended Equity Distribution Agreement at $26.25 per share for total net proceeds of $93.6 million after deducting offering commissions and expenses paid by us (the November 2024 ATM Financing). As of May 31, 2025, we had $204.6 million of common stock remaining available for sale under the Second Amended Equity Distribution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2022, we entered into separate securities purchase agreements with certain purchasers to issue and sell pre</w:t>
        <w:noBreakHyphen/>
        <w:t>funded warrants to purchase an aggregate of 6,814,920 shares of our common stock in registered direct offerings (RDOs) at a price of $13.939 per pre-funded warrant (the 2022 Pre-Funded Warrants). Net proceeds from the RDOs were $94.8 million, after deducting offering expenses of $0.2 million. As of May 31, 2025, a total of 6,097,560 of the 2022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we completed an underwritten public offering (the 2024 Public Offering) and issued (a) 11,916,667 shares of common stock, which included 1,750,000 shares issued upon the exercise in full by our underwriters of their option to purchase additional shares of common stock, at a public offering price of $15.00 per share, and (b) pre-funded warrants to purchase 1,500,100 shares of our common stock (the 2024 Pre-Funded Warrants) at a public offering price of $14.999 per pre-funded warrant, which represents the per share public offering price for the common stock less a $0.001 per share exercise price for each pre-funded warrant. The net proceeds from this offering were approximately $188.7 million, after deducting underwriting discounts and commissions and offering expenses. As of May 31, 2025, a total of 1,480,349 of the 2024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issued pre-funded warrants were immediately exercisable, have an exercise price of $0.001 and may be exercised at any time after the date of issuance. A holder of the pre-funded warrants may not exercise the warrant if the holder, together with its affiliates, would beneficially own more than 9.99% of the number of shares of our common stock outstanding immediately after giving effect to such exercise. A holder of the pre-funded warrants may increase or decrease this percentage not in excess of 19.99% by providing us at least 61 days’ prior notice.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Funding Requirements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May 31, 2025, our operations have primarily been funded through the net proceeds from equity offerings of $1.1 billion and proceeds from collaborations of $463.0 million. We do not have any products approved for sale, and we have not generated any revenue from product sales. As of May 31, 2025, we had $485.8 million in cash, cash equivalents and marketable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existing cash, cash equivalents and marketable securities are sufficient to meet our cash requirements and continue operating activities, including the clinical trials of our drug candidates bexobrutideg (NX-5948), zelebrudomide (NX-2127) and NX-1607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long term, our ability to support our working capital and capital expenditure requirements will depend on many factors, including the following: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progress, costs and results of our ongoing Phase 1 clinical trials for our lead drug candidates bexobrutideg, zelebrudomide and NX-1607, and any future clinical development of such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scope, progress, costs and results of preclinical and clinical development for our other drug candidates and development programs;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number and development requirements of other drug candidates that we pursue;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scope of, and costs associated with, future advancements to our DEL-AI platform;</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success of our collaborations with Gilead, Sanofi, Pfizer and any other collaborations we may establish;</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timing and outcome of regulatory review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and timing of future commercialization activities, including product manufacturing, marketing, sales and distribution, for any of our drug candidates for which we receive marketing approval;</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revenue, if any, received from commercial sales of our drug candidates for which we receive marketing approval;</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and timing of preparing, filing and prosecuting patent applications, maintaining and enforcing our intellectual property rights and defending any intellectual property-related claims;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establish additional collaboration arrangements with other biotechnology or pharmaceutical companies on favorable terms, if at all, for the development or commercialization of our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considered whether there are conditions or events that raise substantial doubt about our ability to continue as a going concern and evaluated the funds necessary to maintain operations. Additionally, we may be required to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pStyle w:val="TextBody"/>
        <w:bidi w:val="0"/>
        <w:spacing w:lineRule="auto" w:line="276" w:before="120" w:after="283"/>
        <w:ind w:left="0" w:right="0" w:firstLine="720"/>
        <w:jc w:val="left"/>
        <w:rPr/>
      </w:pPr>
      <w:r>
        <w:rPr>
          <w:rFonts w:ascii="Times New Roman;serif" w:hAnsi="Times New Roman;serif"/>
          <w:b w:val="false"/>
          <w:color w:val="000000"/>
          <w:sz w:val="20"/>
          <w:shd w:fill="FFFFFF" w:val="clear"/>
        </w:rPr>
        <w:t xml:space="preserve">Our contractual obligations mostly consist of our operating lease obligations for facilities in San Francisco, California, The Woodlands, Texas and Brisbane, California. </w:t>
      </w:r>
      <w:r>
        <w:rPr>
          <w:rFonts w:ascii="Times New Roman;serif" w:hAnsi="Times New Roman;serif"/>
          <w:b w:val="false"/>
          <w:color w:val="000000"/>
          <w:sz w:val="20"/>
        </w:rPr>
        <w:t>Our total operating lease commitments as of May 31, 2025, were approximately $78.7 million, of which $6.1 million is expected to be paid within the next 12 months. 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flows are summarized as follows (in thousands): </w:t>
      </w:r>
    </w:p>
    <w:tbl>
      <w:tblPr>
        <w:tblW w:w="8274" w:type="dxa"/>
        <w:jc w:val="center"/>
        <w:tblInd w:w="0" w:type="dxa"/>
        <w:tblLayout w:type="fixed"/>
        <w:tblCellMar>
          <w:top w:w="28" w:type="dxa"/>
          <w:left w:w="28" w:type="dxa"/>
          <w:bottom w:w="28" w:type="dxa"/>
          <w:right w:w="28" w:type="dxa"/>
        </w:tblCellMar>
      </w:tblPr>
      <w:tblGrid>
        <w:gridCol w:w="2013"/>
        <w:gridCol w:w="1773"/>
        <w:gridCol w:w="1779"/>
        <w:gridCol w:w="211"/>
        <w:gridCol w:w="901"/>
        <w:gridCol w:w="109"/>
        <w:gridCol w:w="109"/>
        <w:gridCol w:w="109"/>
        <w:gridCol w:w="109"/>
        <w:gridCol w:w="211"/>
        <w:gridCol w:w="796"/>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May 31,</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Operating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$124.2 million for the six months ended May 31, 2025, and consisted of a net loss of $99.8 million and an increase in net assets of $46.5 million, offset by non-cash adjustments of $22.1 million. The increase in net assets consisted of a decrease in deferred revenue of $15.5 million as we increased effort in our programs and recognized revenue, a decrease in operating lease liabilities of $3.1 million due to lease payments made during the period, a decrease in accounts payable of $5.9 million from payments to vendors, an increase in accounts receivable of $19.0 million related to the Second Sanofi License Extension and a milestone under the Sanofi Agreement, and an increase in prepaid and other assets of $3.0 million primarily due to the recognition of expenses for prepaid services. Non-cash adjustments primarily consisted of stock-based compensation expenses of $19.1 million, depreciation and amortization expenses of $4.6 million and amortization of operating lease right-of-use (ROU) assets of $4.6 million, offset by net accretion of discount on marketable securities of $6.3 million.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$81.7 million for the six months ended May 31, 2024, and consisted of a net loss of $86.1 million and an increase in net assets of $16.1 million, offset by non-cash adjustments of $20.6 million. The increase in net assets consisted of a decrease in deferred revenue of $7.7 million, which included an increase in contract assets of $5.0 million related to the achievement of a milestone under the Pfizer Agreement, as we increased effort in our programs and recognized revenue, a decrease in accounts payable of $3.5 million from payments to vendors, a decrease in accrued expenses and other liabilities of $3.2 million primarily due to the payment of compensation and other related personnel costs and a decrease in operating lease liabilities of $3.1 million due to lease payments made during the period, offset by a decrease in prepaid and other assets of $1.3 million primarily due to the recognition of expenses for prepaid services. Non-cash adjustments primarily consisted of stock-based compensation expenses of $16.7 million, depreciation and amortization expenses of $4.4 million and amortization of operating lease ROU assets of $3.6 million, offset by net accretion of discount on marketable securities of $4.1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$97.0 million for the six months ended May 31, 2025, and primarily consisted of the maturity of marketable securities of $281.5 million, offset by the purchase of marketable securities of $178.4 million and the purchase of property and equipment of $6.2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$95.6 million for the six months ended May 31, 2024, and primarily consisted of the purchase of marketable securities of $279.9 million, offset by the maturity of marketable securities of $189.2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$1.5 million for the six months ended May 31, 2025, and consisted primarily of proceeds from the issuance of common stock under our Employee Stock Purchase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$239.4 million for the six months ended May 31, 2024, and consisted primarily of net proceeds from our 2024 Public Offering and the May 2024 ATM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market risks, as of May 31, 2025, have not changed materially from those discussed in “Item 7A. Quantitative and Qualitative Disclosures About Market Risk” of Part II of our Annual Report on Form 10-K for the year ended November 30, 2024, filed with the SEC on January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Securities Exchange Act of 1934, as amended (the Exchange Act) as of May 31, 2025.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their evaluation, the Chief Executive Officer and Chief Financial Officer have concluded that our disclosure controls and procedures were effective as of May 31,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and 15d-15(d) of the Exchange Act that occurred during the three months ended May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 involved in legal proceedings arising in the ordinary course of our business. We are not presently a party to any legal proceedings that, in the opinion of management, would have a material adverse effect on our business or condensed financial statements. Regardless of outcome, litigation can have an adverse impact on us due to defense and settlement costs, diversion of management resources, negative publicity and reputational harm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Before making your decision to invest in shares of our common stock, you should carefully consider the risks and uncertainties described below, together with all of the other information contained in this Quarterly Report on Form 10-Q, including our condensed financial statements and related notes and the section titled “Management’s Discussion and Analysis of Financial Condition and Results of Operations.”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results of operations, and future prospects could be materially and adversely affected. In that event, the trading price of our common stock could decline, and you could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Financial Position and Need for Additional Capital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have incurred significant losses since our inception. We expect to incur losses over at least the next several years and may never achieve or maintain profitability. </w:t>
      </w:r>
    </w:p>
    <w:p>
      <w:pPr>
        <w:pStyle w:val="TextBody"/>
        <w:bidi w:val="0"/>
        <w:spacing w:lineRule="auto" w:line="276" w:before="120" w:after="283"/>
        <w:ind w:left="0" w:right="0" w:firstLine="720"/>
        <w:jc w:val="left"/>
        <w:rPr/>
      </w:pPr>
      <w:r>
        <w:rPr>
          <w:rFonts w:ascii="Times New Roman;serif" w:hAnsi="Times New Roman;serif"/>
          <w:b w:val="false"/>
          <w:color w:val="000000"/>
          <w:sz w:val="20"/>
        </w:rPr>
        <w:t>Our net loss was $</w:t>
      </w:r>
      <w:r>
        <w:rPr>
          <w:rFonts w:ascii="Times New Roman;serif" w:hAnsi="Times New Roman;serif"/>
          <w:b w:val="false"/>
          <w:color w:val="000000"/>
          <w:sz w:val="20"/>
          <w:shd w:fill="FFFFFF" w:val="clear"/>
        </w:rPr>
        <w:t>193.6</w:t>
      </w:r>
      <w:r>
        <w:rPr>
          <w:color w:val="000000"/>
        </w:rPr>
        <w:t xml:space="preserve"> </w:t>
      </w:r>
      <w:r>
        <w:rPr>
          <w:rFonts w:ascii="Times New Roman;serif" w:hAnsi="Times New Roman;serif"/>
          <w:b w:val="false"/>
          <w:color w:val="000000"/>
          <w:sz w:val="20"/>
        </w:rPr>
        <w:t>million for the fiscal year ended November 30, 2024, and $99.8 million for the six months ended May 31, 2025. As of May 31, 2025, we had an accumulated deficit of $838.6 million. To date, we have not generated any revenue from product sales and have financed our operations primarily through our collaborations and sales of our equity interests. We are in the early stages of development of our drug candidates. Our lead drug candidates, bexobrutideg (NX-5948), zelebrudomide (NX-2127) and NX-1607, are in the early stages of clinical development. We expect to continue to incur significant expenses and increasing operating losses for at least the next several years. We anticipate that our operating expenses and capital expenditure requirements will increase substantially if and as we: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increase enrollment in and further develop our drug candidates bexobrutideg, zelebrudomide and NX-1607 through Phase 1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submit investigational new drug applications (INDs) and initiate clinical trials of our other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enter advanced clinical development and scale up external manufacturing capabilities to supply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expand the capabilities of our DEL-AI platform and apply our DEL-AI platform to advance additional drug candidates into preclinical and clinical development;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conduct process development for manufacturing of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seek marketing approvals for any drug candidates that successfully complete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prepare for negotiations with the pricing authorities and submission to the health technology appraisal (HTA) bodies;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ultimately establish a sales, marketing and distribution infrastructure and scale up external manufacturing capabilities to commercialize any drug candidates for which we may obtain marketing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expand, maintain and protect our intellectual property portfolio;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hire additional clinical, regulatory, manufacturing, quality assurance and scientific personnel;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add operational, financial and management information systems and personnel to support our research, product development and future commercialization efforts and support our operations as a public company.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expenses could increase beyond our expectations if we are required by the U.S. Food and Drug Administration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have never generated revenue from product sales and may never be profitable.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 the early stages of clinical development of our lead drug candidates bexobrutideg (NX-5948), zelebrudomide (NX-2127) and NX-1607.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will need substantial additional funding. If we are unable to raise capital when needed, we may be required to delay, limit, reduce or terminate our research or product development programs or future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expenses to increase substantially in connection with our ongoing activities, particularly as we conduct our Phase 1 clinical trials of bexobrutideg (NX-5948), zelebrudomide (NX-2127) and NX-1607 and any future development of our drug candidates, grow our pipeline of drug candidates, expand the breadth of our DEL-AI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had cash, cash equivalents and marketable securities of $485.8 million as of May 31, 2025.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progress, costs and results of our Phase 1 clinical trials for bexobrutideg, zelebrudomide and NX-1607 and any future clinical development of such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scope, progress, costs and results of preclinical and clinical development for our other drug candidates and development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number and development requirements of other drug candidates that we pursue;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scope of, and costs associated with, future advancements to our DEL-AI platform;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success of our collaborations with Gilead Sciences, Inc. (Gilead), Sanofi S.A. (Sanofi) and Seagen Inc. (now a part of Pfizer Inc. (Pfizer)) and any other collaborations we may establish;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timing and outcome of regulatory review of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timing and outcome of negotiations with pricing authorities and health technology assessment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and timing of future commercialization activities, including product manufacturing, marketing, sales and distribution, for any of our drug candidates for which we receive marketing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revenue, if any, received from commercial sales of our drug candidates for which we receive marketing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and timing of preparing, filing and prosecuting patent applications, maintaining and enforcing our intellectual property rights and defending any intellectual property-related claims;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to establish additional collaboration arrangements with other biotechnology or pharmaceutical companies on favorable terms, if at all, for the development or commercialization of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Raising additional capital may cause dilution to our stockholders, restrict our operations or require us to relinquish rights to our technologies or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Gilead, Sanofi and Pfizer,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limited operating history may make it difficult to evaluate the success of our business to date and to assess our future viability.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early-stage clinical trials. Our lead drug candidates are in the early stages of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the Discovery and Development of Our Drug Candidates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are early in our development efforts. Our lead drug candidates, bexobrutideg (NX-5948), zelebrudomide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early in our development efforts. Our lead drug candidates, bexobrutideg (NX-5948), zelebrudomide (NX-2127) and NX-1607, are in the early stages of clinical development and their risk of failure is high. We have invested substantially all of our efforts and financial resources in building our DEL-AI platform, in the identification and preclinical development of our current drug candidates and in the preparation for and initiation of Phase 1 clinical trials for our lead drug candidates, as well as the preparation to advance bexobrutideg into a Phase 2 clinical trial, anticipated in 2025.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sufficiency of our financial and other resources;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successful completion of preclinical studies;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successful submission of INDs or Clinical Trial Applications and initiation of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successful patient enrollment in, and completion of,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receipt and related terms of marketing approvals from applicable regulatory authorities;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obtaining and maintaining patent and trade secret protection and regulatory exclusivity for our drug candidates as well as obtaining relevant exclusivity extensions (due to the conduct of pediatric studies);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making arrangements with third-party manufacturers, or establishing manufacturing capabilities, for both clinical and commercial supplies of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achieving desirable therapeutic properties for our drug candidates’ intended indications;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establishing sales, marketing and distribution capabilities and launching commercial sales of our products, if and when approved, whether alone or in collaboration with others;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acceptance of our products, if and when approved, by patients, the medical community and third-party payors;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obtaining and maintaining third-party coverage and adequate reimbursement;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establishing a continued acceptable safety profile of our drug candidates and maintaining such a profile following approval;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effectively competing with other therapies.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filed for and received an Innovation Passport designation for NX-1607 in the United Kingdom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Medicines and Healthcare products Regulatory Agency (MHRA), health technology agencies in the UK such as the National Institute for Health and Care Excellence or the Scottish Medicines Consortium and NHS England. However, although the goal of ILAP and the Innovation Passport is to reduce the time to market and enable earlier patient access, they do not accelerate conduct of clinical trials or mean that the regulatory requirements are less stringent, nor do they ensure that any NX-1607 marketing authorization application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One of our approaches to the discovery and development of drug candidates based on our targeted protein degradation platform is unproven, which makes it difficult to predict the time, cost of development and likelihood of successfully developing any products.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have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Both bexobrutideg (NX-5948) and zelebrudomide (NX-2127) degrade BTK with mutations that confer resistance to currently marketed BTK inhibitors, and we believe that preliminary data from our ongoing Phase 1 trials of bexobrutideg and zelebrudomide may provide evidence of clinical benefit to patients with such resistance mutations. However, any inherent primary or acquired secondary resistance to our BTK degraders in patients would prevent or diminish their clinical benefit.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 the early stages of clinical development of bexobrutideg and zelebrudomide and we currently have limited safety data of bexobrutideg and zelebrudomide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drug candidates creates significant challenges for us, including: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educating medical personnel regarding the potential efficacy and safety benefits, as well as the challenges, of incorporating our drug candidates, if approved, into treatment regimens;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establishing the sales and marketing capabilities to gain market acceptance, if approved.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factors may prevent us from completing our preclinical studies or any clinical trials that we may initiate, or from commercializing any targeted protein degrader drug candidates we may develop on a timely or profitable basis, if at all.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Drug development is a lengthy and expensive process, with an uncertain outcome. We may incur unexpected costs or experience delays in completing, or ultimately be unable to complete, the development and commercialization of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lead drug candidates are in the early stages of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larger registration clinical trials. Additionally, the outcome of preclinical studies and early-stage clinical trials may not be predictive of the success of later-stage clinical trials.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experience numerous unforeseen events during, or as a result of, clinical trials, that could delay or prevent our ability to receive marketing approval or commercialize our drug candidates,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experience delays in reaching, or may fail to reach, a consensus with regulators on trial design;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experience delays in reaching, or may fail to reach, agreement on acceptable clinical trial contracts or clinical trial protocols with prospective trial sites;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regulators or institutional review boards (IRBs) may not authorize us or our investigators to commence a clinical trial or conduct a clinical trial at a prospective trial site;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receive feedback from regulatory authorities that requires us to modify the design of our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face delays under human tissue act legislation and restrictions across various jurisdictions;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experience difficulty in designing clinical trials and in selecting endpoints for diseases that have not been well-studied and for which the natural history and course of the disease is poorly understood;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selection of certain clinical endpoints may require prolonged periods of clinical observation or analysis of the resulting data;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number of patients required for clinical trials of our drug candidates may be larger than we anticipate, enrollment in these clinical trials may be slower than we anticipate or participants may drop out of these clinical trials at a higher rate than we anticipate;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drug candidates may have undesirable side effects or other unexpected characteristics, causing us or our investigators, regulators or IRBs to suspend or terminate the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third-party contractors may fail to comply with regulatory requirements or meet their contractual obligations to us in a timely manner, or at all;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regulators or IRBs may require that we or our investigators suspend or terminate clinical trials for various reasons, including noncompliance with regulatory requirements;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clinical trials of our drug candidates may produce negative or inconclusive results, and we may decide, or regulators may require us, to conduct additional clinical trials or abandon product development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 of clinical trials of our drug candidates may be greater than we anticipate;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supply or quality of our drug candidates or other materials necessary to conduct clinical trials of our drug candidates may be insufficient or inadequate;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regulators may revise the requirements for approving our drug candidates, or such requirements may not be as we anticipate;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any future collaborators that conduct clinical trials may face any of the above issues and may also conduct clinical trials in ways they view as advantageous to them but that are suboptimal for us;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disruptions caused by macroeconomic, political and market conditions, including supply chain disruptions, may increase the likelihood that we encounter such difficulties or delays in initiating, enrolling, conducting or completing our planned and ongoing clinical trials.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for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be delayed in obtaining marketing approval for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not obtain marketing approval at all;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 approval for indications or patient populations that are not as broad as intended or desired;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 approval with labeling that includes significant use or distribution restrictions or safety warnings;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be subject to additional post-marketing testing requirements or changes in the way the product is administered;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have the product removed from the market after obtaining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was ineffective. Our current and planned clinical trials for our drug candidates bexobrutideg, zelebrudomide and NX-1607 are and will be with patients who have received one or more prior treatments. Subsequently, for those drug candidates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serious adverse events, undesirable side effects or unexpected characteristics are identified during the development of any drug candidates we may develop, we may need to abandon or limit our further clinical development of those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bexobrutideg (NX-5948), zelebrudomide (NX-2127) and NX-1607 in animals and we only recently have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by our drug candidates in any of our current or future preclinical studies or clinical trials. There also is the potential risk of delayed adverse events following treatment with our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results of preclinical studies and early-stage clinical trials may not be predictive of future results. Initial success in clinical trials may not be indicative of results obtained in later-stage trials or when these trials are completed.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preclinical studies may not be predictive of the results of clinical trials, and the results of any early-stage clinical trials we commence may not be predictive of the results of the later-stage clinical trials or when these trials are completed. In addition, initial success in clinical trials may not be indicative of results obtained when such trials are completed. In particular, the small number of patients in our planned early clinical trials may make the results of these trials less predictive of the outcomes of later clinical trials. For example, even if successful, the results of our initial clinical trials for bexobrutideg (NX-5948), zelebrudomide (NX-2127) and NX-1607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clinical trials. Any such setbacks in our clinical development could materially harm our business, results of operations, financial condition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Interim top-line and preliminary data from our planned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experience delays or difficulties in enrolling patients in clinical trials, our receipt of necessary marketing approvals could be delayed or prevented.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lead drug candidates, bexobrutideg (NX-5948), zelebrudomide (NX-2127) and NX-1607, and we expect to initiate a Phase 2 clinical trial of bexobrutideg in 2025. We cannot predict how difficult it will be to enroll patients for these trials. Therefore, our ability to identify and enroll eligible patients for our bexobrutideg, zelebrudomide and NX-1607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severity of the disease under investigation;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size of the patient population and process for identifying patients;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1"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availability and efficacy of approved medications for the disease under investigation;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eligibility criteria for the trial in question;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perceived risks and benefits of the drug candidates under study;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efforts to facilitate timely enrollment in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physicians’ attitudes and practices with respect to clinical trial enrollment;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burden on patients due to inconvenient procedures;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ability to monitor patients adequately during and after treatment;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proximity and availability of clinical trial sites for prospective patients.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expend our limited resources to pursue a particular drug candidate or indication and fail to capitalize on drug candidates or indications that may be more profitable or for which there is a greater likelihood of success.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manufacture of drugs is complex, and we and our third-party manufacturers are early in our manufacturing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We or any of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we or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 For example, in October 2023, following our communication to the FDA of our intention to transition to an improved manufacturing process for zelebrudomide (NX-2127), the FDA placed a partial clinical hold on our ongoing Phase 1 clinical trial evaluating zelebrudomide. We actively engaged in discussions with FDA as part of our efforts to lift the partial clinical hold, and in March 2024, the FDA lifted the partial clinical hold. There can be no assurance that we can address any issues resulting in any partial or full clinical hold in a timely manner or at all, and we may incur additional expenses in connection with our efforts to address a partial or full clinical hold or advance our clinical programs.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successful in our efforts to identify or discover additional potential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key element of our strategy is to apply our DEL-AI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research methodology used may not be successful in identifying potential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2"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potential drug candidates may, on further study, be shown to have harmful side effects or other characteristics that indicate that they are unlikely to be drugs that will receive marketing approval or achieve market acceptance;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potential drug candidates may not be effective in treating their targeted diseases.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successful in our efforts to expand the breadth of our DEL-AI platform.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key element of our strategy is to expand the capabilities of our DEL-AI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DEL-AI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DEL-AI platform.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face substantial competition in an environment of rapid technological change, which may result in others discovering, developing or commercializing products before or more successfully than we do.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degradation, antibody therapy, adoptive cell therapy,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aware of a number of biotechnology companies focused on developing small molecules that degrade target proteins or inhibit E3 ligases, many of which currently are in preclinical or clinical development. In addition, certain large pharmaceutical companies have disclosed investments in this field. Furthermore, we are aware of multiple other BTK degrader programs in clinical development.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do not achieve our projected development goals in the time frames we expect and announce, the commercialization of our products may be delayed and, as a result, our stock price may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Gilead, Sanofi or Pfizer.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estimated market opportunities for our drug candidates are subject to numerous uncertainties and may prove to be inaccurate. If we have overestimated the size of our market opportunities, our future growth may be limited.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inaccurate.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biopharmaceutical industry is subject to extensive regulatory obligations and policies that are subject to change, including due to judicial challenges.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and other agencies with significant oversight of the biopharmaceutical industry. 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resulting changes in regulation may result in unexpected delays, increased costs, or other negative impacts on our business that are difficult to predict but could have a material adverse effect on our business and financial condition. For example, certain of these changes could impose additional limitations on the rates we will be able to charge for our future products or the amounts of reimbursement available for our future products from governmental agencies or third-party payors.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Dependence on Third Parties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sought third-party collaborators for the research, development and commercialization of some of our targeted protein degrader programs. For example, in June 2019 we entered into a collaboration with Gilead; in December 2019 we entered into a collaboration with Sanofi, which was subsequently expanded and amended in January 2021; and in September 2023 we entered into a collaboration with Seagen Inc. (now a part of Pfizer). Each of the foregoing collaborations requires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4"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Collaborations involving our research programs or any drug candidates we may develop, including our collaborations with Gilead, Sanofi and Pfizer, pose risks to us,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have significant discretion in determining the efforts and resources that they will apply to collaborations with us.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Gilead and Sanofi have broad option rights to select up to five targets each, and Pfizer has option rights to multiple targets, for exclusive targeted protein degrader development, so long as not excluded by us under the terms of each collaboration, and may select targets we are considering but have not taken sufficient action to exclude under each collaboration.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may delay clinical trials, provide insufficient funding for a clinical trial program, stop a clinical trial or abandon a drug candidate, repeat or conduct new clinical trials or require a new formulation of a drug candidate for clinical testing.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with marketing and distribution rights to one or more products may not commit sufficient resources to the marketing and distribution of such product or products.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may not properly obtain, maintain, enforce or defend our intellectual property or proprietary rights or may use our proprietary information in such a way that could jeopardize or invalidate our proprietary information or expose us to potential litigation. For example, Gilead, Sanofi and Pfizer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Disputes may arise between the collaborators and us that result in the delay or termination of the research, development or commercialization of our products or drug candidates or that result in costly litigation or arbitration that diverts management attention and resources.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lose certain valuable rights under circumstances identified in our collaborations, including if we undergo a change of control. For example, Sanofi may terminate its agreement with us if we undergo a change of control.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Collaborations may be terminated and, if terminated, may result in a need for additional capital to pursue further development or commercialization of the applicable drug candidates. For example, each of Gilead, Sanofi and Pfizer can terminate its agreement with us in its entirety or with respect to a specific target for convenience upon written notice or in connection with a material breach of the agreement by us that remains uncured for a specified period of time.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Moreover, all of the risks relating to product development, marketing approval and commercialization described in this Quarterly Report on Form 10-Q apply to the activities of our collaborators.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5"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seek to establish additional collaborations. If we are not able to establish collaborations on commercially reasonable terms, we may have to alter our development and commercialization plans.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plan to continue to selectively pursue collaborations with leading biopharmaceutical and biotechnology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rely on third parties to conduct our clinical trials, and those third parties may not perform satisfactorily, including failing to meet deadlines for completing such trials.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third-party contract research organizations (CROs) to conduct our Phase 1 clinical trial programs for bexobrutideg (NX-5948), zelebrudomide (NX-2127) and NX-1607 and we will rely on third-party CROs to conduct any clinical trials for other drug candidates. Agreements with these CROs might terminate for a variety of reasons, including for such CRO’s failure to perform. Entry into alternative arrangements, if necessary, could significantly delay our product development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good clinical practice standards, commonly referred to as GCPs, for conducting, recording and reporting the results of clinical trials to assure that data and reported results are credible and accurate and that the rights, integrity and confidentiality of trial participants are protected.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6"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own or operate, and currently have no plans to establish, any manufacturing facilities. We rely on and expect to continue to rely on third-party contract manufacturing organizations (CMOs) for both drug substance and finished drug product. This reliance on CMOs, particularly where one CMO is the sole source of the drug substance or finished drug product, may increase the risk that we will not have sufficient quantities of our drug candidates or products or such quantities at an acceptable cost or quality, which could delay, prevent or impair our development or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therapeutic candidates. For example, in April 2025, the United States announced extensive tariffs on goods imported from China, where certain of our third-party manufacturers are located. While we believe we currently have sufficient inventory for clinical use and do not anticipate any near-term impact to our clinical programs, we expect these tariffs may increase the cost of our product supply in the future. Such events could result in our clinical or commercial supply of drug, packaging and other services being interrupted or limited, which could harm our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unable to establish agreements with CMOs or to do so on acceptable terms. Even if we are able to establish agreements with CMOs, reliance on them entails additional risks,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reliance on the CMO for regulatory, compliance and quality assurance;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possible breach of the manufacturing agreement by the CMO;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possible misappropriation of our proprietary information, including our trade secrets and know-how;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possible termination or nonrenewal of the agreement by the CMO at a time that is costly or inconvenient for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7"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facilities used by our contract manufacturers to manufacture our drug candidates must be approved by the FDA or the EMA or other national or international regulatory agencies pursuant to inspections that will be conducted after we submit our new drug application (NDA) to the FDA or our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and anticipated future dependence upon others for the manufacture of our drug candidates or products may adversely affect our future profit margins and our ability to commercialize any products that receive marketing approval on a timely and competitive basis.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Some of our suppliers may experience disruption to their respective supply chain due to the effects of macroeconomic conditions, which could delay, prevent or impair our development or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obtain certain chemical or biological intermediates in the synthesis of our drug candidates and natural health products (NHPs) for toxicology testing in countries affected by macroeconomic events and conditions, including inflation, interest rate fluctuations,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and production processes. For example, the United States has announced tariffs on many goods imported from specified nations, including China and those in the European Union. In addition, there are currently discussions concerning potential increased tariffs for pharmaceutical products, which may impact our supply chain and create uncertainty in the broader pharmaceutical industry. While certain tariffs have been suspended, modified or temporarily reduced, we cannot predict the results of the U.S. government’s trade negotiations or the outcome of ongoing legal challenges to specific tariff policies. If we are unable to obtain these chemical or biological intermediates or NHPs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CMOs may be unable to successfully scale-up manufacturing of our drug candidates in sufficient quality and quantity, which would delay or prevent us from developing our drug candidates and commercializing approved products, if 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8"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the Commercialization of Our Drug Candidates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Even if any of our drug candidates receive marketing approval, a drug candidate may fail to achieve the degree of market acceptance by physicians, patients, third-party payors and others in the medical community necessary for commercial success.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our drug candidates receive marketing approval, they may nonetheless fail to gain sufficient market acceptance by physicians, patients, third-party payors and others in the medical community. For example, ibrutinib is a well-established current treatment for chronic lymphocytic leukemia (CLL), and doctors may continue to rely on this and other treatments. If our drug candidates do not achieve an adequate level of acceptance, we may not generate sufficient revenue from product sales and we may not become profitable. The degree of market acceptance of our drug candidates, if approved for commercial sale, will depend on a number of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efficacy and potential advantages compared to alternative treatments;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prevalence and severity of any side effects, in particular compared to alternative treatments;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to offer our products for sale at competitive prices;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convenience and ease of administration compared to alternative treatments;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willingness of the target patient population to try new therapies and of physicians to prescribe these therapies;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strength of our marketing, sales and distribution support;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availability of third-party payor coverage and adequate reimbursement;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ability to secure a positive HTA recommendation for the product to be prescribed and reimbursed under the national health system;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timing of any marketing approval in relation to other product approvals;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restrictions on the use of our products together with other medications.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establish sales and marketing capabilities, we may not be successful in commercializing our drug candidates if and when they are approved.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expect that we may build our own focused, specialized sales and marketing organization to support the commercialization in the United States of drug candidates for which we receive marketing approval and which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Factors that may inhibit our efforts to commercialize our products on our own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inability to recruit, train and retain adequate numbers of effective sales, marketing, reimbursement, customer service, medical affairs and other support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unforeseen costs and expenses associated with creating an independent sales and marketing organization.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9"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are able to commercialize any drug candidates, the products may become subject to unfavorable pricing regulations, third-party reimbursement practices or healthcare reform initiatives, or fail to secure a positive health technology assessment, which would harm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non-U.S.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as well as mandating a system of manufacturer rebates to government payors.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particularly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results of operations, our ability to raise capital needed to commercialize products and our overall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Product liability lawsuits against us could cause us to incur substantial liabilities and to limit commercialization of any products that we may develop.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decreased demand for any drug candidates or products that we may develop;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termination of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60"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withdrawal of marketing approval, recall, restriction on the approval or a “black box” warning or contraindication for an approved drug;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withdrawal of clinical trial participants;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significant costs to defend the related litigation;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substantial monetary awards to trial participants or patients;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loss of revenue;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injury to our reputation and significant negative media attention;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reduced resources of our management to pursue our business strategy;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inability to commercialize any products that we may develop.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Intellectual Property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large part, on our ability to obtain and maintain patent and other intellectual property and proprietary protection in the United States and other countries with respect to our current drug candidates, future drug candidates that we may develop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1"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Method of use patents protect the use of a product for the specified method. This type of patent does not prevent a competitor from making and marketing a product that is identical to our therapeutics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 Consequently, the types of claims in issued patents of our patent portfolio may fail to afford strong protection against third-party infringement.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U.S. patent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aware of all third-party intellectual property rights potentially relating to our current and future drug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or our licensors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third-party challenges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submissions of prior art to the United States Patent and Trademark Office (USPTO) challenging the validity of one or more claims of our owned or licensed pending patent applications, precluding the granting of a patent based on one of our owned or licensed pending patent applications or we may become involved in opposition, derivation, reexamination, inter partes review, post-grant review or other post-grant proceedings, in the United States or elsewhere, challenging our or our licensors’ patent rights or the patent rights of others. An adverse determination in any such challenge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or exclusivity,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recent reforms and changes at government agencies of the United States and those of non-U.S. jurisdictions could increase the delays, uncertainties and costs surrounding the prosecution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2"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and strong to impede such competition, our ability to successfully commercialize our drug candidates could be negatively affected and companies may be dissuaded from collaborating with us, which could have a material adverse effect on our business, financial condition, results of operations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The degree of future protection for our proprietary rights is uncertain. Only limited protection may be available and may not adequately protect our rights or permit us to gain or keep any competitive advantage. Any of the foregoing could have a material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Changes in patent law in the United States and in non-U.S. jurisdictions could diminish the value of patents in general, thereby impairing our ability to protect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and actions by the U.S. Congress, the U.S. Supreme Court,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3"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Upon issuance in the United States, the term of a patent can be increased by patent term adjustment based on certain delays caused by the USPTO, but this increase can be reduced or eliminated based on certain delays caused by the patent applicant during patent prosecution. The term of a U.S. patent may also be shortened if the patent is terminally disclaimed over an earlier-filed patent. A patent term extension (PTE) based on regulatory delay may be available in the United States and in other jurisdictions, such as the UK and the EU, including through a supplementary protection certificate (SPC). In the EU and the UK, patent protection can be extended for a maximum period of five years and six months under certain circumstances. However, only a single patent can be extended for each marketing approval, and any patent can be extended only once, for a single product. Laws governing extensions analogous to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restoration, or the term of any such extension is less than we request, the period during which we will have the right to exclusively market our therapeutic will be shorter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need to license intellectual property from third parties that may not be available to us or may not be available on commercially reasonable terms, and we may not be successful in obtaining or maintaining necessary rights to our drug candidates through acquisitions and in-licenses.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Because our development programs may in the future require the use of proprietary rights held by third parties, the growth of our business may depend in part on our ability to acquire, in-license, or use these third-party proprietary rights. A license to such intellectual property may not be available or may not be available on commercially reasonable terms, which could have a material adverse effect on our business, financial condition, results of operations and prospects. We may be unable to acquire or in-license any compositions, methods of use, processes or other third-party intellectual property rights from third parties that we identify as necessary for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We may not be able to successfully complete such negotiations and ultimately acquire the rights to the intellectual property surrounding the additional drug candidates we may seek to acquire. If we are unable to successfully obtain rights to required third-party intellectual property rights or maintain the existing intellectual property rights we have, we may have to abandon development of the relevant program or drug candidate, which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4"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inter partes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inter partes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bexobrutideg (NX-5948) and zelebrudomide (NX-2127)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and any redesigned products may be of inferior quality or performance.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5"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degradation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For example, we may incorrectly determine that our drug candidates are not covered by a third-party patent or may incorrectly predict whether a third-party’s pending application will issue with claims of relevant scope.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therapeutics. We do not always conduct independent reviews of pending patent applications of and patents issued to third parties.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Additionally, pending patent applications that have been published can, subject to certain limitations, later be amended in a manner that could cover our technologies, our future products or the manufacture or use of our future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our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choose to challenge the enforceability or validity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drug candidates or proprietary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6"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hire and employ individuals who were previously employed at, or may have previously provided or may be currently providing consulting services to,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distract our management and other employees from their regular responsibilities.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although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7"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become involved in lawsuits to protect or enforce our patents, the patents of our licensors, or other intellectual property, which could be expensive, time-consuming and unsuccessful.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In any patent infringement proceeding, there is a risk that a court will decide that a patent of ours is invalid or unenforceable, in whole or in part. If a third party were to prevail on a legal assertion of invalidity or unenforceability, we could lose at least part, and perhaps all, of the patent protection on our drug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future patented technology falls under the safe harbor to patent infringement under 35 U.S.C. §271(e)(1). An adverse result in any litigation or proceeding involving our patents or patent applications may put one or more of our patents at risk of being invalidated, held unenforceable or interpreted narrowly.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successfully assert our patents or other intellectual property rights, a court may not award remedies that sufficiently compensate us for our losses.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In addition, the uncertainties associated with litigation could compromise our ability to raise the funds necessary to continue our clinical trials, continue our internal research programs, in-license needed technology or other drug candidates, or enter into development partnerships that would help us bring our drug candidates to market.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8"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drug candidates, approved products, programs or intellectual property could be diminished. Accordingly, the market price of shares of our common stock may decline. Such announcements could also harm our reputation or the market for our drug candidates, which could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able to pursue or guarantee protection of our intellectual property rights in jurisdictions outside the United States.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Patents are of national or regional effect. Filing, prosecuting and defending patents on drug candidates, research programs and technology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Europe, beginning June 1, 2023, European applications and patents may be subject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very little precedent for the court, increasing the uncertainty of any litigation. As a single court system can invalidate a European patent, we, where applicable, may opt out of the UPC, and as such, each European patent would need to be challenged in each individual country.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9"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Obtaining and maintaining patent protection depends on compliance with various procedural, documentary, fee payment and other requirements imposed by governmental patent offices, and our patent protection could be reduced or eliminated for non-compliance with these requirements.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Periodic maintenance, renewal and annuity fees and various other government fees on any issued patent and/or patent application are due to be paid to the USPTO and patent offices in foreign countries in several stages over the lifetime of the patent and/or patent application.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could have a material adverse effect on our business and competitive position.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become subject to claims challenging the inventorship or ownership of our patents and other intellectual property.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drug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protect the confidentiality of our trade secrets, our business and competitive position would be harmed.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seeking patents for some of our technology and drug candidates, we also rely on trade secrets, including unpatented know-how, technology and other proprietary information, and confidentiality agreements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70"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We cannot guarantee that we have entered into such agreements with each party that may have or had access to our trade secrets or proprietary technology and processes and even in cases we have, we cannot be certain that our trade secrets and other confidential proprietary information will not be disclosed or used in an unauthorized manner by third parties. Monitoring unauthorized uses and disclosures of our intellectual property is difficult, and we do not know whether the steps we have taken to protect our intellectual property will be effective. Furthermore,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Intellectual property rights do not necessarily address all potential threats.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drug candidates utilizing issued patents and other intellectual property that we hold may prove to be ineffective for their intended treatment or we may not obtain regulatory approval for such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or our current or future license partners or collaborators, might not have been the first to make the inventions covered by the issued patent or pending patent application that we own or license now or in the future;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or our current or future license partners or collaborators, might not have been the first to file patent applications covering certain of our or their inventions;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it is possible that our pending owned patent applications or those that we may own or license in the future will not lead to issued patents;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cannot predict the scope of protection of any patent issuing based on our patent applications, including whether the patent applications that we own will result in issued patents with claims directed to our drug candidates or uses thereof in the United States or in other foreign countries;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claims of any current patents or patent issuing based on patent applications that we own may not provide protection against competitors or any competitive advantages or may be challenged by third parties;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issued patents that we may hold rights to in the future may be held invalid or unenforceable, including as a result of legal challenges by our competitors;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not develop additional proprietary technologies that are patentable;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71"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countries other than the United States may have patent laws less favorable to patentees than those upheld by U.S. courts, allowing foreign competitors a better opportunity to create, develop and market competing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need to initiate litigation or administrative proceedings to enforce and/or defend our patent rights which will be costly whether we win or lose;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enforce and/or defend our patent rights, a court may not hold that our patents are valid, enforceable and infringed;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fail to adequately protect and police our trademarks and trade secrets; and</w:t>
      </w:r>
    </w:p>
    <w:p>
      <w:pPr>
        <w:pStyle w:val="TextBody"/>
        <w:bidi w:val="0"/>
        <w:spacing w:lineRule="auto" w:line="276" w:before="120" w:after="283"/>
        <w:ind w:left="0" w:right="0" w:hanging="360"/>
        <w:jc w:val="left"/>
        <w:rPr/>
      </w:pPr>
      <w:r>
        <w:rPr>
          <w:color w:val="000000"/>
        </w:rPr>
        <w:t xml:space="preserve">• </w:t>
      </w:r>
      <w:r>
        <w:rPr>
          <w:rFonts w:ascii="Times New Roman;serif" w:hAnsi="Times New Roman;serif"/>
          <w:b w:val="false"/>
          <w:color w:val="000000"/>
          <w:sz w:val="20"/>
        </w:rPr>
        <w:t xml:space="preserve">the patents of others may have an adverse effect on our business, including if others obtain patents claiming subject matter similar to or improving subject matter that is covered by our patent applications.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have a material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Regulatory Approval and Marketing of Our Drug Candidates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The regulatory approval process of the FDA and other national or European regulators is lengthy, time-consuming and inherently unpredictable, and if we are ultimately unable to obtain marketing approval for our drug candidates, our business will be substantially harmed.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drug candidates could be delayed or fail to receive marketing approval for many reasons, including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FDA may disagree with our interpretation of data from preclinical studies or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FDA may disagree with the design or implementation of our planned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data collected from clinical trials of our drug candidates may not be sufficient to support the submission of an NDA to the FDA or other submissions necessary to obtain marketing approval in the United States;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be unable to demonstrate to the satisfaction of the FDA that a drug candidate is safe and effective for its proposed indication;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results of clinical trials may not meet the level of statistical significance required by the FDA for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be unable to demonstrate that our drug candidates’ clinical and other benefits outweigh their safety risks;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FDA may find deficiencies with or fail to approve the manufacturing processes or facilities of third-party manufacturers with which we contract for clinical and commercial supplies;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approval policies or regulations of the FDA may significantly change, including in a manner rendering our clinical data insufficient for approval or otherwise impacting the FDA’s review process and timing or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72"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received Fast Track designation for bexobrutideg (NX-5948) and may seek Fast Track designation for other drug candidates in the future. Fast Track designation may not lead to faster development or regulatory review or approval process, and it does not increase the likelihood that our drug candidates will receive marketing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2024, the FDA granted Fast Track designation for bexobrutideg (NX-5948) in the United States for the treatment of adult patients with relapsed or refractory CLL or small lymphocytic lymphoma after at least two lines of therapy, including a BTK inhibitory and a B-cell lymphoma 2 inhibitor, and in December 2024, the FDA granted Fast Track designation for bexobrutideg in the United States for the treatment of adult patients with relapsed or refractory Waldenström macroglobulinemia after at least two lines of therapy, including a BTK inhibitor. As part of our business strategy, we may also seek Fast Track designation for other of our drug candidates. Programs with Fast Track designation may be eligible for more frequent interactions with the FDA, and, if relevant criteria are met, eligibility for Accelerated Approval and Priority Review. Fast Track designation applies to the drug candidate and the specific indication for which it is being studied. The FDA has broad discretion whether or not to grant this designation, so even if we believe a particular drug candidate is eligible for this designation, we cannot guarantee that the FDA would decide to grant it. If a drug candidate receives Fast Track designation but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Fast Track designation does not change the standards for approval. The receipt of Fast Track designation for a drug candidate may not result in a faster development, regulatory review or approval process compared to drug candidates considered for approval under conventional FDA procedures and does not assure ultimate approval by the FDA. In addition, even if any drug candidate qualifies for Fast Track designation, the FDA may later decide that the drug candidate no longer meets the conditions for qualification or that the time period for FDA review or approval will not be shortened. Fast Track designation alone does not guarantee qualification for FDA Priority Review.</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FDA policies, a drug candidate is eligible for Priority Review, or review within a six-month time frame from the time a complete NDA is accepted for filing, if the drug candidate provides a significant improvement in the safety or effectiveness of the treatment, diagnosis or prevention of serious conditions compared to available therapies. The FDA determines whether a drug qualifies for Priority Review after an NDA for such drug is submitted to the FDA. Therefore, until we submit NDAs for our drug candidates, we cannot be assured that they will be granted Priority Review. Even if Priority Review is granted for one of our drug candidates, the FDA does not always meet its six-month goal date for Priority Review, and the review process may be extended if the FDA requests additional information or clarification.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73"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The FDA may require that these studies be underway prior to Accelerated Approval pursuant to the Food and Drug Omnibus Reform Act of 2022 and under the FDA’s draft guidance on “Accelerated Approval and Considerations for Determining Whether a Confirmatory Trial is Underway” made available in January 2025. If such confirmatory trials fail to confirm the drug’s clinical profile or risks and benefits, the FDA may withdraw its approval of the drug.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broad discretion with regard to approval through the Accelerated Approval Program, and even if we believe that the Accelerated Approval Program is appropriate for one of our drug candidates, we cannot assure you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In that draft guidance, the FDA acknowledged that historically, single-arm trial designs and response endpoints have most commonly been used in oncology but noted that such trials have limitations. Furthermore, even if we do obtain approval through the Accelerated Approval Program, we may not experience a faster development process, review or approval compared to conventional FDA procedures.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4"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 The FDA’s January 2025 draft guidance on “Accelerated Approval and Considerations for Determining Whether a Confirmatory Trial is Underway,” while not finalized, suggests that the FDA generally intends to consider a confirmatory trial to be “underway” prior to accelerated approval if (1) the trial has a target completion date that is consistent with diligent and timely conduct of the trial, considering the nature of the trial’s design and objectives, (2) the sponsor’s progress and plans for postapproval conduct of the trial provide sufficient assurance to expect timely completion of the trial, and (3) enrollment of the confirmatory trial has been initiated.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Failure to obtain marketing approval in foreign jurisdictions would prevent our drug candidates from being marketed abroad and may limit our ability to generate revenue from product sales.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5"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The UK’s exit from the EU continues to create political and economic uncertainty, particularly in the UK and the EU. The UK is now being treated as a “third country” by the EU. Although UK legislation has retained existing EU law, new UK legislation is being drafted and the UK has not retained new EU law, including the Clinical Trials Regulation (EU) No 536/2014. This means that some regulatory activities, such as batch testing and Qualified Person certification, conducted in the UK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market—adding an extra layer of regulatory complexity. As a result, companies now need to comply with a separate UK regulatory legal framework in order to commercialize medicinal products in Great Britain (namely, England, Wales and Scotland, as EU law continues to apply in Northern Ireland). The UK government has attempted to renegotiate fundamental aspects of the NIP so this is an unpredictable area for companies in the near future. Failed attempts to renegotiate the NIP have led to media reports of the UK potentially triggering Article 16 of the NIP, a safeguarding measure, that may be engaged unilaterally if the application of the NIP leads to serious economic, societal or environmental difficulties that are liable to persist, or to diversion of trade. The UK government has introduced the Northern Ireland Protocol Bill which, if enacted into law, would enable the government to unilaterally disapply parts of the NIP which may lead to changes to the regulatory environment in Northern Ireland, and may trigger retaliatory measures against the UK by the EU. The UK government reached a new agreement with the EU, the “Windsor Framework,” which aims to amend the NIP.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will be implemented beginning January 1, 2025. </w:t>
      </w:r>
      <w:r>
        <w:rPr>
          <w:rFonts w:ascii="Times New Roman;serif" w:hAnsi="Times New Roman;serif"/>
          <w:b w:val="false"/>
          <w:color w:val="000000"/>
          <w:sz w:val="20"/>
          <w:shd w:fill="FFFFFF" w:val="clear"/>
        </w:rPr>
        <w:t xml:space="preserve">The TCA allows for future deviation from the current regulatory framework, and it is not known if and/or when any deviations may occur, which may have an impact on development, manufacture, </w:t>
      </w:r>
      <w:r>
        <w:rPr>
          <w:rFonts w:ascii="Times New Roman;serif" w:hAnsi="Times New Roman;serif"/>
          <w:b w:val="false"/>
          <w:color w:val="000000"/>
          <w:sz w:val="20"/>
        </w:rPr>
        <w:t xml:space="preserve">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if any”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or any collaborators, obtain marketing approvals for our drug candidates, the terms of approvals and ongoing regulation of our products may limit how we, or they, manufacture and market our products, which could materially impair our ability to generate revenue.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6"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results of operations, financial condition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regulatory authorities may withdraw their approval of the drug or seize the drug;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or any future collaborators, may be required to recall the drug, change the way the drug is administered or conduct additional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additional restrictions may be imposed on the marketing of, or the manufacturing processes for, the particular drug;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be subject to fines, injunctions or the imposition of civil or criminal penalties;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regulatory authorities may require the addition of labeling statements, such as a “black box” warning or a contraindication;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or any future collaborators, may be required to create a Medication Guide outlining the risks of the previously unidentified side effects for distribution to patients;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or any future collaborators, could be sued and held liable for harm caused to patients;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drug may become less competitive in the marketplace;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reputation may suffer.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have a material and adverse effect on our operations and business and could adversely impact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7" name="Frame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also may impose requirements for costly post-marketing studies or clinical trials and surveillance to monitor the safety or efficacy of the product, including the adoption and implementation of REMS. The FDA and other agencies, including the U.S. Department of Justice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Other jurisdictions, including European countries, have similar provisions which may lead to investigations and enforcement actions by national authorities.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later discovery of previously unknown side effects or other problems with our products or their manufacturers or manufacturing processes, or failure to comply with regulatory requirements, may yield various results,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restrictions on such products, manufacturers or manufacturing processes;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restrictions and warnings on the labeling or marketing of a product;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restrictions on product distribution or use;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requirements to conduct post-marketing studies or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warning letters or untitled letters;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withdrawal of the products from the market;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refusal to approve pending applications or supplements to approved applications that we submit;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recall of products;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fines, restitution or disgorgement of profits or revenues;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suspension or withdrawal of marketing approvals;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suspension of any ongoing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damage to relationships with any potential collaborators;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unfavorable press coverage and damage to our reputation;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refusal to permit the import or export of our products;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product seizure;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injunctions or the imposition of civil or criminal penalties;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litigation involving patients using our products.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Non-compliance with EU and UK requirements regarding safety monitoring or pharmacovigilance, and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8"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received Orphan Drug Designation for bexobrutideg (NX-5948) and may seek Orphan Drug Designation for other drug candidates in the future. If we decide to seek Orphan Drug Designation or other designations from regulators for any of our other or future drug candidates, we may be unsuccessful or may be unable to maintain the benefits associated with these designations, including the potential for supplemental market exclusivity associated with an Orphan Drug Designation.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2025, the FDA granted Orphan Drug Designation to bexobrutideg (NX-5948) for the treatment of Waldenström macroglobulinemia, and in June 2025, the EMA granted Orphan Drug Designation to bexobrutideg for the treatment of adult patients with lymphoplasmacytic lymphoma, of which Waldenström macroglobulinemia is the most common subtype. As part of our business strategy, we may also seek Orphan Drug Designation or other designations from regulators for other of our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Congress is considering updates to the orphan drug provisions of the FDCA in response to a 2021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obtain orphan designation in the EEA (the UK has a similar legislation), the product must fulfill certain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79" name="Frame7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MAA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also three exceptions to the orphan market exclusivity principle. Marketing authorization may be granted to a similar medicinal product for the same orphan therapeutic indication if: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second applicant can establish in its application that its medicinal product, although similar to the orphan medicinal product already authorized, is safer, more effective or otherwise clinically superior;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holder of the marketing authorization for the original orphan medicinal product consents to a second orphan medicinal product application;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holder of the marketing authorization for the original orphan medicinal product cannot supply sufficient quantities of orphan medicinal product.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orphan product can also obtain an additional two years of orphan market exclusivity in the EU if the MAA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UK’s regulatory legal framework provides for similar periods of protection (namely regulatory data protection, marketing protection and market exclusivity).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important to note that the regulatory protection afforded to medicinal products such as data exclusivity, marketing protection, market exclusivity for orphan indications and pediatric extension are currently under review at the EU level. It is expected that the protection currently afforded in the EU will be reduced in the years to come. On April 26, 2023, the European Commission adopted a proposal for a new Directive and a new Regulation. If enacted into law, this proposal will revise and replace the existing general pharmaceutical legislation and will affect the existing period of regulatory protections afforded to medicinal products. The proposal is now undergoing the legislative process and the text of the initial proposal is likely to be amended by the European Parliament and the European Council.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80" name="Frame8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MAA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MAA based on a full self-standing scientific data package supporting the application. The period of regulatory data protection and marketing protection applies in the UK (running from the date of the first authorization in Great Britain).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pursuant to Regulation 1901/2006, and in the UK pursuant to the Human Medicines Regulations 2012 (as amended), MAAs must include pediatric data based on pediatric investigation plans agreed with the EMA if the MAA concerns (i) a new active substance, or (ii) a new indication, pharmacological form, or route of administration (where the product is protected by an SPC or a patent qualifying for an SPC).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SPC may be entitled to a six-month extension to the SPC. Additionally, the European Commission’s new proposed legislation, if implemented, will also affect the current EU legal framework of pediatric medicines.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81" name="Frame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U.S. federal and state and non-U.S. healthcare laws and regulations include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healthcare benefits;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HIPAA, as amended by the Health Information Technology for Economic Clinical Health Act, and its implementing regulations, which also imposes obligations, including mandatory contractual terms, on certain types of people and entities with respect to safeguarding the privacy, security and transmission of individually identifiable health information;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82"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laws that require pharmaceutical companies to comply with the pharmaceutical industry’s voluntary compliance guidelines and relevant compliance guidance promulgated by the federal government;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laws that require drug manufacturers to report information related to payments and other transfers of value to physicians and other healthcare providers or marketing expenditures;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and local laws that prohibit various marketing-related activities, such as the provision of certain kinds of gifts or meals; require the reporting of certain pricing information, including information pertaining to and justifying price increases, or prohibit prescription drug price gouging; impose payment caps on certain pharmaceutical products deemed by the state to be “high cost”; and require the registration of pharmaceutical sales representatives;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and foreign laws that govern the privacy and security of health information in some circumstances, many of which differ from each other in significant ways and often are not preempted by HIPAA, thus complicating compliance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with respect to the UK, the UK Bribery Act 2010 (Bribery Act).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Disruptions at the FDA may slow the time necessary for new products to be reviewed and/or approved, which would adversely affect our business. In addition, there is substantial uncertainty regarding new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Disruptions at the FDA may slow the time necessary for new products to be reviewed and/or approved, which would adversely affect our business. Changes in FDA staffing could result in delays in the FDA’s responsiveness or in its ability to review submissions or applications, issue regulations or guidance, or implement or enforce regulatory requirements in a timely fashion or at all. If any legislation, executive orders, or lapses in agency funding impose constraints on the FDA’s ability to engage in oversight and implementation activities in the normal course, our business may be negatively impacted.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83" name="Frame8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Similar consequences would also result in the event of another significant shutdown of the federal government. For example, in 2025, the U.S. government was on the verge of a shutdown and has previously shut down several times, and certain regulatory agencies, such as the FDA, had to furlough critical employees and stop critical activities. If a prolonged government shutdown occurs, or if geopolitical or global health concerns prevent the FDA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FDA-regulated industries, such as ours, face uncertainty with regard to the regulatory environment we will face as we proceed with research and development, and possibly in future commercialization. Some of these efforts have manifested to date in the form of FDA reductions in workforce or other personnel measures that could impact the FDA’s ability to hire and retain key personnel, which could result in delays or limitations on our ability to obtain guidance from the FDA on our product candidates in development and obtain the requisite regulatory approvals in the future. Moreover, additional changes to budget and staffing of other governmental agencies, including but not limited to those within the Department of Health and Human Services (HHS), could affect development activities such as enrollment and conduct of clinical trials.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remains general uncertainty regarding future activities. New executive orders, regulations, policies or guidance could be issued or promulgated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in connection with new initiatives, 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judicial or administrative or executive action, either in the United States or abroad.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Current and future legislation may increase the difficulty and cost for us, and any collaborators, to obtain marketing approval of and commercialize our drug candidates and affect the prices we, or they, may obtain.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84" name="Frame8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there have been several U.S. congressional inquiries and proposed and enacted state and federal legislation and regulations designed to, among other things, bring more transparency to drug pricing, review the relationship between pricing and manufacturer patient support programs, reduce the costs of drugs under Medicare and reform government program reimbursement methodologies for drug products. Most notably, the Inflation Reduction Act (IRA), which was signed into law on August 16, 2022, allows Medicare to: beginning in 2026, establish a “maximum fair price” for a fixed number of pharmaceutical and biological products covered under Medicare Parts B and D following a price negotiation process with the Centers for Medicare and Medicaid Services (CMS); and, beginning in 2023, penalize drug companies that raise prices for products covered under Medicare Parts B and D faster than inflation, among other reforms. Since its enactment, CMS has taken steps to implement various drug pricing provisions of the IRA. This includes, without limitation, releasing the negotiated maximum prices, which will be effective in 2026, for the first ten drugs that were subject to the IRA’s negotiation process, releasing quarterly lists of Medicare Part B products that are subject to adjusted coinsurance rates based on the inflationary rebate provisions of the IRA, and announcing a list of fifteen additional drugs that will be subject to price negotiations during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unclear how future regulatory actions to implement the IRA, as well as the outcome of pending litigation against the IRA, may affect our products and future profitability, and we cannot predict the likelihood, nature, or extent of other health reform initiatives that may arise from future legislation or administrative actions.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the results of the 2024 Presidential and Congressional elections, and potential subsequent developments, increase the uncertainty related to the healthcare regulatory environment. Notably, recent actions taken by the Trump Administration have indicated that reducing prescription drug prices is a priority. For example, President Trump has signed multiple executive orders addressing prescription drug pricing and access, including: on April 15, 2025, outlining several actions the Secretary of the Department of HHS must take to optimize healthcare regulations that will provide access to prescription drugs at lower costs; on May 5, 2025, aiming to promote domestic production of critical medicines; and on May 12, 2025, aiming to establish a “most favored nation” drug pricing policy that would tie U.S. drug prices to the prices paid for drugs in other countries. Further, the current administration has suggested that it may impose tariffs on pharmaceuticals.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on June 28, 2024, the U.S. Supreme Court issued an opinion holding that courts reviewing agency action pursuant to the APA “must exercise their independent judgment” and “may not defer to an agency interpretation of the law simply because a statute is ambiguous.” The decision will have a significant impact on how lower courts evaluate challenges to agency interpretations of law, including those by CMS and other agencies with significant oversight of the healthcare industry. For additional information, see the risk factor above titled “The biopharmaceutical industry is subject to extensive regulatory obligations and policies that are subject to change, including due to judicial challenges.”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For example, on January 5, 2024, the FDA approved Florida’s importation plan, which allows pharmacists and wholesalers to import certain products from Canada.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Another emerging trend at the state level is the establishment of prescription drug affordability boards, some of which will prospectively permit certain states to establish upper payment limits for drugs that the state has determined to be “high-cost.”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85" name="Frame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Governments outside of the United States tend to impose strict price controls, which may adversely affect our revenues from the sales of drugs, if 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particular, following the executive order of the Trump Administration of May 12, 2025, titled “Delivering Most-Favored-Nation Prescription Drug Pricing to American Patients,” there may be an unpredictable effect on prices of medicinal products in European countries. The Executive Order directs federal agencies to implement policies that would align U.S. prescription drug prices with the lowest prices paid by other comparable nations and mandates the Secretary of HHS to communicate most-favored-nation (MFN) price targets to pharmaceutical manufacturers and, if significant progress is not achieved, to propose rulemaking to impose MFN pricing across federal healthcare programs and potentially the private market. While the full scope and implementation timeline remain uncertain, this policy introduces significant risks to our future pricing strategies, revenue, and profitability in the U.S. market. Additionally, the Executive Order instructs the Department of Commerce and the U.S. Trade Representative to take action against foreign countries that engage in practices suppressing drug prices below fair market value, which could lead to increased pricing pressures or regulatory changes in international markets. These developments, depending on whether and how they may be enacted, may adversely affect our global operations and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Employees, Managing our Growth and Other Legal Matters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attract and retain management and other key personnel, we may be unable to continue to successfully develop our current and any future drug candidates, commercialize our drug candidates or otherwise implement our business plan.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Chief Scientific Officer, Gwenn Hansen, Ph.D. The loss of the services of Dr. Sands, Dr.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unable to attract and retain the necessary personnel to accomplish our business objectives, we may experience constraints that will harm our ability to implement our business strategy and achieve our business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86" name="Frame8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will need to grow our organization, and we may experience difficulties in managing this growth, which could disrupt our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and currently have three drug candidates in ongoing Phase 1 trials, and expect to advance our drug candidate bexobrutideg (NX-5948) to a Phase 2 clinical trial in 2025.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employees, independent contractors, vendors, principal investigators, CROs and consultants may engage in misconduct or other improper activities, including non-compliance with regulatory standards and requirements and insider trading laws.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vendors, principal investigators, CROs and consultants may engage in fraudulent conduct or other illegal activity. Misconduct by these parties could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intentional, reckless or negligent conduct or disclosure to us of unauthorized activities that violate the regulations of the FDA or similar foreign regulatory authorities;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healthcare fraud and abuse in violation of U.S. and foreign laws and regulations;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violations of U.S. federal securities laws relating to trading in our common stock;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failures to report financial information or data accurately.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87" name="Frame8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increasingly dependent on information technology systems, infrastructure and data to operate our business. In the ordinary course of our business, we collect, store and transmit large amounts of confidential and sensitive information, including but not limited to intellectual property, proprietary business information and personal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Despite the implementation of security measures, our internal information technology systems and infrastructure, and those of our current and any future CROs,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distributed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CROs, third-party vendors and other contractors and consultants.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To the extent that any disruption or security breach were to result in a loss of, or damage to, our data or applications, or those of our third-party vendors, CROs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CROs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88" name="Frame8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CROs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CROs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or sensitive information (including trade secrets or other intellectual property, proprietary business information, and personal information), which could result in financial, legal, business, and reputational harm to us. If any such event, including a security breach, results in the unauthorized access, use or release of personal information, our reputation could be materially damaged. In addition, such a breach may require notification to governmental agencies, the media or individuals pursuant to various federal and state data privacy and security laws (and other similar international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as later amended by the California Privacy Rights Act (CCPA), which provides for a private right of action in the event of certain data security breaches. Additionally, the SEC adopted a cybersecurity disclosure rule requiring companies subject to SEC reporting requirements to formally report material cybersecurity incidents, where failure to report may result in regulatory investigations leading to consent orders that may require additional compliance obligations and/or injunctions, fines and other penalties. Such actions could result in significant legal and financial exposure and reputational damages that could have a material adverse effect on our business, financial condition, results of operations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we carry business interruption coverage and cybersecurity insurance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obtain and process a large amount of proprietary and sensitive data. Any real or perceived improper use of, disclosure of, or access to such data could harm our reputation, as well as have an adverse effect on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and process, and our third-party vendors, collaborators, contractors and consultants maintain and process on our behalf, a large quantity of proprietary and sensitive information, including confidential business information, personal and patient health information in connection with our preclinical studies and clinical trials and personal information of our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is a risk that we could be impacted by a cybersecurity incident that results in loss or unauthorized disclosure of this proprietary and sensitive information, potentially resulting in harm to our reputation and financial losses. Depending on the nature of the information compromised, in the event of a data breach or other unauthorized access to our customer data, we may also have obligations to notify customers and regulators about the incident, and we may need to provide some form of remedy, such as a subscription to credit monitoring services, pay significant fines to one or more regulators, or pay compensation in connection with a class-action settlement. Such breach notification laws continue to evolve and may be inconsistent from one jurisdiction to another. In the United States, the SEC has adopted rules for mandatory disclosure of cybersecurity incidents suffered by public companies, as well as cybersecurity governance and risk management. Complying with these obligations could cause us to incur substantial costs and could increase negative publicity surrounding any incident that compromises customer data.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failure or perceived failure by us to comply with these laws may also subject us to enforcement action or litigation, any of which could harm our business. Additionally,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Any of the foregoing could have an adverse effect on our business, reputation,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89" name="Frame8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subject to a variety of stringent and changing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global privacy and data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CROs,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HHS has enforcement discretion for HIPAA, and any enforcement activity can result in financial liability and reputational harm, and responses to such enforcement activity can consume significant internal resources. On April 22, 2024, HHS issued a Final Rule, the HIPAA Privacy Rule to Support Reproductive Health Care Privacy, which is intended to strengthen the HIPPA Privacy Rule by prohibiting the disclosure of protected health information related to lawful reproductive healthcare in certain circumstances.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states have shown an increased interest in regulating the processing of personal information in general and specifically in the privacy of health data. Washington state passed the My Health My Data Act, which took effect on March 31, 2024, and is focused on the collection of consumer health data. The My Health My Data Act has a broader scope than HIPAA and includes a private right of action—depending on whether this law applies to us, there may be substantial regulatory action and litigation associated with this act. Following Washington, Nevada enacted Senate Bill 370, which also took effect on March 31, 2024, and is similar to the My Health My Data Act and requires in-scope entities to comply with certain requirements regarding consumer health data. Notably, Senate Bill 370 does not include a private right of action nor does it apply to entities that are subject to HIPAA. Connecticut also amended its comprehensive privacy law in 2023, the Connecticut Data Privacy Act, to impose obligations aimed at “consumer health data.” Virginia also recently updated its Consumer Protection Act for certain health information and other states are considering health privacy legislation. Furthermore, state attorneys general are authorized to bring civil actions seeking either injunctions or damages in response to violations that threaten the privacy of state residents pursuant to local state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90" name="Frame9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Personal information privacy remains an evolving landscape at both the U.S. state and international level, with new regulations coming into effect. For example, the CCPA, which came into effect on January 1, 2020, and was amended and expanded by the California Privacy Rights Act as of January 1, 2023, provides California residents expanded privacy rights, including the right to request correction, access, and deletion of their personal information, the right to opt out of personal information sharing with certain third parties for cross-context behavioral advertising purposes, the right to limit the use of sensitive personal information, and the right to receive detailed information about how their personal information is processed, including by California residents’ employers. Additionally, the CCPA, requires companies that process personal information of California residents to make disclosures to consumers about their data collection, use and sharing practices, complete certain audits and assessments when processing higher risk data and provide a private right of action for data breaches, as described above. Although the CCPA includes limited exceptions—including exceptions for personal health information collected by covered entities or business associates subject to HIPAA, the CCPA may regulate or impact our processing of personal information depending on the context. Failure to comply with the CCPA may result in significant civil penalties, injunctive relief, or statutory or actual damages as determined by the California Privacy Protection Agency, the state agency that is charged with creating new rules and enforcing the CCPA, and the California Attorney General, who also still maintains some CCPA enforcement powers. Notably, following California’s lead, over a third of other U.S. states enacted or proposed privacy laws that contain obligations similar to the CCPA that have taken effect or will take effect in coming years. In addition, a comprehensive federal privacy bill, which includes a private right of action for violations, has been proposed and is under review by the U.S. House of Representatives. While these new laws and proposals generally include exemptions for HIPAA-covered data and clinical trial data, they add layers of complexity to compliance in the U.S. market and could increase our compliance costs and adversely affect our business. Compliance with this new and evolving privacy legislation adds complexity and may require investment in additional resources for compliance programs, thus potentially result in additional costs and expense of resources to maintain compliance.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the EU GDPR governs the collection, use, disclosure, transfer, or other processing of personal data. The UK has implemented the EU GDPR as the UK GDPR which sits alongside the UK Data Protection Act 2018 (the UK GDPR together with the EU GDPR, the GDPR). The GDPR imposes compliance obligations on controllers (and in more limited cases, on processors), including (among others) granting certain privacy rights to individuals to control how companies collect, use, disclose, retain and otherwise process their personal data as well as specific requirements for obtaining valid consent where consent is the legal basis for processing, requirements around accountability and transparency, the obligation to consider data protection when any new products or services are developed, the obligation to appoint data protection officers in certain circumstances, the obligation to notify relevant data protection supervisory authorities of notifiable personal data breaches without undue delay (and no later than 72 hours) after becoming aware of the personal data breach, and the requirement to provide more detailed notices for clinical trial subjects and investigators. In addition, the EU GDPR prohibits the international transfer of personal data originating in the EEA (including, from clinical trial sites and other third parties (e.g., CROs)) to jurisdictions that the European Commission does not recognize as having ‘adequate’ data protection laws, unless a data transfer mechanism has been put in place or a derogation under the EU GDPR can be relied upon. In certain cases, for example, when transfers are made in reliance on standard contractual clauses (EU SCCs), there is a requirement for companies to carry out a transfer impact assessment (TIA)—which (among other things) assesses laws governing access to personal data in the recipient country and considers whether supplementary measures that provide privacy protections additional to those provided under EU SCCs—will need to be implemented to ensure an ‘essentially equivalent’ level of data protection to that afforded in the EEA. On July 10, 2023, the European Commission adopted its Final Implementing Decision granting the U.S. adequacy (Adequacy Decision) for EU-U.S. transfers of personal data for entities self-certified to the EU-U.S. Data Privacy Framework (DPF). Entities relying on EU SCCs for transfers to the United States are also able to rely on the analysis in the Adequacy Decision as support for their TIA regarding the equivalence of U.S. national security safeguards and redress.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UK GDPR, companies not established in the UK but who process personal data in relation to the offering of goods or services to individuals in the UK, or to the monitoring of their behavior will be subject to the UK GDPR—the requirements of which at this time are largely aligned with those under the EU GDPR. The European Commission has adopted an adequacy decision in favor of the UK, enabling data transfers from EU Member States to the UK without additional safeguards. However, the UK adequacy decision will automatically expire in December 2025 unless the European Commission reassesses and further renews/extends that decision, and remains under review by the European Commission during this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91" name="Frame9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UK GDPR also imposes similar restrictions on transfers of personal data from the UK to jurisdictions that the UK Government does not consider adequate, including the United States. The UK’s Information Commissioner’s Office published: (i) its own form of EU SCCs, known as the International Data Transfer Agreement; (ii) a “UK addendum” to the EU SCCs which amends the relevant provisions of such clauses to work in a UK context; and (iii) its own version of the TIA (although entities may choose to adopt either the EU or UK-style TIA). Further, on September 21, 2023, the UK Secretary of State for Science, Innovation and Technology established a UK-U.S. data bridge (i.e., a UK equivalent of the Adequacy Decision) and adopted UK regulations to implement the UK-U.S. data bridge. Personal data may now be transferred from the UK under the UK-U.S. data bridge through the UK extension to the DPF to organizations self-certified under the UK extension to the DPF.</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the DPF in both the EU and UK may be subject to further legal challenge which could cause the legal requirements for personal data transfers from the EU and the UK to the United States to become uncertain once again. EU and UK data protection authorities have and may again block the use of certain U.S.-based services that involve the transfer of personal data to the United States. In the EU and other markets, potential new rules and restrictions on the flow of data across borders could increase the cost and complexity of doing business in those regions.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we have invested, and expect to continue to invest, significant time and resources in our DPF certification and GDPR compliance program. This is necessary to ensure we can initiate and maintain GDPR-compliant clinical trials in the EU or UK (as applicable). Any failure or perceived failure by us with respect to GDPR compliance could mean we either cannot initiate additional GDPR-compliant clinical trials in the EU or UK (as applicable) or we may face regulatory investigations, significant fines and penalties, reputational damage or be required to change our business practices, all of which could adversely affect our business, financial condition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their own legal requirements for cross-border transfers of personal information. These obligations may be interpreted and applied in a manner that is inconsistent from one jurisdiction to another and may conflict with other requirements or our practices.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results of operations,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885"/>
                <wp:effectExtent l="0" t="0" r="0" b="0"/>
                <wp:wrapNone/>
                <wp:docPr id="92" name="Frame9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use artificial intelligence in our business, and challenges with properly managing its use could result in reputational harm, competitive harm, and legal liability, and adversely affect our results of operations.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leverage artificial intelligence (AI) into certain aspects of our operations, including through our proprietary DEL-AI platform, which employs machine learning across all aspects of the discovery process. However, our competitors and other third parties may incorporate AI into their operations and processes more quickly or more successfully than us, which could impair our ability to compete effectively and adversely affect our results of operations. Additionally, if the output that AI applications assist in producing are or are alleged to be inaccurate, deficient, or biased, our business, financial condition, and results of operations may be adversely affected. Furthermore, the integration of third-party AI models with our operations relies on certain safeguards implemented by the third-party developers of the underlying AI models, including those related to the accuracy, bias, and other variables of the data, and these safeguards may be insufficient. The use of AI applications has resulted in, and may in the future result in, cybersecurity incidents that implicate the data analyzed within such applications. Any such cybersecurity incidents related to our use of AI applications to analyze data could adversely affect our reputation and results of operations. AI also presents emerging ethical issues and if our use of AI becomes controversial, we may experience brand or reputational harm, competitive harm, or legal liability. Legislation and regulations governing the development and use of AI has been passed or is under consideration in the United States at the state and local level, as well as internationally. As a result, the ability to use artificial intelligence and machine learning may be constrained by current or future laws, regulatory or self-regulatory requirements. The rapid evolution of AI, including regulation of AI and it various uses, will require significant resources to develop, test and maintain our platforms and AI operations to help us implement AI ethically in order to minimize unintended, harmful impact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U.S. federal income tax reform and changes in other tax laws could adversely affect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Although there are legislative proposals to repeal or defer the capitalization requirement to later years, there can be no assurance that the provision will be repealed or otherwise modified.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for transactions occurring on or after January 1, 2023, the IRA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ability to utilize our net operating loss carryforwards may be subject to limitations.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incurred substantial losses during our history, do not expect to become profitable in the near future and may never achieve profitability. As of November 30, 2024, we had federal and state net operating loss (NOL) carryforwards of approximately $263.9 million and $418.7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current law, NOLs arising in tax years beginning after December 31, 2017, may be carried forward indefinitely, but are limited to no more than 80% of the excess, if any, of current year taxable income (without regard to certain deductions). Our state NOLs can be carried forward 20 years and begin expiring in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885"/>
                <wp:effectExtent l="0" t="0" r="0" b="0"/>
                <wp:wrapNone/>
                <wp:docPr id="93" name="Frame9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R&amp;D credit carryovers) to offset its post-change income or post-change income tax may be limited. We have identified two ownership changes since our inception that have triggered a limitation on pre-change NOLs under Sections 382 and 383.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additional ownership changes in the future as a result of subsequent shifts in our stock ownership, some of which are outside our control. As a result, if we earn net taxable income, our ability to use our pre-change NOLs and R&amp;D credit carryovers to offset U.S. federal taxable income and tax liability may be subject to limitations that potentially could result in increased future tax liability to us. In addition, at the state level, there may be periods during which the use of NOLs is suspended or otherwise limited, which could accelerate or permanently increase state taxes owed.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Future acquisitions, joint ventures, spin outs or strategic alliances or transactions could disrupt our business and harm our financial condition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diversion of management time and focus from operating our business to addressing acquisition integration challenges;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coordination of research and development efforts;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retention of key employees from the acquired company;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changes in relationships with strategic partners as a result of product acquisitions or strategic positioning resulting from the acquisition;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cultural challenges associated with integrating employees from the acquired company into our organization;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need to implement or improve controls, procedures and policies at a business that prior to the acquisition may have lacked sufficiently effective controls, procedures and policies;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liability for activities of the acquired company before the acquisition, including intellectual property infringement claims, violation of laws, commercial disputes, tax liabilities and other known liabilities;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unanticipated write-offs or charges;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litigation or other claims in connection with the acquired company, including claims from terminated employees, customers, former stockholders or other third parties.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885"/>
                <wp:effectExtent l="0" t="0" r="0" b="0"/>
                <wp:wrapNone/>
                <wp:docPr id="94" name="Frame9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are subject to anti-corruption laws, including the Foreign Corrupt Practices Act (FCPA), the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are subject to other laws and regulations governing our international operations, including regulations administered by the governments of the United States, UK and authorities in the EU, including U.S. export controls, including the U.S. Department of Commerce’s Export Administration Regulations, and U.S. economic sanctions, trade sanctions regulations administered by the U.S. Department of the Treasury’s Office of Foreign Assets Controls, including restrictions or prohibitions on the sale or supply of certain products and services to U.S.-embargoed or sanctioned countries, governments, persons and entities, and other applicable export control regulations, customs requirements and currency exchange regulations, which we collectively refer to as Trade Control Laws.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Securities and Exchange Commission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comply with environmental, health and safety laws and regulations, we could become subject to fines or penalties or incur costs that could significantly harm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885"/>
                <wp:effectExtent l="0" t="0" r="0" b="0"/>
                <wp:wrapNone/>
                <wp:docPr id="95" name="Frame9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Unfavorable global economic conditions could adversely affect our business, financial condition, stock price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more recently, the global economy has been impacted by interest rate fluctuations and inflation, uncertainty with respect to the federal budget and debt ceiling and potential government shutdowns related thereto, as well as the possibility of a recession or further economic downturn. Moreover, there have been concerns in recent years with respect to the stability of the global banking system. For example, in March 2023, Silicon Valley Bank (SVB), which was one of our banking partners, was closed by the California Department of Financial Protection and Innovation, which appointed the Federal Deposit Insurance Corporation (FDIC) as receiver, and in March 2023, Silvergate Capital Corp. and Signature Bank were similarly swept into receivership. While we only had a minimal amount of our cash directly at SVB and the FDIC took steps to make depositors of SVB whole such that we regained access to this cash, there is no assurance that similar guarantees will be made in the event of further bank closures and continued instability in the global banking system.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 Furthermore, the capital and credit markets may be adversely affected by regional conflicts around the world and the possibility of a wider global conflict, global sanctions imposed in response to regional conflicts or an energy crisis. A severe or prolonged economic downturn, such as the global financial crisis, could result in a variety of risks to our business, including weakened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exposed to foreign exchange risk.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incur portions of our expenses, and may in the future derive revenues, in a variety of currencies. As a result, we may be exposed to foreign currency exchange risk as our results of operations and cash flows are subject to fluctuations in foreign currency exchange rates. If in the future we incur greater portions of our expenses, or derive future revenues, from foreign currencies, fluctuations in currency exchange rates could have an impact on our results as expressed in U.S. dollars. In addition, recent actions taken by the U.S. government may further impact the value of the U.S. dollar relative to other currencies, which may have the result of increasing the portions of our expenses which are realized in other currencies. We currently do not engage in hedging transactions to protect against uncertainty in future exchange rates between particular foreign currencies and the U.S dollar. We cannot predict the impact of foreign currency fluctuations, and foreign currency fluctuations in the future may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885"/>
                <wp:effectExtent l="0" t="0" r="0" b="0"/>
                <wp:wrapNone/>
                <wp:docPr id="96" name="Frame9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current operations are in the San Francisco Bay Area, and we or the third parties upon whom we depend may be adversely affected by earthquakes or other natural disasters as to which our business continuity and disaster recovery plans may not be adequate to protect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Common Stock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Our quarterly results of operations may fluctuate significantly or may fall below the expectations of investors or securities analysts, each of which may cause our stock price to fluctuate or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results of operations to be subject to quarterly fluctuations. Our net loss and other results of operations will be affected by numerous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variations in the level of expense related to the ongoing development of our drug candidates, DEL-AI platform, or future development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results of preclinical studies and clinical trials, or the addition or termination of clinical trials or funding support by us or by existing or future collaborators or licensing partners;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execution of any additional collaboration, licensing or similar arrangements, and the timing of payments we may make or receive under existing or future arrangements or the termination or modification of any such existing or future arrangements;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intellectual property infringement lawsuit or opposition, interference or cancellation proceeding in which we may become involved;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additions and departures of key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strategic decisions by us or our competitors, such as acquisitions, divestitures, spin-offs, joint ventures, strategic investments or changes in business strategy;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if any of our drug candidates receives regulatory approval, the terms of such approval and market acceptance and demand for such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regulatory developments affecting our drug candidates or those of our competitors;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changes in general market and economic conditions, including interest rate fluctuations, inflation, uncertainty with respect to the federal budget and debt ceiling and potential government shutdowns related thereto, instability in the global banking system and the possibility of a recession or further economic downturn.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our quarterly results of operations fall below the expectations of investors or securities analysts, the price of our common stock could decline substantially. Furthermore, any quarterly fluctuations in our results of operations may, in turn, cause the price of our common stock to fluctuate substantially. We believe that quarterly comparisons of our financial results are not necessarily meaningful and should not be relied upon as an indication of our future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885"/>
                <wp:effectExtent l="0" t="0" r="0" b="0"/>
                <wp:wrapNone/>
                <wp:docPr id="97" name="Frame9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stock price may be volatile and you could lose all or part of your investment.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“Risk Factors” section and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results of preclinical studies and clinical trials of our drug candidates, or those of our competitors or our existing or future collaborators;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regulatory or legal developments in the United States and other countries, especially changes in laws or regulations applicable to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success of competitive products or technologies;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introductions and announcements of new products by us, our collaboration partners, or our competitors, and the timing of these introductions or announcements;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actions taken by regulatory agencies with respect to our drug candidates, clinical trials, manufacturing process or sales and marketing terms;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actual or anticipated variations in our financial results or in those of companies that are perceived to be similar to us;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success of our efforts to acquire or in-license additional technologies, products or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developments concerning our current or future collaborations, including but not limited to those with our sources of manufacturing supply and our commercialization partners;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market conditions in the pharmaceutical and biotechnology sectors;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acquisitions, strategic collaborations, joint ventures or capital commitments;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developments or disputes concerning patents or other proprietary rights, including patents, litigation matters and our ability to obtain patent protection for our drug candidates and products;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or inability to raise additional capital and the terms on which any additional capital is raised;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recruitment or departure of key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changes in the structure of healthcare payment systems;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failure or the failure of our competitors to meet analysts’ projections or guidance that we or our competitors may provide to the market;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fluctuations in the valuation of companies perceived by investors to be comparable to us;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announcement and expectation of additional financing efforts;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speculation in the press or investment community;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trading volume of our common stock;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sales of our common stock by us or our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concentrated ownership of our common stock;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changes in accounting principles;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cybersecurity events;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terrorist acts, acts of war or periods of widespread civil unrest, including the increasingly volatile global economic conditions resulting from regional conflicts around the world;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effects of public health crises, pandemics and epidemics;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natural disasters and other calamities;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general economic, industry and market conditions, including interest rate fluctuations, inflation, uncertainty with respect to the federal budget and debt ceiling and potential government shutdowns related thereto, instability in the global banking system and the possibility of a recession or further economic downturn.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885"/>
                <wp:effectExtent l="0" t="0" r="0" b="0"/>
                <wp:wrapNone/>
                <wp:docPr id="98" name="Frame9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 sale of a substantial number of shares of our common stock may cause the price of our common stock to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and settlement of outstanding restricted stock units, or the perception that such sales may occur, could adversely affect the market price of our common stock.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research or reports about our business, or if they issue an adverse or misleading opinion regarding our stock, our stock price and trading volume could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future sale and issuance of equity or of debt securities that are convertible into equity will dilute our share capital.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choose to raise additional capital in the future, depending on market conditions, strategic considerations and operational requirements. For example, in March 2021, we sold an additional 5,175,000 shares of our common stock in a follow-on public offering; in July 2022, we entered into separate Securities Purchase Agreements with certain purchasers to issue and sell pre-funded warrants to purchase an aggregate of 6,814,920 shares of our common stock in registered direct offerings; and in April 2024, we sold an additional 11,916,667 shares of our common stock and pre-funded warrants to purchase an aggregate of 1,500,100 shares of our common stock in a public offering. Such pre-funded warrants are immediately exercisable, have an exercise price of $0.001 and may be exercised at any time after the date of issuance.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currently have on file with the SEC an automatic shelf registration statement on Form S-3 which allows us to offer and sell our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which was amended in July 2024 and again in October 2024 (as amended, the Second Amended Equity Distribution Agreement), pursuant to which, from time to time, we may offer and sell through Piper Sandler up to $300.0 million of the common stock registered under the shelf registration statement pursuant to one or more “at the market” offerings. From time to time, we have issued and sold shares of common stock pursuant to this agreement and as of the date of this filing, we have $204.6 million of common stock remaining available for sale under the Second Amended Equity Distribution Agreement. Sales of our common stock under the Second Amended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885"/>
                <wp:effectExtent l="0" t="0" r="0" b="0"/>
                <wp:wrapNone/>
                <wp:docPr id="99" name="Frame9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May 31, 2025, we have issued pre-funded warrants to purchase a total of 8,315,020 shares of our common stock, of which 7,577,909 were outstanding as of May 31, 2025.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There is no public market for our pre-funded warrants.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no public trading market for our pre-funded warrants issued,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Anti-takeover provisions in our charter documents and under Delaware law could make an acquisition of us, which may be beneficial to our stockholders, more difficult and may prevent attempts by our stockholders to replace or remove our current management.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and our amended and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 a classified board of directors so that not all members of our board are elected at one time;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permit only our board of directors to establish the number of directors and fill vacancies on our board;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provide that directors may be removed only “for cause” and only with the approval of two-thirds of our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require super-majority voting to amend some provisions in our restated certificate of incorporation and amended and restated bylaws, unless such amendments are approved by two-thirds of our board of directors, in which case stockholders can approve by a simple majority;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authorize the issuance of “blank check” preferred stock that our board could use to implement a stockholder rights plan;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eliminate the ability of our stockholders to call special meetings of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prohibit stockholder action by written consent, which requires all stockholder actions to be taken at a meeting of our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prohibit cumulative voting;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 advance notice requirements for nominations for election to our board or for proposing matters that can be acted upon by stockholders at annual stockholder meetings.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885"/>
                <wp:effectExtent l="0" t="0" r="0" b="0"/>
                <wp:wrapNone/>
                <wp:docPr id="100" name="Frame10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restated certificate of incorporation and our amended and restated bylaws contain exclusive forum provisions for certain claims, which could limit our stockholders’ ability to obtain a favorable judicial forum for disputes with us or our directors, officers or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Section 22 of the Securities Act of 1933, as amended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amended and restated bylaws to be inapplicable or unenforceable in an action, we may incur additional costs associated with resolving such action in other jurisdictions, which could harm our business, results of operations and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will continue to incur increased costs as a result of operating as a public company, and our management will be required to devote substantial time to new compliance initiatives and corporate governance practices.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incur significant legal, accounting and other expenses. We are subject to the reporting requirements of the Exchange Act, the Sarbanes-Oxley Act, the Dodd-Frank Wall Street Reform and Consumer Protection Act, the listing requirements of Nasdaq and other applicable securities rules and regulations which impose various requirements on public companies, including establishment and maintenance of effective disclosure and financial controls and corporate governance practices. Compliance with these rules and regulations may strain our financial and management systems, internal controls, and employees. For example, the Exchange Act requires, among other things, that we file annual, quarterly, and current reports with respect to our business and results of operations and the disclosure requirements under the Exchange Act are subject to change from time to time. Complying with these new disclosure obligations once applicable to our company, or any or any additional new disclosure requirements that may apply to us in the future, could cause us to incur substantial costs and could increase negative publicity surrounding any incident that we are required to disclose. Any failure or perceived failure by us to comply with these obligations may also subject us to enforcement action or litigation, any of which could harm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Therefore, as a result of being a public company, 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885"/>
                <wp:effectExtent l="0" t="0" r="0" b="0"/>
                <wp:wrapNone/>
                <wp:docPr id="101" name="Frame10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maintain effective internal control over financial reporting, our ability to produce accurate and timely financial statements could be impaired, which could harm our results of operations, investors’ views of us and, as a result, the value of our common stock.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reporting on our assessment of the effectiveness of our internal control over financial reporting needs to include disclosure of any material weaknesses identified in our internal control over financial reporting. Moreover, based on the market value of our common stock held by non-affiliates as of May 31, 2024, we are considered a large accelerated filer under SEC rules effective November 30, 2024, and, as a result, our independent registered public accounting firm is required to audit the effectiveness of our internal control over financial reporting pursuant to Section 404(b) of the Sarbanes-Oxley Act (Section 404(b)). Compliance with Section 404(b) will result in increased costs, expenses, and management resources. Undetected material weaknesses in our internal control over financial reporting could lead to financial statement restatements and require us to incur the expense of remediation. For example, we previously identified material weaknesses in our internal control over financial reporting for the fiscal year ended November 30, 2021, related to controls over segregation of duties in our journal entry and account reconciliation processes, and certain information technology general controls. The material weaknesses identified did not result in any misstatement of our financial statements and during the year ended November 30, 2022, the material weaknesses was remediated. However, we cannot assure you that the measures we have taken to date, and actions we may take in the future, will prevent or avoid potential future material weaknesses.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results of operations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 </w:t>
      </w:r>
    </w:p>
    <w:p>
      <w:pPr>
        <w:pStyle w:val="TextBody"/>
        <w:bidi w:val="0"/>
        <w:spacing w:lineRule="auto" w:line="288" w:before="240" w:after="283"/>
        <w:jc w:val="left"/>
        <w:rPr/>
      </w:pPr>
      <w:r>
        <w:rPr>
          <w:rFonts w:ascii="Times New Roman;serif" w:hAnsi="Times New Roman;serif"/>
          <w:b/>
          <w:i/>
          <w:color w:val="000000"/>
          <w:sz w:val="20"/>
        </w:rPr>
        <w:t xml:space="preserve">We no longer qualify as a </w:t>
      </w:r>
      <w:r>
        <w:rPr>
          <w:color w:val="000000"/>
        </w:rPr>
        <w:t>“</w:t>
      </w:r>
      <w:r>
        <w:rPr>
          <w:rFonts w:ascii="Times New Roman;serif" w:hAnsi="Times New Roman;serif"/>
          <w:b/>
          <w:i/>
          <w:color w:val="000000"/>
          <w:sz w:val="20"/>
        </w:rPr>
        <w:t>smaller reporting company</w:t>
      </w:r>
      <w:r>
        <w:rPr>
          <w:color w:val="000000"/>
        </w:rPr>
        <w:t xml:space="preserve">” </w:t>
      </w:r>
      <w:r>
        <w:rPr>
          <w:rFonts w:ascii="Times New Roman;serif" w:hAnsi="Times New Roman;serif"/>
          <w:b/>
          <w:i/>
          <w:color w:val="000000"/>
          <w:sz w:val="20"/>
        </w:rPr>
        <w:t>and we may no longer take advantage of the reduced disclosure and reporting requirements applicable to smaller reporting companies.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the market value of our common stock held by our non-affiliates as of May 31, 2024, effective November 30, 2024, we no longer qualify as a “smaller reporting company” as defined by the SEC . Accordingly, beginning with our quarterly report on Form 10-Q for the fiscal quarter ended February 28, 2025, we were no longer eligible to rely on the reduced disclosure and reporting requirements applicable to smaller reporting companies. Any failure to comply with the increased disclosure and reporting requirements could have an adverse effect on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Because we do not anticipate paying any cash dividends on our capital stock in the foreseeable future, capital appreciation, if any, will be your sole source of gain.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885"/>
                <wp:effectExtent l="0" t="0" r="0" b="0"/>
                <wp:wrapNone/>
                <wp:docPr id="102" name="Frame10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subject to securities litigation, which is expensive and could divert management attention.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22885"/>
                <wp:effectExtent l="0" t="0" r="0" b="0"/>
                <wp:wrapNone/>
                <wp:docPr id="103" name="Frame10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Use of Proceeds from Registered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Purchases of Equity Securities by Issuers and Affiliated Purchasers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Director and Section 16 Officer Rule 10b5-1 Trading Arrangements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director or Section 16 officer of the Company adopted or terminated a “Rule 10b5-1 trading arrangement” or “non-Rule 10b5-1 trading arrangement,” as each term is defined in Item 408(a) of Regulation S-K, during the three months ended May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885"/>
                <wp:effectExtent l="0" t="0" r="0" b="0"/>
                <wp:wrapNone/>
                <wp:docPr id="104" name="Frame10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66"/>
        <w:gridCol w:w="235"/>
        <w:gridCol w:w="236"/>
        <w:gridCol w:w="109"/>
        <w:gridCol w:w="109"/>
        <w:gridCol w:w="109"/>
        <w:gridCol w:w="1825"/>
        <w:gridCol w:w="1825"/>
        <w:gridCol w:w="1839"/>
        <w:gridCol w:w="182"/>
        <w:gridCol w:w="182"/>
        <w:gridCol w:w="181"/>
        <w:gridCol w:w="186"/>
        <w:gridCol w:w="147"/>
        <w:gridCol w:w="147"/>
        <w:gridCol w:w="224"/>
        <w:gridCol w:w="224"/>
        <w:gridCol w:w="225"/>
        <w:gridCol w:w="221"/>
        <w:gridCol w:w="221"/>
        <w:gridCol w:w="222"/>
        <w:gridCol w:w="375"/>
        <w:gridCol w:w="375"/>
        <w:gridCol w:w="540"/>
      </w:tblGrid>
      <w:tr>
        <w:trPr/>
        <w:tc>
          <w:tcPr>
            <w:tcW w:w="2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129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Filed or Furnished Herewith</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12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50531xxex101firsta.htm">
              <w:r>
                <w:rPr>
                  <w:rStyle w:val="InternetLink"/>
                  <w:rFonts w:ascii="Times New Roman;serif" w:hAnsi="Times New Roman;serif"/>
                  <w:b w:val="false"/>
                  <w:color w:val="0000FF"/>
                  <w:sz w:val="19"/>
                  <w:u w:val="single"/>
                </w:rPr>
                <w:t>Amendment No. 1 to Sublease Agreement, dated as of May 31, 2025, between Janssen Research &amp; Development, LLC and the Registrant</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50531x10qxex311.htm">
              <w:r>
                <w:rPr>
                  <w:rStyle w:val="InternetLink"/>
                  <w:rFonts w:ascii="Times New Roman;serif" w:hAnsi="Times New Roman;serif"/>
                  <w:b w:val="false"/>
                  <w:color w:val="0000FF"/>
                  <w:sz w:val="19"/>
                  <w:u w:val="single"/>
                </w:rPr>
                <w:t>Certification of Principal Executive Officer Pursuant to Rules 13a-14(a) and 15d-14(a) under the Securities Exchange Act of 1934, as Adopted Pursuant to Section 302 of the Sarbanes-Oxley Act of 2002</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50531x10qxex312.htm">
              <w:r>
                <w:rPr>
                  <w:rStyle w:val="InternetLink"/>
                  <w:rFonts w:ascii="Times New Roman;serif" w:hAnsi="Times New Roman;serif"/>
                  <w:b w:val="false"/>
                  <w:color w:val="0000FF"/>
                  <w:sz w:val="19"/>
                  <w:u w:val="single"/>
                </w:rPr>
                <w:t>Certification of Principal Financial Officer Pursuant to Rules 13a-14(a) and 15d-14(a) under the Securities Exchange Act of 1934, as Adopted Pursuant to Section 302 of the Sarbanes-Oxley Act of 2002</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50531x10qxex321.htm">
              <w:r>
                <w:rPr>
                  <w:rStyle w:val="InternetLink"/>
                  <w:rFonts w:ascii="Times New Roman;serif" w:hAnsi="Times New Roman;serif"/>
                  <w:b w:val="false"/>
                  <w:color w:val="0000FF"/>
                  <w:sz w:val="19"/>
                  <w:u w:val="single"/>
                </w:rPr>
                <w:t>Certification of Principal Executive Officer and Principal Financial and Accounting Officer Pursuant to 18 U.S.C. Section 1350, as Adopted Pursuant to Section 906 of the Sarbanes-Oxley Act of 2002</w:t>
              </w:r>
            </w:hyperlink>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Instance Document - the Instance Document does not appear in the Interactive Data File because its XBRL tags are embedded within the Inline XBRL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Schema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Calculation Linkbase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Definition Linkbase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Label Linkbase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Presentation Linkbase Document</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Cover Page Interactive Data File (formatted as Inline XBRL and included in exhibit 101)</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9"/>
              </w:rPr>
            </w:pPr>
            <w:r>
              <w:rPr>
                <w:rFonts w:ascii="Times New Roman;serif" w:hAnsi="Times New Roman;serif"/>
                <w:b w:val="false"/>
                <w:i/>
                <w:color w:val="000000"/>
                <w:sz w:val="19"/>
              </w:rPr>
              <w:t>Registrant has omitted portions of the exhibit as permitted under Item 601(b)(10) of Regulation S-K.</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9"/>
              </w:rPr>
            </w:pPr>
            <w:r>
              <w:rPr>
                <w:rFonts w:ascii="Times New Roman;serif" w:hAnsi="Times New Roman;serif"/>
                <w:b w:val="false"/>
                <w:i/>
                <w:color w:val="000000"/>
                <w:sz w:val="19"/>
              </w:rPr>
              <w:t>Registrant has omitted certain schedules pursuant to Item 601(a)(5) of Regulation S-K.</w:t>
            </w:r>
          </w:p>
        </w:tc>
      </w:tr>
      <w:tr>
        <w:trPr/>
        <w:tc>
          <w:tcPr>
            <w:tcW w:w="73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1"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9"/>
              </w:rPr>
            </w:pPr>
            <w:r>
              <w:rPr>
                <w:rFonts w:ascii="Times New Roman;serif" w:hAnsi="Times New Roman;serif"/>
                <w:b w:val="false"/>
                <w:i/>
                <w:color w:val="000000"/>
                <w:sz w:val="19"/>
              </w:rPr>
              <w:t>The certifications furnished in Exhibits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8d92877193c74637b111fc9812f07c6f_13">
        <w:r>
          <w:rPr>
            <w:rStyle w:val="InternetLink"/>
          </w:rPr>
          <w:t xml:space="preserve">Table of </w:t>
        </w:r>
      </w:hyperlink>
      <w:hyperlink w:anchor="i8d92877193c74637b111fc9812f07c6f_13">
        <w:r>
          <w:rPr>
            <w:rStyle w:val="InternetLink"/>
          </w:rPr>
          <w:t>Contents</w:t>
        </w:r>
      </w:hyperlink>
    </w:p>
    <w:p>
      <w:pPr>
        <w:pStyle w:val="TextBody"/>
        <w:bidi w:val="0"/>
        <w:spacing w:lineRule="auto" w:line="276"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6881" w:type="dxa"/>
        <w:jc w:val="left"/>
        <w:tblInd w:w="0" w:type="dxa"/>
        <w:tblLayout w:type="fixed"/>
        <w:tblCellMar>
          <w:top w:w="28" w:type="dxa"/>
          <w:left w:w="28" w:type="dxa"/>
          <w:bottom w:w="28" w:type="dxa"/>
          <w:right w:w="28" w:type="dxa"/>
        </w:tblCellMar>
      </w:tblPr>
      <w:tblGrid>
        <w:gridCol w:w="580"/>
        <w:gridCol w:w="511"/>
        <w:gridCol w:w="514"/>
        <w:gridCol w:w="439"/>
        <w:gridCol w:w="439"/>
        <w:gridCol w:w="439"/>
        <w:gridCol w:w="1158"/>
        <w:gridCol w:w="1158"/>
        <w:gridCol w:w="1643"/>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NURIX THERAPEUTICS,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9, 2025</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9, 2025</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H</w:t>
            </w:r>
            <w:r>
              <w:rPr>
                <w:rFonts w:ascii="Times New Roman;serif" w:hAnsi="Times New Roman;serif"/>
                <w:b w:val="false"/>
                <w:color w:val="000000"/>
                <w:sz w:val="16"/>
              </w:rPr>
              <w:t>ANS</w:t>
            </w:r>
            <w:r>
              <w:rPr>
                <w:color w:val="000000"/>
              </w:rPr>
              <w:t xml:space="preserve"> </w:t>
            </w:r>
            <w:r>
              <w:rPr>
                <w:rFonts w:ascii="Times New Roman;serif" w:hAnsi="Times New Roman;serif"/>
                <w:b w:val="false"/>
                <w:color w:val="000000"/>
                <w:sz w:val="16"/>
              </w:rPr>
              <w:t>VAN</w:t>
            </w:r>
            <w:r>
              <w:rPr>
                <w:color w:val="000000"/>
              </w:rPr>
              <w:t xml:space="preserve"> </w:t>
            </w:r>
            <w:r>
              <w:rPr>
                <w:rFonts w:ascii="Times New Roman;serif" w:hAnsi="Times New Roman;serif"/>
                <w:b w:val="false"/>
                <w:color w:val="000000"/>
                <w:sz w:val="20"/>
              </w:rPr>
              <w:t>H</w:t>
            </w:r>
            <w:r>
              <w:rPr>
                <w:rFonts w:ascii="Times New Roman;serif" w:hAnsi="Times New Roman;serif"/>
                <w:b w:val="false"/>
                <w:color w:val="000000"/>
                <w:sz w:val="16"/>
              </w:rPr>
              <w:t>OUTE</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Hans van Houte</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2885"/>
                <wp:effectExtent l="0" t="0" r="0" b="0"/>
                <wp:wrapNone/>
                <wp:docPr id="106" name="Frame10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CERTAIN CONFIDENTIAL INFORMATION CONTAINED IN THIS DOCUMENT, MARKED BY [*], HAS BEEN OMITTED BECAUSE IT IS NOT MATERIAL AND WOULD LIKELY CAUSE COMPETITIVE HARM TO THE COMPANY IF PUBLICLY DISCLOSED.</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FIRST AMENDMENT TO SUBLEASE</w:t>
      </w:r>
    </w:p>
    <w:p>
      <w:pPr>
        <w:pStyle w:val="TextBody"/>
        <w:bidi w:val="0"/>
        <w:spacing w:lineRule="auto" w:line="288" w:before="0" w:after="240"/>
        <w:ind w:left="0" w:right="0" w:hanging="90"/>
        <w:jc w:val="center"/>
        <w:rPr>
          <w:rFonts w:ascii="Times New Roman;serif" w:hAnsi="Times New Roman;serif"/>
          <w:b/>
          <w:color w:val="000000"/>
          <w:sz w:val="24"/>
        </w:rPr>
      </w:pPr>
      <w:r>
        <w:rPr>
          <w:rFonts w:ascii="Times New Roman;serif" w:hAnsi="Times New Roman;serif"/>
          <w:b/>
          <w:color w:val="000000"/>
          <w:sz w:val="24"/>
        </w:rPr>
        <w:t>Nurix Contract No. 11791</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FIRST AMENDMENT TO SUBLEASE (this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dated May 31, 2025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is made by and between Janssen Research &amp; Development, LLC, a New Jersey limited liability company, having an address at 410 George Stret, New Brunswick, New Jersey 08901 (“</w:t>
      </w:r>
      <w:r>
        <w:rPr>
          <w:rFonts w:ascii="Times New Roman;serif" w:hAnsi="Times New Roman;serif"/>
          <w:b/>
          <w:color w:val="000000"/>
          <w:sz w:val="24"/>
        </w:rPr>
        <w:t>Sublandlord</w:t>
      </w:r>
      <w:r>
        <w:rPr>
          <w:color w:val="000000"/>
        </w:rPr>
        <w:t>”</w:t>
      </w:r>
      <w:r>
        <w:rPr>
          <w:rFonts w:ascii="Times New Roman;serif" w:hAnsi="Times New Roman;serif"/>
          <w:b w:val="false"/>
          <w:color w:val="000000"/>
          <w:sz w:val="24"/>
        </w:rPr>
        <w:t>) and Nurix Therapeutics, Inc., a Delaware corporation, having an address at 1700 Owens Street, Suite 205, San Francisco, California 94158 (“</w:t>
      </w:r>
      <w:r>
        <w:rPr>
          <w:rFonts w:ascii="Times New Roman;serif" w:hAnsi="Times New Roman;serif"/>
          <w:b/>
          <w:color w:val="000000"/>
          <w:sz w:val="24"/>
        </w:rPr>
        <w:t>Subtenant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RECITALS</w:t>
      </w:r>
    </w:p>
    <w:p>
      <w:pPr>
        <w:pStyle w:val="TextBody"/>
        <w:bidi w:val="0"/>
        <w:spacing w:lineRule="auto" w:line="240" w:before="0" w:after="240"/>
        <w:ind w:left="0" w:right="0" w:hanging="360"/>
        <w:jc w:val="both"/>
        <w:rPr/>
      </w:pPr>
      <w:r>
        <w:rPr>
          <w:rFonts w:ascii="Times New Roman;serif" w:hAnsi="Times New Roman;serif"/>
          <w:b w:val="false"/>
          <w:color w:val="000000"/>
          <w:sz w:val="24"/>
        </w:rPr>
        <w:t>A.HCP LS Brisbane, LLC, as landlord (“</w:t>
      </w:r>
      <w:r>
        <w:rPr>
          <w:rFonts w:ascii="Times New Roman;serif" w:hAnsi="Times New Roman;serif"/>
          <w:b/>
          <w:color w:val="000000"/>
          <w:sz w:val="24"/>
        </w:rPr>
        <w:t>Master Landlord</w:t>
      </w:r>
      <w:r>
        <w:rPr>
          <w:color w:val="000000"/>
        </w:rPr>
        <w:t>”</w:t>
      </w:r>
      <w:r>
        <w:rPr>
          <w:rFonts w:ascii="Times New Roman;serif" w:hAnsi="Times New Roman;serif"/>
          <w:b w:val="false"/>
          <w:color w:val="000000"/>
          <w:sz w:val="24"/>
        </w:rPr>
        <w:t>) and Sublandlord (as assigned by Janssen Biopharma, Inc.) as tenant, entered into that certain Lease dated December 12, 2019 (the “</w:t>
      </w:r>
      <w:r>
        <w:rPr>
          <w:rFonts w:ascii="Times New Roman;serif" w:hAnsi="Times New Roman;serif"/>
          <w:b/>
          <w:color w:val="000000"/>
          <w:sz w:val="24"/>
        </w:rPr>
        <w:t>Original Lease</w:t>
      </w:r>
      <w:r>
        <w:rPr>
          <w:color w:val="000000"/>
        </w:rPr>
        <w:t>”</w:t>
      </w:r>
      <w:r>
        <w:rPr>
          <w:rFonts w:ascii="Times New Roman;serif" w:hAnsi="Times New Roman;serif"/>
          <w:b w:val="false"/>
          <w:color w:val="000000"/>
          <w:sz w:val="24"/>
        </w:rPr>
        <w:t>), as amended by</w:t>
      </w:r>
      <w:r>
        <w:rPr>
          <w:color w:val="000000"/>
          <w:shd w:fill="FFFFFF" w:val="clear"/>
        </w:rPr>
        <w:t xml:space="preserve"> </w:t>
      </w:r>
      <w:r>
        <w:rPr>
          <w:rFonts w:ascii="Times New Roman;serif" w:hAnsi="Times New Roman;serif"/>
          <w:b w:val="false"/>
          <w:color w:val="000000"/>
          <w:sz w:val="24"/>
          <w:shd w:fill="FFFFFF" w:val="clear"/>
        </w:rPr>
        <w:t>a First Amendment of Office Lease dated September 12, 2020 (the “</w:t>
      </w:r>
      <w:r>
        <w:rPr>
          <w:rFonts w:ascii="Times New Roman;serif" w:hAnsi="Times New Roman;serif"/>
          <w:b/>
          <w:color w:val="000000"/>
          <w:sz w:val="24"/>
          <w:shd w:fill="FFFFFF" w:val="clear"/>
        </w:rPr>
        <w:t>First Amendment</w:t>
      </w:r>
      <w:r>
        <w:rPr>
          <w:color w:val="000000"/>
          <w:shd w:fill="FFFFFF" w:val="clear"/>
        </w:rPr>
        <w:t>”</w:t>
      </w:r>
      <w:r>
        <w:rPr>
          <w:rFonts w:ascii="Times New Roman;serif" w:hAnsi="Times New Roman;serif"/>
          <w:b w:val="false"/>
          <w:color w:val="000000"/>
          <w:sz w:val="24"/>
          <w:shd w:fill="FFFFFF" w:val="clear"/>
        </w:rPr>
        <w:t>) and an Assignment dated December 17, 2021 (the “</w:t>
      </w:r>
      <w:r>
        <w:rPr>
          <w:rFonts w:ascii="Times New Roman;serif" w:hAnsi="Times New Roman;serif"/>
          <w:b/>
          <w:color w:val="000000"/>
          <w:sz w:val="24"/>
          <w:shd w:fill="FFFFFF" w:val="clear"/>
        </w:rPr>
        <w:t>Assignment</w:t>
      </w:r>
      <w:r>
        <w:rPr>
          <w:color w:val="000000"/>
          <w:shd w:fill="FFFFFF" w:val="clear"/>
        </w:rPr>
        <w:t>”</w:t>
      </w:r>
      <w:r>
        <w:rPr>
          <w:rFonts w:ascii="Times New Roman;serif" w:hAnsi="Times New Roman;serif"/>
          <w:b w:val="false"/>
          <w:color w:val="000000"/>
          <w:sz w:val="24"/>
          <w:shd w:fill="FFFFFF" w:val="clear"/>
        </w:rPr>
        <w:t xml:space="preserve">). The </w:t>
      </w:r>
      <w:r>
        <w:rPr>
          <w:rFonts w:ascii="Times New Roman;serif" w:hAnsi="Times New Roman;serif"/>
          <w:b/>
          <w:color w:val="000000"/>
          <w:sz w:val="24"/>
          <w:shd w:fill="FFFFFF" w:val="clear"/>
        </w:rPr>
        <w:t>Original Lease</w:t>
      </w:r>
      <w:r>
        <w:rPr>
          <w:rFonts w:ascii="Times New Roman;serif" w:hAnsi="Times New Roman;serif"/>
          <w:b w:val="false"/>
          <w:color w:val="000000"/>
          <w:sz w:val="24"/>
          <w:shd w:fill="FFFFFF" w:val="clear"/>
        </w:rPr>
        <w:t xml:space="preserve">, </w:t>
      </w:r>
      <w:r>
        <w:rPr>
          <w:rFonts w:ascii="Times New Roman;serif" w:hAnsi="Times New Roman;serif"/>
          <w:b/>
          <w:color w:val="000000"/>
          <w:sz w:val="24"/>
          <w:shd w:fill="FFFFFF" w:val="clear"/>
        </w:rPr>
        <w:t>First Amendment</w:t>
      </w:r>
      <w:r>
        <w:rPr>
          <w:color w:val="000000"/>
          <w:shd w:fill="FFFFFF" w:val="clear"/>
        </w:rPr>
        <w:t xml:space="preserve"> </w:t>
      </w:r>
      <w:r>
        <w:rPr>
          <w:rFonts w:ascii="Times New Roman;serif" w:hAnsi="Times New Roman;serif"/>
          <w:b w:val="false"/>
          <w:color w:val="000000"/>
          <w:sz w:val="24"/>
          <w:shd w:fill="FFFFFF" w:val="clear"/>
        </w:rPr>
        <w:t xml:space="preserve">and </w:t>
      </w:r>
      <w:r>
        <w:rPr>
          <w:rFonts w:ascii="Times New Roman;serif" w:hAnsi="Times New Roman;serif"/>
          <w:b/>
          <w:color w:val="000000"/>
          <w:sz w:val="24"/>
          <w:shd w:fill="FFFFFF" w:val="clear"/>
        </w:rPr>
        <w:t>Assignment</w:t>
      </w:r>
      <w:r>
        <w:rPr>
          <w:color w:val="000000"/>
          <w:shd w:fill="FFFFFF" w:val="clear"/>
        </w:rPr>
        <w:t xml:space="preserve"> </w:t>
      </w:r>
      <w:r>
        <w:rPr>
          <w:rFonts w:ascii="Times New Roman;serif" w:hAnsi="Times New Roman;serif"/>
          <w:b w:val="false"/>
          <w:color w:val="000000"/>
          <w:sz w:val="24"/>
          <w:shd w:fill="FFFFFF" w:val="clear"/>
        </w:rPr>
        <w:t>are collectively referred to herein as the “</w:t>
      </w:r>
      <w:r>
        <w:rPr>
          <w:rFonts w:ascii="Times New Roman;serif" w:hAnsi="Times New Roman;serif"/>
          <w:b/>
          <w:color w:val="000000"/>
          <w:sz w:val="24"/>
          <w:shd w:fill="FFFFFF" w:val="clear"/>
        </w:rPr>
        <w:t>Master Lease</w:t>
      </w:r>
      <w:r>
        <w:rPr>
          <w:color w:val="000000"/>
          <w:shd w:fill="FFFFFF" w:val="clear"/>
        </w:rPr>
        <w:t>”</w:t>
      </w:r>
      <w:r>
        <w:rPr>
          <w:rFonts w:ascii="Times New Roman;serif" w:hAnsi="Times New Roman;serif"/>
          <w:b w:val="false"/>
          <w:color w:val="000000"/>
          <w:sz w:val="24"/>
          <w:shd w:fill="FFFFFF" w:val="clear"/>
        </w:rPr>
        <w:t>.</w:t>
      </w:r>
    </w:p>
    <w:p>
      <w:pPr>
        <w:pStyle w:val="TextBody"/>
        <w:bidi w:val="0"/>
        <w:spacing w:lineRule="auto" w:line="240" w:before="0" w:after="240"/>
        <w:ind w:left="0" w:right="0" w:hanging="360"/>
        <w:jc w:val="both"/>
        <w:rPr/>
      </w:pPr>
      <w:r>
        <w:rPr>
          <w:rFonts w:ascii="Times New Roman;serif" w:hAnsi="Times New Roman;serif"/>
          <w:b w:val="false"/>
          <w:color w:val="000000"/>
          <w:sz w:val="24"/>
        </w:rPr>
        <w:t>B.Pursuant to the Master Lease, Sublandlord leases from Master Landlord approximately 195,888 rentable square feet (“</w:t>
      </w:r>
      <w:r>
        <w:rPr>
          <w:rFonts w:ascii="Times New Roman;serif" w:hAnsi="Times New Roman;serif"/>
          <w:b/>
          <w:color w:val="000000"/>
          <w:sz w:val="24"/>
        </w:rPr>
        <w:t>RSF</w:t>
      </w:r>
      <w:r>
        <w:rPr>
          <w:color w:val="000000"/>
        </w:rPr>
        <w:t>”</w:t>
      </w:r>
      <w:r>
        <w:rPr>
          <w:rFonts w:ascii="Times New Roman;serif" w:hAnsi="Times New Roman;serif"/>
          <w:b w:val="false"/>
          <w:color w:val="000000"/>
          <w:sz w:val="24"/>
        </w:rPr>
        <w:t>) of office space (the “</w:t>
      </w:r>
      <w:r>
        <w:rPr>
          <w:rFonts w:ascii="Times New Roman;serif" w:hAnsi="Times New Roman;serif"/>
          <w:b/>
          <w:color w:val="000000"/>
          <w:sz w:val="24"/>
        </w:rPr>
        <w:t>Premises</w:t>
      </w:r>
      <w:r>
        <w:rPr>
          <w:color w:val="000000"/>
        </w:rPr>
        <w:t>”</w:t>
      </w:r>
      <w:r>
        <w:rPr>
          <w:rFonts w:ascii="Times New Roman;serif" w:hAnsi="Times New Roman;serif"/>
          <w:b w:val="false"/>
          <w:color w:val="000000"/>
          <w:sz w:val="24"/>
        </w:rPr>
        <w:t>) comprised of (i) approximately 159,959 RSF on the 1</w:t>
      </w:r>
      <w:r>
        <w:rPr>
          <w:rFonts w:ascii="Times New Roman;serif" w:hAnsi="Times New Roman;serif"/>
          <w:b w:val="false"/>
          <w:color w:val="000000"/>
          <w:sz w:val="16"/>
        </w:rPr>
        <w:t>st</w:t>
      </w:r>
      <w:r>
        <w:rPr>
          <w:rFonts w:ascii="Times New Roman;serif" w:hAnsi="Times New Roman;serif"/>
          <w:b w:val="false"/>
          <w:color w:val="000000"/>
          <w:sz w:val="24"/>
        </w:rPr>
        <w:t>, 2</w:t>
      </w:r>
      <w:r>
        <w:rPr>
          <w:rFonts w:ascii="Times New Roman;serif" w:hAnsi="Times New Roman;serif"/>
          <w:b w:val="false"/>
          <w:color w:val="000000"/>
          <w:sz w:val="16"/>
        </w:rPr>
        <w:t>nd</w:t>
      </w:r>
      <w:r>
        <w:rPr>
          <w:rFonts w:ascii="Times New Roman;serif" w:hAnsi="Times New Roman;serif"/>
          <w:b w:val="false"/>
          <w:color w:val="000000"/>
          <w:sz w:val="24"/>
        </w:rPr>
        <w:t>, 3</w:t>
      </w:r>
      <w:r>
        <w:rPr>
          <w:rFonts w:ascii="Times New Roman;serif" w:hAnsi="Times New Roman;serif"/>
          <w:b w:val="false"/>
          <w:color w:val="000000"/>
          <w:sz w:val="16"/>
        </w:rPr>
        <w:t xml:space="preserve">rd </w:t>
      </w:r>
      <w:r>
        <w:rPr>
          <w:rFonts w:ascii="Times New Roman;serif" w:hAnsi="Times New Roman;serif"/>
          <w:b w:val="false"/>
          <w:color w:val="000000"/>
          <w:sz w:val="24"/>
        </w:rPr>
        <w:t>and 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floors of Building B (the “</w:t>
      </w:r>
      <w:r>
        <w:rPr>
          <w:rFonts w:ascii="Times New Roman;serif" w:hAnsi="Times New Roman;serif"/>
          <w:b/>
          <w:color w:val="000000"/>
          <w:sz w:val="24"/>
        </w:rPr>
        <w:t>Current Premises</w:t>
      </w:r>
      <w:r>
        <w:rPr>
          <w:color w:val="000000"/>
        </w:rPr>
        <w:t>”</w:t>
      </w:r>
      <w:r>
        <w:rPr>
          <w:rFonts w:ascii="Times New Roman;serif" w:hAnsi="Times New Roman;serif"/>
          <w:b w:val="false"/>
          <w:color w:val="000000"/>
          <w:sz w:val="24"/>
        </w:rPr>
        <w:t>), and (ii) approximately 35,929 RSF on the 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of Building C located at 1400 Sierra Point Parkway, all as further set forth in Exhibit A</w:t>
      </w:r>
      <w:r>
        <w:rPr>
          <w:color w:val="000000"/>
        </w:rPr>
        <w:t xml:space="preserve"> </w:t>
      </w:r>
      <w:r>
        <w:rPr>
          <w:rFonts w:ascii="Times New Roman;serif" w:hAnsi="Times New Roman;serif"/>
          <w:b w:val="false"/>
          <w:color w:val="000000"/>
          <w:sz w:val="24"/>
        </w:rPr>
        <w:t>to the Master Lease. The Premises are located in the project currently known as “The Shore at Sierra Point”, and containing approximately 625,000 square feet, and shown on Exhibit “A-1” in the Master Lease.</w:t>
      </w:r>
    </w:p>
    <w:p>
      <w:pPr>
        <w:pStyle w:val="TextBody"/>
        <w:bidi w:val="0"/>
        <w:spacing w:lineRule="auto" w:line="240" w:before="0" w:after="240"/>
        <w:ind w:left="0" w:right="0" w:hanging="360"/>
        <w:jc w:val="both"/>
        <w:rPr/>
      </w:pPr>
      <w:r>
        <w:rPr>
          <w:rFonts w:ascii="Times New Roman;serif" w:hAnsi="Times New Roman;serif"/>
          <w:b w:val="false"/>
          <w:color w:val="000000"/>
          <w:sz w:val="24"/>
        </w:rPr>
        <w:t>C.Sublandlord and Subtenant entered into that certain Sublease dated February 21, 2025 (the “</w:t>
      </w:r>
      <w:r>
        <w:rPr>
          <w:rFonts w:ascii="Times New Roman;serif" w:hAnsi="Times New Roman;serif"/>
          <w:b/>
          <w:color w:val="000000"/>
          <w:sz w:val="24"/>
        </w:rPr>
        <w:t>Original</w:t>
      </w:r>
      <w:r>
        <w:rPr>
          <w:color w:val="000000"/>
        </w:rPr>
        <w:t xml:space="preserve"> </w:t>
      </w:r>
      <w:r>
        <w:rPr>
          <w:rFonts w:ascii="Times New Roman;serif" w:hAnsi="Times New Roman;serif"/>
          <w:b/>
          <w:color w:val="000000"/>
          <w:sz w:val="24"/>
        </w:rPr>
        <w:t>Sublease</w:t>
      </w:r>
      <w:r>
        <w:rPr>
          <w:color w:val="000000"/>
        </w:rPr>
        <w:t>”</w:t>
      </w:r>
      <w:r>
        <w:rPr>
          <w:rFonts w:ascii="Times New Roman;serif" w:hAnsi="Times New Roman;serif"/>
          <w:b w:val="false"/>
          <w:color w:val="000000"/>
          <w:sz w:val="24"/>
        </w:rPr>
        <w:t>), whereby Sublandlord leased to Subtenant the Current Premises.</w:t>
      </w:r>
    </w:p>
    <w:p>
      <w:pPr>
        <w:pStyle w:val="TextBody"/>
        <w:bidi w:val="0"/>
        <w:spacing w:lineRule="auto" w:line="240" w:before="0" w:after="240"/>
        <w:ind w:left="0" w:right="0" w:hanging="360"/>
        <w:jc w:val="both"/>
        <w:rPr/>
      </w:pPr>
      <w:r>
        <w:rPr>
          <w:rFonts w:ascii="Times New Roman;serif" w:hAnsi="Times New Roman;serif"/>
          <w:b w:val="false"/>
          <w:color w:val="000000"/>
          <w:sz w:val="24"/>
        </w:rPr>
        <w:t>D.Pursuant to Section 20 of the Original Sublease, Sublandlord and Subtenant desire to exercise the ROFO (as defined in the Original Sublease) and expand the Current Premises by an additional approximately 35,929 RSF on the 4</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of Building C (the “</w:t>
      </w:r>
      <w:r>
        <w:rPr>
          <w:rFonts w:ascii="Times New Roman;serif" w:hAnsi="Times New Roman;serif"/>
          <w:b/>
          <w:color w:val="000000"/>
          <w:sz w:val="24"/>
        </w:rPr>
        <w:t>Expansion Premises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E.Sublandlord and Subtenant desire to amend the Original Sublease on the terms and conditions set forth below.</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recitals and the mutual covenants contained herein, and for other good and valuable consideration, the receipt and sufficiency of which are hereby acknowledged, Sublandlord and Subtenant hereby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Capitalized Terms</w:t>
      </w:r>
      <w:r>
        <w:rPr>
          <w:rFonts w:ascii="Times New Roman;serif" w:hAnsi="Times New Roman;serif"/>
          <w:b w:val="false"/>
          <w:color w:val="000000"/>
          <w:sz w:val="24"/>
        </w:rPr>
        <w:t>. All capitalized terms when used herein shall have the same meanings given such terms in the Original Sublease unless expressly superseded by the terms of this Amendment. All references in the Original Sublease and in this Amendment to “</w:t>
      </w:r>
      <w:r>
        <w:rPr>
          <w:rFonts w:ascii="Times New Roman;serif" w:hAnsi="Times New Roman;serif"/>
          <w:b/>
          <w:color w:val="000000"/>
          <w:sz w:val="24"/>
        </w:rPr>
        <w:t>the Sublease</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this Sublease</w:t>
      </w:r>
      <w:r>
        <w:rPr>
          <w:color w:val="000000"/>
        </w:rPr>
        <w:t xml:space="preserve">” </w:t>
      </w:r>
      <w:r>
        <w:rPr>
          <w:rFonts w:ascii="Times New Roman;serif" w:hAnsi="Times New Roman;serif"/>
          <w:b w:val="false"/>
          <w:color w:val="000000"/>
          <w:sz w:val="24"/>
        </w:rPr>
        <w:t>shall be construed to mean the Original Sublease as amended and supplemented by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Subleased Premises</w:t>
      </w:r>
      <w:r>
        <w:rPr>
          <w:rFonts w:ascii="Times New Roman;serif" w:hAnsi="Times New Roman;serif"/>
          <w:b w:val="false"/>
          <w:color w:val="000000"/>
          <w:sz w:val="24"/>
        </w:rPr>
        <w:t>. Effective as of Effective Date, the Current Premises are increased by the Expansion Premises and the definition of “</w:t>
      </w:r>
      <w:r>
        <w:rPr>
          <w:rFonts w:ascii="Times New Roman;serif" w:hAnsi="Times New Roman;serif"/>
          <w:b/>
          <w:color w:val="000000"/>
          <w:sz w:val="24"/>
        </w:rPr>
        <w:t>Subleased Premises</w:t>
      </w:r>
      <w:r>
        <w:rPr>
          <w:color w:val="000000"/>
        </w:rPr>
        <w:t xml:space="preserve">” </w:t>
      </w:r>
      <w:r>
        <w:rPr>
          <w:rFonts w:ascii="Times New Roman;serif" w:hAnsi="Times New Roman;serif"/>
          <w:b w:val="false"/>
          <w:color w:val="000000"/>
          <w:sz w:val="24"/>
        </w:rPr>
        <w:t>under the Original Sublease, as amended by this Amendment, is hereby amended and restated to consist of the Current Premises and the Expansion Premises, together with rights in and to the non-exclusive use of certain common areas, if any, held by Sublandlord pursuant to the Master Lease. The Subleased Premises includes the entire Premises leased by Sublandlord pursuant to the Master Lease. Exhibit A of the Original Sublease is hereby amended and restated and replaced in its entirety with Exhibit A attached 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Master Landlord Consent</w:t>
      </w:r>
      <w:r>
        <w:rPr>
          <w:rFonts w:ascii="Times New Roman;serif" w:hAnsi="Times New Roman;serif"/>
          <w:b w:val="false"/>
          <w:color w:val="000000"/>
          <w:sz w:val="24"/>
        </w:rPr>
        <w:t>. Notwithstanding anything contained herein to the contrary, express or implied, the parties acknowledge and agree that this Amendment and any future amendment or modification of the Original Sublease shall be expressly contingent upon the written consent of Master Landlord. Master Landlord’s consent shall be evidenced by the Master Landlord’s execution of that certain Consent to Sublease Amendment dated on or about the date hereof, an executed copy of which is attached hereto as Exhibit B.</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Early Occupancy to Expansion Premises</w:t>
      </w:r>
      <w:r>
        <w:rPr>
          <w:rFonts w:ascii="Times New Roman;serif" w:hAnsi="Times New Roman;serif"/>
          <w:b w:val="false"/>
          <w:color w:val="000000"/>
          <w:sz w:val="24"/>
        </w:rPr>
        <w:t>. No later than June 1, 2025, Subtenant shall be allowed to occupy the Expansion Premises, pursuant to the terms and conditions of Section 4.3 of the Original Sublease. Subtenant shall not be obligated to pay Base Rent or Additional Rent with respect to the Expansion Premises until the Sublease Commencement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Amendment to Sublease</w:t>
      </w:r>
      <w:r>
        <w:rPr>
          <w:rFonts w:ascii="Times New Roman;serif" w:hAnsi="Times New Roman;serif"/>
          <w:b w:val="false"/>
          <w:color w:val="000000"/>
          <w:sz w:val="24"/>
        </w:rPr>
        <w:t>. The Original Sublease is hereby amended as follows:</w:t>
      </w:r>
    </w:p>
    <w:p>
      <w:pPr>
        <w:pStyle w:val="TextBody"/>
        <w:bidi w:val="0"/>
        <w:spacing w:lineRule="auto" w:line="240"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a.Section 2.5 of the Original Sublease is hereby amended and restated in its entirety as follows:</w:t>
      </w:r>
    </w:p>
    <w:p>
      <w:pPr>
        <w:pStyle w:val="TextBody"/>
        <w:bidi w:val="0"/>
        <w:spacing w:lineRule="auto" w:line="288" w:before="0" w:after="24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rPr>
        <w:t xml:space="preserve">During the Sublease Term, Subtenant shall have the right, at no cost to Subtenant, to use all of the parking spaces allocated to Sublandlord in accordance with Section 9 of the Summary and Section 28 of the Master Lease. Subtenant shall use such parking spaces during the Sublease Term in the same manner as permitted to Sublandlord under the Master Lease, provided, that, there shall be no additional charge or fee payable by Subtenant with respect to such parking spaces and Subtenant shall have no maintenance and/or repair obligations with respect thereto (except to the extent included in Operating Expenses). Subtenant shall ensure that Subtenant's employees, agents, contractors, invitees and visitors comply with such parking rules and regulations applicable to Subtenant pursuant to this Sublease. Without limiting the generality of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provision in the Sublease, Subtenant acknowledges that its use of such parking spaces is subject to the provisions of Section 28 of the Master Lease (with Sublandlord being Landlord, and Subtenant being Tenant, thereunder).”</w:t>
      </w:r>
    </w:p>
    <w:p>
      <w:pPr>
        <w:pStyle w:val="TextBody"/>
        <w:bidi w:val="0"/>
        <w:spacing w:lineRule="auto" w:line="240"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c.Section 2.8 of the Original Sublease is hereby deleted.</w:t>
      </w:r>
    </w:p>
    <w:p>
      <w:pPr>
        <w:pStyle w:val="TextBody"/>
        <w:bidi w:val="0"/>
        <w:spacing w:lineRule="auto" w:line="240"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d.Section 5.1 of the Original Sublease is hereby amended and restated in its entirety as follows:</w:t>
      </w:r>
    </w:p>
    <w:p>
      <w:pPr>
        <w:pStyle w:val="TextBody"/>
        <w:bidi w:val="0"/>
        <w:spacing w:lineRule="auto" w:line="288" w:before="0" w:after="240"/>
        <w:jc w:val="both"/>
        <w:rPr/>
      </w:pPr>
      <w:r>
        <w:rPr>
          <w:color w:val="000000"/>
        </w:rPr>
        <w:t>“</w:t>
      </w:r>
      <w:r>
        <w:rPr>
          <w:rFonts w:ascii="Times New Roman;serif" w:hAnsi="Times New Roman;serif"/>
          <w:b/>
          <w:color w:val="000000"/>
          <w:sz w:val="24"/>
        </w:rPr>
        <w:t>Base Rent</w:t>
      </w:r>
      <w:r>
        <w:rPr>
          <w:rFonts w:ascii="Times New Roman;serif" w:hAnsi="Times New Roman;serif"/>
          <w:b w:val="false"/>
          <w:color w:val="000000"/>
          <w:sz w:val="24"/>
        </w:rPr>
        <w:t>. Upon the Sublease Commencement Date and monthly thereafter, without any prior demand therefor, Subtenant agrees to pay to Sublandlord on or before the first (1st) day of each calendar month by ACH or wire transfer pursuant to written wire instructions provided to Subtenant which may be periodically updated by Sublandlord upon written notice to Subtenant, base rent for the Subleased Premises (the “</w:t>
      </w:r>
      <w:r>
        <w:rPr>
          <w:rFonts w:ascii="Times New Roman;serif" w:hAnsi="Times New Roman;serif"/>
          <w:b/>
          <w:color w:val="000000"/>
          <w:sz w:val="24"/>
        </w:rPr>
        <w:t>Base Rent</w:t>
      </w:r>
      <w:r>
        <w:rPr>
          <w:color w:val="000000"/>
        </w:rPr>
        <w:t>”</w:t>
      </w:r>
      <w:r>
        <w:rPr>
          <w:rFonts w:ascii="Times New Roman;serif" w:hAnsi="Times New Roman;serif"/>
          <w:b w:val="false"/>
          <w:color w:val="000000"/>
          <w:sz w:val="24"/>
        </w:rPr>
        <w:t>) in the amounts set forth in the schedule below for the corresponding periods of the Sublease Term:</w:t>
      </w:r>
    </w:p>
    <w:tbl>
      <w:tblPr>
        <w:tblW w:w="10205" w:type="dxa"/>
        <w:jc w:val="left"/>
        <w:tblInd w:w="0" w:type="dxa"/>
        <w:tblLayout w:type="fixed"/>
        <w:tblCellMar>
          <w:top w:w="28" w:type="dxa"/>
          <w:left w:w="28" w:type="dxa"/>
          <w:bottom w:w="28" w:type="dxa"/>
          <w:right w:w="28" w:type="dxa"/>
        </w:tblCellMar>
      </w:tblPr>
      <w:tblGrid>
        <w:gridCol w:w="1141"/>
        <w:gridCol w:w="1007"/>
        <w:gridCol w:w="1009"/>
        <w:gridCol w:w="1144"/>
        <w:gridCol w:w="1144"/>
        <w:gridCol w:w="1148"/>
        <w:gridCol w:w="575"/>
        <w:gridCol w:w="575"/>
        <w:gridCol w:w="577"/>
        <w:gridCol w:w="549"/>
        <w:gridCol w:w="549"/>
        <w:gridCol w:w="787"/>
      </w:tblGrid>
      <w:tr>
        <w:trPr/>
        <w:tc>
          <w:tcPr>
            <w:tcW w:w="114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315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a.Lease Year</w:t>
            </w:r>
          </w:p>
        </w:tc>
        <w:tc>
          <w:tcPr>
            <w:tcW w:w="3436"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a.Base Rent per Rentable Square Foot (RSF)</w:t>
            </w:r>
          </w:p>
        </w:tc>
        <w:tc>
          <w:tcPr>
            <w:tcW w:w="1727"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a.Annual Base Rent</w:t>
            </w:r>
          </w:p>
        </w:tc>
        <w:tc>
          <w:tcPr>
            <w:tcW w:w="1885"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a.Monthly Base Rent</w:t>
            </w:r>
          </w:p>
        </w:tc>
      </w:tr>
      <w:tr>
        <w:trPr/>
        <w:tc>
          <w:tcPr>
            <w:tcW w:w="31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a.Year 1 (Sept. 1, 2025 – Aug. 31, 2026)</w:t>
            </w:r>
          </w:p>
        </w:tc>
        <w:tc>
          <w:tcPr>
            <w:tcW w:w="3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c>
          <w:tcPr>
            <w:tcW w:w="17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c>
          <w:tcPr>
            <w:tcW w:w="18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r>
      <w:tr>
        <w:trPr/>
        <w:tc>
          <w:tcPr>
            <w:tcW w:w="31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a.Year 2 (Sept. 1, 2026 – Aug. 31, 2027)</w:t>
            </w:r>
          </w:p>
        </w:tc>
        <w:tc>
          <w:tcPr>
            <w:tcW w:w="3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c>
          <w:tcPr>
            <w:tcW w:w="17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c>
          <w:tcPr>
            <w:tcW w:w="18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r>
      <w:tr>
        <w:trPr/>
        <w:tc>
          <w:tcPr>
            <w:tcW w:w="31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a.Year 3 (Sept. 1, 2027 – Aug. 31, 2028)</w:t>
            </w:r>
          </w:p>
        </w:tc>
        <w:tc>
          <w:tcPr>
            <w:tcW w:w="3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c>
          <w:tcPr>
            <w:tcW w:w="17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c>
          <w:tcPr>
            <w:tcW w:w="18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r>
      <w:tr>
        <w:trPr/>
        <w:tc>
          <w:tcPr>
            <w:tcW w:w="31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a.Year 4 (Sept. 1, 2028 – Aug. 31, 2029)</w:t>
            </w:r>
          </w:p>
        </w:tc>
        <w:tc>
          <w:tcPr>
            <w:tcW w:w="3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c>
          <w:tcPr>
            <w:tcW w:w="17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c>
          <w:tcPr>
            <w:tcW w:w="18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r>
      <w:tr>
        <w:trPr/>
        <w:tc>
          <w:tcPr>
            <w:tcW w:w="31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a.Year 5 (Sept. 1, 2029 – Aug. 31, 2030)</w:t>
            </w:r>
          </w:p>
        </w:tc>
        <w:tc>
          <w:tcPr>
            <w:tcW w:w="3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c>
          <w:tcPr>
            <w:tcW w:w="17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c>
          <w:tcPr>
            <w:tcW w:w="18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r>
      <w:tr>
        <w:trPr/>
        <w:tc>
          <w:tcPr>
            <w:tcW w:w="315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a.Year 6 (Sept. 1, 2030 – Aug. 31, 2031)</w:t>
            </w:r>
          </w:p>
        </w:tc>
        <w:tc>
          <w:tcPr>
            <w:tcW w:w="343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c>
          <w:tcPr>
            <w:tcW w:w="172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c>
          <w:tcPr>
            <w:tcW w:w="188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r>
      <w:tr>
        <w:trPr/>
        <w:tc>
          <w:tcPr>
            <w:tcW w:w="315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a.Year 7 (Sept. 1, 2031)</w:t>
            </w:r>
          </w:p>
        </w:tc>
        <w:tc>
          <w:tcPr>
            <w:tcW w:w="343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c>
          <w:tcPr>
            <w:tcW w:w="172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c>
          <w:tcPr>
            <w:tcW w:w="188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w:t>
            </w:r>
          </w:p>
        </w:tc>
      </w:tr>
    </w:tbl>
    <w:p>
      <w:pPr>
        <w:pStyle w:val="TextBody"/>
        <w:bidi w:val="0"/>
        <w:spacing w:before="0" w:after="240"/>
        <w:jc w:val="left"/>
        <w:rPr/>
      </w:pPr>
      <w:r>
        <w:rPr/>
      </w:r>
    </w:p>
    <w:p>
      <w:pPr>
        <w:pStyle w:val="TextBody"/>
        <w:bidi w:val="0"/>
        <w:spacing w:lineRule="auto" w:line="240"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e.The first sentence of Section 5.2 of the Original Sublease is hereby amended and restated in its entirety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rPr>
        <w:t>Upon the Sublease Commencement Date, in addition to Base Rent, Sublandlord shall invoice Subtenant, and Subtenant shall pay, on a monthly basis, [*] percent ([*]</w:t>
      </w:r>
      <w:r>
        <w:rPr>
          <w:rFonts w:ascii="Times New Roman;serif" w:hAnsi="Times New Roman;serif"/>
          <w:b w:val="false"/>
          <w:color w:val="000000"/>
          <w:sz w:val="24"/>
          <w:u w:val="single"/>
        </w:rPr>
        <w:t>%</w:t>
      </w:r>
      <w:r>
        <w:rPr>
          <w:rFonts w:ascii="Times New Roman;serif" w:hAnsi="Times New Roman;serif"/>
          <w:b w:val="false"/>
          <w:color w:val="000000"/>
          <w:sz w:val="24"/>
        </w:rPr>
        <w:t>) of the Direct Expenses (as defined in the Master Lease to include Operating Expenses and Tax Expenses) paid by Sublandlord to Master Landlord pursuant to the terms of the Master Lease (“</w:t>
      </w:r>
      <w:r>
        <w:rPr>
          <w:rFonts w:ascii="Times New Roman;serif" w:hAnsi="Times New Roman;serif"/>
          <w:b/>
          <w:color w:val="000000"/>
          <w:sz w:val="24"/>
        </w:rPr>
        <w:t>Additional Rent</w:t>
      </w:r>
      <w:r>
        <w:rPr>
          <w:color w:val="000000"/>
        </w:rPr>
        <w:t>”</w:t>
      </w:r>
      <w:r>
        <w:rPr>
          <w:rFonts w:ascii="Times New Roman;serif" w:hAnsi="Times New Roman;serif"/>
          <w:b w:val="false"/>
          <w:color w:val="000000"/>
          <w:sz w:val="24"/>
        </w:rPr>
        <w:t xml:space="preserve">). For the avoidance of doubt, Subtenant and Sublandlord acknowledge and agree that Subtenant will be responsible for [*] of the Additional Rent attributable to the Expansion Premises.” </w:t>
      </w:r>
    </w:p>
    <w:p>
      <w:pPr>
        <w:pStyle w:val="TextBody"/>
        <w:bidi w:val="0"/>
        <w:spacing w:lineRule="auto" w:line="240"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g.Section 5.3 of the Original Sublease is hereby amended and restated in its entirety as follows:</w:t>
      </w:r>
    </w:p>
    <w:p>
      <w:pPr>
        <w:pStyle w:val="TextBody"/>
        <w:bidi w:val="0"/>
        <w:spacing w:lineRule="auto" w:line="288" w:before="240" w:after="283"/>
        <w:jc w:val="both"/>
        <w:rPr/>
      </w:pPr>
      <w:r>
        <w:rPr>
          <w:color w:val="000000"/>
        </w:rPr>
        <w:t>“</w:t>
      </w:r>
      <w:r>
        <w:rPr>
          <w:rFonts w:ascii="Times New Roman;serif" w:hAnsi="Times New Roman;serif"/>
          <w:b/>
          <w:color w:val="000000"/>
          <w:sz w:val="24"/>
        </w:rPr>
        <w:t>Abatement of Base Rent</w:t>
      </w:r>
      <w:r>
        <w:rPr>
          <w:rFonts w:ascii="Times New Roman;serif" w:hAnsi="Times New Roman;serif"/>
          <w:b w:val="false"/>
          <w:color w:val="000000"/>
          <w:sz w:val="24"/>
        </w:rPr>
        <w:t xml:space="preserve">. Provided that Subtenant is not in default under the Sublease beyond any applicable notice and cure period, Subtenant shall receive a credit against the Base Rent, as follows: </w:t>
      </w:r>
    </w:p>
    <w:p>
      <w:pPr>
        <w:pStyle w:val="TextBody"/>
        <w:bidi w:val="0"/>
        <w:spacing w:lineRule="auto" w:line="288" w:before="240" w:after="283"/>
        <w:ind w:left="0" w:right="0" w:hanging="720"/>
        <w:jc w:val="both"/>
        <w:rPr/>
      </w:pPr>
      <w:r>
        <w:rPr>
          <w:rFonts w:ascii="Times New Roman;serif" w:hAnsi="Times New Roman;serif"/>
          <w:b w:val="false"/>
          <w:color w:val="000000"/>
          <w:sz w:val="24"/>
        </w:rPr>
        <w:t>A.    </w:t>
      </w:r>
      <w:r>
        <w:rPr>
          <w:rFonts w:ascii="Times New Roman;serif" w:hAnsi="Times New Roman;serif"/>
          <w:b/>
          <w:color w:val="000000"/>
          <w:sz w:val="24"/>
        </w:rPr>
        <w:t xml:space="preserve">September 1, 2025 – December 31, 2025. </w:t>
      </w:r>
      <w:r>
        <w:rPr>
          <w:rFonts w:ascii="Times New Roman;serif" w:hAnsi="Times New Roman;serif"/>
          <w:b w:val="false"/>
          <w:color w:val="000000"/>
          <w:sz w:val="24"/>
        </w:rPr>
        <w:t xml:space="preserve">For the period of time from September 1, 2025 through December 31, 2025, Subtenant’s Base Rent shall be completely abated for </w:t>
      </w:r>
      <w:r>
        <w:rPr>
          <w:rFonts w:ascii="Times New Roman;serif" w:hAnsi="Times New Roman;serif"/>
          <w:b/>
          <w:color w:val="000000"/>
          <w:sz w:val="24"/>
        </w:rPr>
        <w:t>Floors 1, 2, 3 &amp; 4</w:t>
      </w:r>
      <w:r>
        <w:rPr>
          <w:color w:val="000000"/>
        </w:rPr>
        <w:t xml:space="preserve"> </w:t>
      </w:r>
      <w:r>
        <w:rPr>
          <w:rFonts w:ascii="Times New Roman;serif" w:hAnsi="Times New Roman;serif"/>
          <w:b w:val="false"/>
          <w:color w:val="000000"/>
          <w:sz w:val="24"/>
        </w:rPr>
        <w:t xml:space="preserve">and the </w:t>
      </w:r>
      <w:r>
        <w:rPr>
          <w:rFonts w:ascii="Times New Roman;serif" w:hAnsi="Times New Roman;serif"/>
          <w:b/>
          <w:color w:val="000000"/>
          <w:sz w:val="24"/>
        </w:rPr>
        <w:t>Expansion Premises</w:t>
      </w:r>
      <w:r>
        <w:rPr>
          <w:color w:val="000000"/>
        </w:rPr>
        <w:t xml:space="preserve"> </w:t>
      </w:r>
      <w:r>
        <w:rPr>
          <w:rFonts w:ascii="Times New Roman;serif" w:hAnsi="Times New Roman;serif"/>
          <w:b w:val="false"/>
          <w:color w:val="000000"/>
          <w:sz w:val="24"/>
        </w:rPr>
        <w:t>in the amount of [*] divided in equal monthly installments over 4 months.</w:t>
      </w:r>
    </w:p>
    <w:p>
      <w:pPr>
        <w:pStyle w:val="TextBody"/>
        <w:bidi w:val="0"/>
        <w:spacing w:lineRule="auto" w:line="288" w:before="240" w:after="283"/>
        <w:ind w:left="0" w:right="0" w:hanging="720"/>
        <w:jc w:val="both"/>
        <w:rPr/>
      </w:pPr>
      <w:r>
        <w:rPr>
          <w:rFonts w:ascii="Times New Roman;serif" w:hAnsi="Times New Roman;serif"/>
          <w:b w:val="false"/>
          <w:color w:val="000000"/>
          <w:sz w:val="24"/>
        </w:rPr>
        <w:t>B.    </w:t>
      </w:r>
      <w:r>
        <w:rPr>
          <w:rFonts w:ascii="Times New Roman;serif" w:hAnsi="Times New Roman;serif"/>
          <w:b/>
          <w:color w:val="000000"/>
          <w:sz w:val="24"/>
        </w:rPr>
        <w:t xml:space="preserve">January 1, 2026 - December 31, 2026. </w:t>
      </w:r>
      <w:r>
        <w:rPr>
          <w:rFonts w:ascii="Times New Roman;serif" w:hAnsi="Times New Roman;serif"/>
          <w:b w:val="false"/>
          <w:color w:val="000000"/>
          <w:sz w:val="24"/>
        </w:rPr>
        <w:t xml:space="preserve">For the period of time from January 1, 2026 through December 31, 2026, Subtenant’s Base Rent shall be abated in the total amount of [*], following the schedule below: </w:t>
      </w:r>
    </w:p>
    <w:p>
      <w:pPr>
        <w:pStyle w:val="TextBody"/>
        <w:bidi w:val="0"/>
        <w:spacing w:lineRule="auto" w:line="288" w:before="240" w:after="283"/>
        <w:ind w:left="0" w:right="0" w:hanging="720"/>
        <w:jc w:val="both"/>
        <w:rPr/>
      </w:pPr>
      <w:r>
        <w:rPr>
          <w:color w:val="000000"/>
        </w:rPr>
        <w:t>    </w:t>
      </w:r>
      <w:r>
        <w:rPr>
          <w:rFonts w:ascii="Times New Roman;serif" w:hAnsi="Times New Roman;serif"/>
          <w:b w:val="false"/>
          <w:color w:val="000000"/>
          <w:sz w:val="24"/>
        </w:rPr>
        <w:t xml:space="preserve">[*], divided equally over eight (8) months, between January 1, 2026 through August 31, 2026 (attributable to </w:t>
      </w:r>
      <w:r>
        <w:rPr>
          <w:rFonts w:ascii="Times New Roman;serif" w:hAnsi="Times New Roman;serif"/>
          <w:b/>
          <w:color w:val="000000"/>
          <w:sz w:val="24"/>
        </w:rPr>
        <w:t>Floor 1)</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24"/>
        </w:rPr>
        <w:t xml:space="preserve">[*], divided equally over three (3) months, between January 1, 2026 through March 31, 2026 (attributable to </w:t>
      </w:r>
      <w:r>
        <w:rPr>
          <w:rFonts w:ascii="Times New Roman;serif" w:hAnsi="Times New Roman;serif"/>
          <w:b/>
          <w:color w:val="000000"/>
          <w:sz w:val="24"/>
        </w:rPr>
        <w:t>Floors 2 &amp; 3)</w:t>
      </w:r>
    </w:p>
    <w:p>
      <w:pPr>
        <w:pStyle w:val="TextBody"/>
        <w:bidi w:val="0"/>
        <w:spacing w:lineRule="auto" w:line="288" w:before="240" w:after="283"/>
        <w:jc w:val="both"/>
        <w:rPr/>
      </w:pPr>
      <w:r>
        <w:rPr>
          <w:rFonts w:ascii="Times New Roman;serif" w:hAnsi="Times New Roman;serif"/>
          <w:b w:val="false"/>
          <w:color w:val="000000"/>
          <w:sz w:val="24"/>
        </w:rPr>
        <w:t xml:space="preserve">[*], divided equally over twelve (12) months, between January 1, 2026 through December 31, 2026 (attributable to </w:t>
      </w:r>
      <w:r>
        <w:rPr>
          <w:rFonts w:ascii="Times New Roman;serif" w:hAnsi="Times New Roman;serif"/>
          <w:b/>
          <w:color w:val="000000"/>
          <w:sz w:val="24"/>
        </w:rPr>
        <w:t>Floor 4</w:t>
      </w:r>
      <w:r>
        <w:rPr>
          <w:rFonts w:ascii="Times New Roman;serif" w:hAnsi="Times New Roman;serif"/>
          <w:b w:val="false"/>
          <w:color w:val="000000"/>
          <w:sz w:val="24"/>
        </w:rPr>
        <w:t>)</w:t>
      </w:r>
    </w:p>
    <w:p>
      <w:pPr>
        <w:pStyle w:val="TextBody"/>
        <w:bidi w:val="0"/>
        <w:spacing w:lineRule="auto" w:line="288" w:before="240" w:after="283"/>
        <w:jc w:val="both"/>
        <w:rPr/>
      </w:pPr>
      <w:r>
        <w:rPr>
          <w:rFonts w:ascii="Times New Roman;serif" w:hAnsi="Times New Roman;serif"/>
          <w:b w:val="false"/>
          <w:color w:val="000000"/>
          <w:sz w:val="24"/>
        </w:rPr>
        <w:t xml:space="preserve">[*], divided equally over twelve (12) months, between January 1, 2026 through December 31, 2026 (attributable to the </w:t>
      </w:r>
      <w:r>
        <w:rPr>
          <w:rFonts w:ascii="Times New Roman;serif" w:hAnsi="Times New Roman;serif"/>
          <w:b/>
          <w:color w:val="000000"/>
          <w:sz w:val="24"/>
        </w:rPr>
        <w:t>Expansion Premises</w:t>
      </w:r>
      <w:r>
        <w:rPr>
          <w:rFonts w:ascii="Times New Roman;serif" w:hAnsi="Times New Roman;serif"/>
          <w:b w:val="false"/>
          <w:color w:val="000000"/>
          <w:sz w:val="24"/>
        </w:rPr>
        <w:t>).</w:t>
      </w:r>
    </w:p>
    <w:p>
      <w:pPr>
        <w:pStyle w:val="TextBody"/>
        <w:bidi w:val="0"/>
        <w:spacing w:lineRule="auto" w:line="288" w:before="240" w:after="283"/>
        <w:ind w:left="0" w:right="0" w:hanging="720"/>
        <w:jc w:val="both"/>
        <w:rPr/>
      </w:pPr>
      <w:r>
        <w:rPr>
          <w:rFonts w:ascii="Times New Roman;serif" w:hAnsi="Times New Roman;serif"/>
          <w:b w:val="false"/>
          <w:color w:val="000000"/>
          <w:sz w:val="24"/>
        </w:rPr>
        <w:t>C.    </w:t>
      </w:r>
      <w:r>
        <w:rPr>
          <w:rFonts w:ascii="Times New Roman;serif" w:hAnsi="Times New Roman;serif"/>
          <w:b/>
          <w:color w:val="000000"/>
          <w:sz w:val="24"/>
        </w:rPr>
        <w:t xml:space="preserve">January 1, 2027 – December 31, 2027. </w:t>
      </w:r>
      <w:r>
        <w:rPr>
          <w:rFonts w:ascii="Times New Roman;serif" w:hAnsi="Times New Roman;serif"/>
          <w:b w:val="false"/>
          <w:color w:val="000000"/>
          <w:sz w:val="24"/>
        </w:rPr>
        <w:t xml:space="preserve">For the period of time from January 1, 2027 through December 31, 2027, Subtenant’s Base Rent shall be abated for the </w:t>
      </w:r>
      <w:r>
        <w:rPr>
          <w:rFonts w:ascii="Times New Roman;serif" w:hAnsi="Times New Roman;serif"/>
          <w:b/>
          <w:color w:val="000000"/>
          <w:sz w:val="24"/>
        </w:rPr>
        <w:t>4</w:t>
      </w:r>
      <w:r>
        <w:rPr>
          <w:rFonts w:ascii="Times New Roman;serif" w:hAnsi="Times New Roman;serif"/>
          <w:b/>
          <w:color w:val="000000"/>
          <w:sz w:val="16"/>
        </w:rPr>
        <w:t>th</w:t>
      </w:r>
      <w:r>
        <w:rPr>
          <w:color w:val="000000"/>
        </w:rPr>
        <w:t xml:space="preserve"> </w:t>
      </w:r>
      <w:r>
        <w:rPr>
          <w:rFonts w:ascii="Times New Roman;serif" w:hAnsi="Times New Roman;serif"/>
          <w:b/>
          <w:color w:val="000000"/>
          <w:sz w:val="24"/>
        </w:rPr>
        <w:t>floor</w:t>
      </w:r>
      <w:r>
        <w:rPr>
          <w:color w:val="000000"/>
        </w:rPr>
        <w:t xml:space="preserve"> </w:t>
      </w:r>
      <w:r>
        <w:rPr>
          <w:rFonts w:ascii="Times New Roman;serif" w:hAnsi="Times New Roman;serif"/>
          <w:b w:val="false"/>
          <w:color w:val="000000"/>
          <w:sz w:val="24"/>
        </w:rPr>
        <w:t xml:space="preserve">and the </w:t>
      </w:r>
      <w:r>
        <w:rPr>
          <w:rFonts w:ascii="Times New Roman;serif" w:hAnsi="Times New Roman;serif"/>
          <w:b/>
          <w:color w:val="000000"/>
          <w:sz w:val="24"/>
        </w:rPr>
        <w:t>Expansion Premises</w:t>
      </w:r>
      <w:r>
        <w:rPr>
          <w:color w:val="000000"/>
        </w:rPr>
        <w:t xml:space="preserve"> </w:t>
      </w:r>
      <w:r>
        <w:rPr>
          <w:rFonts w:ascii="Times New Roman;serif" w:hAnsi="Times New Roman;serif"/>
          <w:b w:val="false"/>
          <w:color w:val="000000"/>
          <w:sz w:val="24"/>
        </w:rPr>
        <w:t>in the amount of [*] divided in equal monthly installments over 12 months.</w:t>
      </w:r>
    </w:p>
    <w:p>
      <w:pPr>
        <w:pStyle w:val="TextBody"/>
        <w:bidi w:val="0"/>
        <w:spacing w:lineRule="auto" w:line="288" w:before="240" w:after="283"/>
        <w:ind w:left="0" w:right="0" w:hanging="720"/>
        <w:jc w:val="both"/>
        <w:rPr/>
      </w:pPr>
      <w:r>
        <w:rPr>
          <w:rFonts w:ascii="Times New Roman;serif" w:hAnsi="Times New Roman;serif"/>
          <w:b w:val="false"/>
          <w:color w:val="000000"/>
          <w:sz w:val="24"/>
        </w:rPr>
        <w:t xml:space="preserve">D.     </w:t>
      </w:r>
      <w:r>
        <w:rPr>
          <w:rFonts w:ascii="Times New Roman;serif" w:hAnsi="Times New Roman;serif"/>
          <w:b/>
          <w:color w:val="000000"/>
          <w:sz w:val="24"/>
        </w:rPr>
        <w:t>January 1, 2028 – September 30, 2031</w:t>
      </w:r>
      <w:r>
        <w:rPr>
          <w:rFonts w:ascii="Times New Roman;serif" w:hAnsi="Times New Roman;serif"/>
          <w:b w:val="false"/>
          <w:color w:val="000000"/>
          <w:sz w:val="24"/>
        </w:rPr>
        <w:t xml:space="preserve">. For the period of time from January 1, 2028 through September 30, 2031 Subtenant will pay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rent on all floors, in full, pursuant to base rent for the Subleased Premises (the “</w:t>
      </w:r>
      <w:r>
        <w:rPr>
          <w:rFonts w:ascii="Times New Roman;serif" w:hAnsi="Times New Roman;serif"/>
          <w:b/>
          <w:color w:val="000000"/>
          <w:sz w:val="24"/>
        </w:rPr>
        <w:t>Base Rent</w:t>
      </w:r>
      <w:r>
        <w:rPr>
          <w:color w:val="000000"/>
        </w:rPr>
        <w:t>”</w:t>
      </w:r>
      <w:r>
        <w:rPr>
          <w:rFonts w:ascii="Times New Roman;serif" w:hAnsi="Times New Roman;serif"/>
          <w:b w:val="false"/>
          <w:color w:val="000000"/>
          <w:sz w:val="24"/>
        </w:rPr>
        <w:t>) in the amounts set forth in the schedule above for the corresponding periods of the Sublease Term, without any additional abatement. Base Rent is divided into equal monthly installments.”</w:t>
      </w:r>
    </w:p>
    <w:p>
      <w:pPr>
        <w:pStyle w:val="TextBody"/>
        <w:bidi w:val="0"/>
        <w:spacing w:before="0" w:after="0"/>
        <w:ind w:left="0" w:right="0" w:hanging="720"/>
        <w:jc w:val="both"/>
        <w:rPr/>
      </w:pPr>
      <w:r>
        <w:rPr/>
      </w:r>
    </w:p>
    <w:p>
      <w:pPr>
        <w:pStyle w:val="TextBody"/>
        <w:bidi w:val="0"/>
        <w:spacing w:lineRule="auto" w:line="240"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h.The following shall be added as a new subsection D, immediately following subsection C, of Section 5.4 of the Original Sublease:</w:t>
      </w:r>
    </w:p>
    <w:p>
      <w:pPr>
        <w:pStyle w:val="TextBody"/>
        <w:bidi w:val="0"/>
        <w:spacing w:lineRule="auto" w:line="288" w:before="0" w:after="240"/>
        <w:ind w:left="0" w:right="0" w:hanging="810"/>
        <w:jc w:val="both"/>
        <w:rPr/>
      </w:pPr>
      <w:r>
        <w:rPr>
          <w:color w:val="000000"/>
        </w:rPr>
        <w:t>“</w:t>
      </w:r>
      <w:r>
        <w:rPr>
          <w:rFonts w:ascii="Times New Roman;serif" w:hAnsi="Times New Roman;serif"/>
          <w:b/>
          <w:color w:val="000000"/>
          <w:sz w:val="24"/>
        </w:rPr>
        <w:t>D</w:t>
      </w:r>
      <w:r>
        <w:rPr>
          <w:rFonts w:ascii="Times New Roman;serif" w:hAnsi="Times New Roman;serif"/>
          <w:b w:val="false"/>
          <w:color w:val="000000"/>
          <w:sz w:val="24"/>
        </w:rPr>
        <w:t>.     </w:t>
      </w:r>
      <w:r>
        <w:rPr>
          <w:rFonts w:ascii="Times New Roman;serif" w:hAnsi="Times New Roman;serif"/>
          <w:b/>
          <w:color w:val="000000"/>
          <w:sz w:val="24"/>
        </w:rPr>
        <w:t>September 1, 2025 – December 31, 2027</w:t>
      </w:r>
      <w:r>
        <w:rPr>
          <w:rFonts w:ascii="Times New Roman;serif" w:hAnsi="Times New Roman;serif"/>
          <w:b w:val="false"/>
          <w:color w:val="000000"/>
          <w:sz w:val="24"/>
        </w:rPr>
        <w:t>. With respect to the Expansion Premises, for the period of time from September 1, 2025 through December 31, 2027,</w:t>
      </w:r>
      <w:r>
        <w:rPr>
          <w:color w:val="000000"/>
        </w:rPr>
        <w:t xml:space="preserve"> </w:t>
      </w:r>
      <w:r>
        <w:rPr>
          <w:rFonts w:ascii="Times New Roman;serif" w:hAnsi="Times New Roman;serif"/>
          <w:b w:val="false"/>
          <w:color w:val="000000"/>
          <w:sz w:val="24"/>
        </w:rPr>
        <w:t>[*] of the Additional Rent attributable to Direct Expenses and Tax Expenses shall be abated.”</w:t>
      </w:r>
    </w:p>
    <w:p>
      <w:pPr>
        <w:pStyle w:val="TextBody"/>
        <w:bidi w:val="0"/>
        <w:spacing w:lineRule="auto" w:line="240"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i.Section 7.1 of the Original Sublease is hereby amended and restated in its entirety as follows:</w:t>
      </w:r>
    </w:p>
    <w:p>
      <w:pPr>
        <w:pStyle w:val="TextBody"/>
        <w:bidi w:val="0"/>
        <w:spacing w:lineRule="auto" w:line="288" w:before="0" w:after="240"/>
        <w:jc w:val="both"/>
        <w:rPr/>
      </w:pPr>
      <w:r>
        <w:rPr>
          <w:rFonts w:ascii="Times New Roman;serif" w:hAnsi="Times New Roman;serif"/>
          <w:b/>
          <w:color w:val="000000"/>
          <w:sz w:val="24"/>
        </w:rPr>
        <w:t>Utilities.</w:t>
      </w:r>
      <w:r>
        <w:rPr>
          <w:color w:val="000000"/>
        </w:rPr>
        <w:t xml:space="preserve"> </w:t>
      </w:r>
      <w:r>
        <w:rPr>
          <w:rFonts w:ascii="Times New Roman;serif" w:hAnsi="Times New Roman;serif"/>
          <w:b w:val="false"/>
          <w:color w:val="000000"/>
          <w:sz w:val="24"/>
        </w:rPr>
        <w:t xml:space="preserve">Prior to the Sublease Commencement Date, (i) all accounts with respect to the utilities serving the Subleased Premises shall be in the name of Master Landlord or Sublandlord and Sublandlord shall maintain and keep in continuous service all utility connections to the Subleased Premises, (ii) Sublandlord shall have the right to deliver to Subtenant a monthly invoice for all utilities consumed by Subtenant, and (iii) Subtenant shall pay to Sublandlord the cost of all such utilities consumed by Subtenant within fifteen (15) days or receipt of an invoice from Sublandlord.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Beginning on the Sublease Commencement Date, (a) all accounts with respect to the utilities serving the Subleased Premises shall be transferred into the name of Subtenant, (b) other than any utilities identified as Operating Expenses, Subtenant shall be responsible for all utilities and services at the Subleased Premises, (c) Sublandlord shall not be responsible for supplying utilities and services to the Subleased Premises, (d) Subtenant agrees to pay any costs, expenses or charges for such utilities and services within fifteen (15) days receipt of invoice from Sublandlord and (e) Sublandlord shall not be responsible for any interruption of utility services.</w:t>
      </w:r>
    </w:p>
    <w:p>
      <w:pPr>
        <w:pStyle w:val="TextBody"/>
        <w:bidi w:val="0"/>
        <w:spacing w:before="0" w:after="240"/>
        <w:ind w:left="0" w:right="0" w:hanging="81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Furniture, Fixtures and Equipment</w:t>
      </w:r>
      <w:r>
        <w:rPr>
          <w:rFonts w:ascii="Times New Roman;serif" w:hAnsi="Times New Roman;serif"/>
          <w:b w:val="false"/>
          <w:color w:val="000000"/>
          <w:sz w:val="24"/>
        </w:rPr>
        <w:t xml:space="preserve">. Sublandlord has elected to transfer ownership of the FF&amp;E located in the Expansion Premises to Subtenant via Bill of Sale in substantially the form attached as Exhibit E to the Original Sublease (with such necessary modifications thereto to refer to the Expansion Premises). The inventory of the FF&amp;E to be transferred is described on Exhibit C attached hereto. Notwithstanding the conveyance of such FF&amp;E pursuant to the Bill of Sale, any FF&amp;E remaining in the Expansion Premises on the Effective Date shall be transferred to Subtenant even if any such item is not listed on Exhibit C. Such transfer shall be at no cost to Subtenant and on an “AS IS” basis without any representation or warranties, express, implied, or statutory and shall take place on the Sublease Commencement Date. Subtenant shall be solely responsible for removing upon request the FF&amp;E upon expiration or the earlier termination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Original Sublease, as amended by this Amendment, or, in the alternative, the termination of any direct lease entered into between Subtenant and Master Landlord, if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Operations Matrix</w:t>
      </w:r>
      <w:r>
        <w:rPr>
          <w:rFonts w:ascii="Times New Roman;serif" w:hAnsi="Times New Roman;serif"/>
          <w:b w:val="false"/>
          <w:color w:val="000000"/>
          <w:sz w:val="24"/>
        </w:rPr>
        <w:t xml:space="preserve">. The operations matrix referred to in Section 7.2 of the Original Sublease and attached thereto as Exhibit D is hereby amended and restated in its entirety with Exhibit D attached hereto. </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Additional Security Deposit</w:t>
      </w:r>
      <w:r>
        <w:rPr>
          <w:rFonts w:ascii="Times New Roman;serif" w:hAnsi="Times New Roman;serif"/>
          <w:b w:val="false"/>
          <w:color w:val="000000"/>
          <w:sz w:val="24"/>
        </w:rPr>
        <w:t>. No later than three (3) business days following the Effective Date, Subtenant shall deposit with Sublandlord the sum of [*], which is an amount equal to [*] months of Base Rent for the Expansion Premises (the “</w:t>
      </w:r>
      <w:r>
        <w:rPr>
          <w:rFonts w:ascii="Times New Roman;serif" w:hAnsi="Times New Roman;serif"/>
          <w:b/>
          <w:color w:val="000000"/>
          <w:sz w:val="24"/>
        </w:rPr>
        <w:t>Expansion Security Deposit</w:t>
      </w:r>
      <w:r>
        <w:rPr>
          <w:color w:val="000000"/>
        </w:rPr>
        <w:t>”</w:t>
      </w:r>
      <w:r>
        <w:rPr>
          <w:rFonts w:ascii="Times New Roman;serif" w:hAnsi="Times New Roman;serif"/>
          <w:b w:val="false"/>
          <w:color w:val="000000"/>
          <w:sz w:val="24"/>
        </w:rPr>
        <w:t>). The Expansion Security Deposit shall become part of the Security Deposit (as defined in the Original Sublease).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Subtenant Improvement Allowance</w:t>
      </w:r>
      <w:r>
        <w:rPr>
          <w:rFonts w:ascii="Times New Roman;serif" w:hAnsi="Times New Roman;serif"/>
          <w:b w:val="false"/>
          <w:color w:val="000000"/>
          <w:sz w:val="24"/>
        </w:rPr>
        <w:t xml:space="preserve">. Notwithstanding that the size of the Subleased Premises is being increased pursuant to this Amendment, the Subtenant Improvement Allowance shall remain a fixed amount of [*]. </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Emergency Generator</w:t>
      </w:r>
      <w:r>
        <w:rPr>
          <w:rFonts w:ascii="Times New Roman;serif" w:hAnsi="Times New Roman;serif"/>
          <w:b w:val="false"/>
          <w:color w:val="000000"/>
          <w:sz w:val="24"/>
        </w:rPr>
        <w:t>. With respect to the Expansion Premises, Subtenant shall have access to the existing emergency Generator (as defined in the Master Lease) located in Room B-006, at no cost to Subtenant throughout the Sublease Term, except for Subtenant’s share of Operating Expenses attributable to the Generator.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Ratification</w:t>
      </w:r>
      <w:r>
        <w:rPr>
          <w:rFonts w:ascii="Times New Roman;serif" w:hAnsi="Times New Roman;serif"/>
          <w:b w:val="false"/>
          <w:color w:val="000000"/>
          <w:sz w:val="24"/>
        </w:rPr>
        <w:t>. Except as modified by this Amendment, all the provisions of the Original Sublease shall remain unchanged and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Counterparts; Electronic Delivery</w:t>
      </w:r>
      <w:r>
        <w:rPr>
          <w:rFonts w:ascii="Times New Roman;serif" w:hAnsi="Times New Roman;serif"/>
          <w:b w:val="false"/>
          <w:color w:val="000000"/>
          <w:sz w:val="24"/>
        </w:rPr>
        <w:t>. This Amendment may be executed by the parties hereto in one or more counterparts, each of which, when taken together shall constitute an original. Any party to this Amendment may deliver an executed copy hereof by electronic signature service or other electronic transmission to the other party and any such delivery shall have the same force and effect as delivery of a manually signed copy of this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Authority</w:t>
      </w:r>
      <w:r>
        <w:rPr>
          <w:rFonts w:ascii="Times New Roman;serif" w:hAnsi="Times New Roman;serif"/>
          <w:b w:val="false"/>
          <w:color w:val="000000"/>
          <w:sz w:val="24"/>
        </w:rPr>
        <w:t>. Each signatory of this Amendment represents hereby that he or she has the authority to execute and deliver the same on behalf of the party hereto for which such signatory is acting.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the laws of the state where the Subleased Premises is located, excluding any principles of conflicts of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This Amendment shall inure to the benefit of, and shall be binding upon, the parties hereto and their respective successors and assigns.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[SIGNATURES ON IMMEDIATELY FOLLOWING PAGE]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Sublandlord and Subtenant have executed this Amendment as of the Effective Date.</w:t>
      </w:r>
    </w:p>
    <w:tbl>
      <w:tblPr>
        <w:tblW w:w="4787" w:type="dxa"/>
        <w:jc w:val="left"/>
        <w:tblInd w:w="0" w:type="dxa"/>
        <w:tblLayout w:type="fixed"/>
        <w:tblCellMar>
          <w:top w:w="28" w:type="dxa"/>
          <w:left w:w="28" w:type="dxa"/>
          <w:bottom w:w="28" w:type="dxa"/>
          <w:right w:w="28" w:type="dxa"/>
        </w:tblCellMar>
      </w:tblPr>
      <w:tblGrid>
        <w:gridCol w:w="124"/>
        <w:gridCol w:w="109"/>
        <w:gridCol w:w="109"/>
        <w:gridCol w:w="472"/>
        <w:gridCol w:w="472"/>
        <w:gridCol w:w="472"/>
        <w:gridCol w:w="882"/>
        <w:gridCol w:w="882"/>
        <w:gridCol w:w="12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6"/>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SUBTENANT:</w:t>
            </w:r>
          </w:p>
          <w:p>
            <w:pPr>
              <w:pStyle w:val="TableContents"/>
              <w:bidi w:val="0"/>
              <w:spacing w:lineRule="auto" w:line="288" w:before="0" w:after="240"/>
              <w:jc w:val="left"/>
              <w:rPr/>
            </w:pPr>
            <w:r>
              <w:rPr>
                <w:rFonts w:ascii="Times New Roman;serif" w:hAnsi="Times New Roman;serif"/>
                <w:b/>
                <w:color w:val="000000"/>
                <w:sz w:val="24"/>
              </w:rPr>
              <w:t>Nurix Therapeutics, Inc.</w:t>
            </w:r>
            <w:r>
              <w:rPr>
                <w:rFonts w:ascii="Times New Roman;serif" w:hAnsi="Times New Roman;serif"/>
                <w:b w:val="false"/>
                <w:color w:val="000000"/>
                <w:sz w:val="24"/>
              </w:rPr>
              <w:t>,</w:t>
              <w:br/>
              <w:t>a Delaware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Christine Ring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 Christine Ring</w:t>
              <w:br/>
              <w:t>Title: Chief Legal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6"/>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SUBLANDLORD:</w:t>
            </w:r>
          </w:p>
          <w:p>
            <w:pPr>
              <w:pStyle w:val="TableContents"/>
              <w:bidi w:val="0"/>
              <w:spacing w:lineRule="auto" w:line="288" w:before="0" w:after="240"/>
              <w:jc w:val="left"/>
              <w:rPr/>
            </w:pPr>
            <w:r>
              <w:rPr>
                <w:rFonts w:ascii="Times New Roman;serif" w:hAnsi="Times New Roman;serif"/>
                <w:b/>
                <w:color w:val="000000"/>
                <w:sz w:val="24"/>
              </w:rPr>
              <w:t>Janssen Research &amp; Development, LLC</w:t>
            </w:r>
            <w:r>
              <w:rPr>
                <w:rFonts w:ascii="Times New Roman;serif" w:hAnsi="Times New Roman;serif"/>
                <w:b w:val="false"/>
                <w:color w:val="000000"/>
                <w:sz w:val="24"/>
              </w:rPr>
              <w:t>,</w:t>
              <w:br/>
              <w:t>a New Jersey limited liability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Ryan Koors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Ryan Koors</w:t>
              <w:br/>
              <w:t>Title: CFO and VP of Finance</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5-31-2025</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br/>
        <w:t>Subleased Premises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27000"/>
                <wp:effectExtent l="0" t="0" r="0" b="0"/>
                <wp:wrapNone/>
                <wp:docPr id="114" name="Frame114"/>
                <a:graphic xmlns:a="http://schemas.openxmlformats.org/drawingml/2006/main">
                  <a:graphicData uri="http://schemas.microsoft.com/office/word/2010/wordprocessingShape">
                    <wps:wsp>
                      <wps:cNvSpPr txBox="1"/>
                      <wps:spPr>
                        <a:xfrm>
                          <a:off x="0" y="0"/>
                          <a:ext cx="6480175" cy="127000"/>
                        </a:xfrm>
                        <a:prstGeom prst="rect"/>
                        <a:solidFill>
                          <a:srgbClr val="FFFFFF"/>
                        </a:solidFill>
                      </wps:spPr>
                      <wps:txb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51849246.1/072670.0002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51849246.1/072670.0002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B</w:t>
        <w:br/>
        <w:t>Master Landlord Consent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C</w:t>
        <w:br/>
        <w:t>Expansion Premises FF&amp;E Inventory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D</w:t>
        <w:br/>
        <w:t>Operations Matrix</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Arthur T. Sands,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Nurix Therapeutics,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0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56"/>
        <w:gridCol w:w="1156"/>
        <w:gridCol w:w="16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July 9,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AND ACCOUNTING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Hans van Houte,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Nurix Therapeutics,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10"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099"/>
        <w:gridCol w:w="1099"/>
        <w:gridCol w:w="1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H</w:t>
            </w:r>
            <w:r>
              <w:rPr>
                <w:rFonts w:ascii="Times New Roman;serif" w:hAnsi="Times New Roman;serif"/>
                <w:b w:val="false"/>
                <w:color w:val="000000"/>
                <w:sz w:val="16"/>
              </w:rPr>
              <w:t>ANS VAN</w:t>
            </w:r>
            <w:r>
              <w:rPr>
                <w:color w:val="000000"/>
              </w:rPr>
              <w:t xml:space="preserve"> </w:t>
            </w:r>
            <w:r>
              <w:rPr>
                <w:rFonts w:ascii="Times New Roman;serif" w:hAnsi="Times New Roman;serif"/>
                <w:b w:val="false"/>
                <w:color w:val="000000"/>
                <w:sz w:val="20"/>
              </w:rPr>
              <w:t>H</w:t>
            </w:r>
            <w:r>
              <w:rPr>
                <w:rFonts w:ascii="Times New Roman;serif" w:hAnsi="Times New Roman;serif"/>
                <w:b w:val="false"/>
                <w:color w:val="000000"/>
                <w:sz w:val="16"/>
              </w:rPr>
              <w:t>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Hans van Houte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July 9,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Each of the undersigned officers of Nurix Therapeutics, Inc. (the Company) certifies, pursuant to 18 U.S.C. § 1350, as adopted pursuant to § 906 of the Sarbanes-Oxley Act of 2002,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May 31, 2025 (the Quarterly Report), as filed with the Securities and Exchange Commission, fully complies with the requirements of Section 13(a) or 15(d) of the Securities Exchange Act of 1934,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this Quarterly Report fairly presents, in all material respects, the financial condition and results of operations of the Company.</w:t>
      </w:r>
    </w:p>
    <w:tbl>
      <w:tblPr>
        <w:tblW w:w="4706"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156"/>
        <w:gridCol w:w="1156"/>
        <w:gridCol w:w="16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H</w:t>
            </w:r>
            <w:r>
              <w:rPr>
                <w:rFonts w:ascii="Times New Roman;serif" w:hAnsi="Times New Roman;serif"/>
                <w:b w:val="false"/>
                <w:color w:val="000000"/>
                <w:sz w:val="16"/>
              </w:rPr>
              <w:t>ANS VAN</w:t>
            </w:r>
            <w:r>
              <w:rPr>
                <w:color w:val="000000"/>
              </w:rPr>
              <w:t xml:space="preserve"> </w:t>
            </w:r>
            <w:r>
              <w:rPr>
                <w:rFonts w:ascii="Times New Roman;serif" w:hAnsi="Times New Roman;serif"/>
                <w:b w:val="false"/>
                <w:color w:val="000000"/>
                <w:sz w:val="20"/>
              </w:rPr>
              <w:t>H</w:t>
            </w:r>
            <w:r>
              <w:rPr>
                <w:rFonts w:ascii="Times New Roman;serif" w:hAnsi="Times New Roman;serif"/>
                <w:b w:val="false"/>
                <w:color w:val="000000"/>
                <w:sz w:val="16"/>
              </w:rPr>
              <w:t>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Hans van Houte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Date: July 9,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240" w:after="283"/>
        <w:jc w:val="both"/>
        <w:rPr/>
      </w:pPr>
      <w:r>
        <w:rPr/>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77185</Words>
  <Characters>432098</Characters>
  <CharactersWithSpaces>507778</CharactersWithSpaces>
  <Paragraphs>2746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