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19"/>
        <w:spacing w:after="0" w:line="211"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16" w:lineRule="auto"/>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ind w:left="4140"/>
        <w:spacing w:after="0" w:line="223" w:lineRule="auto"/>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November 30, 2022</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6"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ectPr>
          <w:pgSz w:w="11900" w:h="16838" w:orient="portrait"/>
          <w:cols w:equalWidth="0" w:num="1">
            <w:col w:w="11220"/>
          </w:cols>
          <w:pgMar w:left="320" w:top="229" w:right="359" w:bottom="1440" w:gutter="0" w:footer="0" w:header="0"/>
        </w:sectPr>
      </w:pPr>
    </w:p>
    <w:p>
      <w:pPr>
        <w:spacing w:after="0" w:line="5" w:lineRule="exact"/>
        <w:rPr>
          <w:sz w:val="24"/>
          <w:szCs w:val="24"/>
          <w:color w:val="auto"/>
        </w:rPr>
      </w:pPr>
    </w:p>
    <w:p>
      <w:pPr>
        <w:ind w:left="480"/>
        <w:spacing w:after="0"/>
        <w:tabs>
          <w:tab w:leader="none" w:pos="264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1220"/>
          </w:cols>
          <w:pgMar w:left="320" w:top="229" w:right="359" w:bottom="1440" w:gutter="0" w:footer="0" w:header="0"/>
          <w:type w:val="continuous"/>
        </w:sectPr>
      </w:pPr>
    </w:p>
    <w:p>
      <w:pPr>
        <w:spacing w:after="0" w:line="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001-39398</w:t>
      </w: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NURIX THERAPEUTICS, INC.</w:t>
      </w:r>
    </w:p>
    <w:p>
      <w:pPr>
        <w:jc w:val="center"/>
        <w:ind w:right="-39"/>
        <w:spacing w:after="0" w:line="219" w:lineRule="auto"/>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ectPr>
          <w:pgSz w:w="11900" w:h="16838" w:orient="portrait"/>
          <w:cols w:equalWidth="0" w:num="1">
            <w:col w:w="11220"/>
          </w:cols>
          <w:pgMar w:left="320" w:top="229" w:right="359" w:bottom="1440" w:gutter="0" w:footer="0" w:header="0"/>
          <w:type w:val="continuous"/>
        </w:sectPr>
      </w:pPr>
    </w:p>
    <w:p>
      <w:pPr>
        <w:spacing w:after="0" w:line="40"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27-0838048</w:t>
      </w:r>
    </w:p>
    <w:p>
      <w:pPr>
        <w:spacing w:after="0" w:line="68" w:lineRule="exact"/>
        <w:rPr>
          <w:sz w:val="24"/>
          <w:szCs w:val="24"/>
          <w:color w:val="auto"/>
        </w:rPr>
      </w:pPr>
    </w:p>
    <w:p>
      <w:pPr>
        <w:sectPr>
          <w:pgSz w:w="11900" w:h="16838" w:orient="portrait"/>
          <w:cols w:equalWidth="0" w:num="2">
            <w:col w:w="7360" w:space="720"/>
            <w:col w:w="3140"/>
          </w:cols>
          <w:pgMar w:left="320" w:top="229"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4" w:lineRule="exact"/>
        <w:rPr>
          <w:sz w:val="24"/>
          <w:szCs w:val="24"/>
          <w:color w:val="auto"/>
        </w:rPr>
      </w:pPr>
    </w:p>
    <w:p>
      <w:pPr>
        <w:sectPr>
          <w:pgSz w:w="11900" w:h="16838" w:orient="portrait"/>
          <w:cols w:equalWidth="0" w:num="2">
            <w:col w:w="7140" w:space="720"/>
            <w:col w:w="3360"/>
          </w:cols>
          <w:pgMar w:left="320" w:top="229"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1700 Owens Street, Suite 205</w:t>
      </w: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San Francisco, CA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94158</w:t>
      </w:r>
    </w:p>
    <w:p>
      <w:pPr>
        <w:spacing w:after="0" w:line="68" w:lineRule="exact"/>
        <w:rPr>
          <w:sz w:val="24"/>
          <w:szCs w:val="24"/>
          <w:color w:val="auto"/>
        </w:rPr>
      </w:pPr>
    </w:p>
    <w:p>
      <w:pPr>
        <w:sectPr>
          <w:pgSz w:w="11900" w:h="16838" w:orient="portrait"/>
          <w:cols w:equalWidth="0" w:num="2">
            <w:col w:w="7540" w:space="720"/>
            <w:col w:w="2960"/>
          </w:cols>
          <w:pgMar w:left="320" w:top="229"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1" w:lineRule="exact"/>
        <w:rPr>
          <w:sz w:val="24"/>
          <w:szCs w:val="24"/>
          <w:color w:val="auto"/>
        </w:rPr>
      </w:pPr>
    </w:p>
    <w:p>
      <w:pPr>
        <w:sectPr>
          <w:pgSz w:w="11900" w:h="16838" w:orient="portrait"/>
          <w:cols w:equalWidth="0" w:num="2">
            <w:col w:w="7380" w:space="720"/>
            <w:col w:w="3120"/>
          </w:cols>
          <w:pgMar w:left="320" w:top="229"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660-5320</w:t>
      </w:r>
    </w:p>
    <w:p>
      <w:pPr>
        <w:ind w:left="450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700" w:type="dxa"/>
            <w:vAlign w:val="bottom"/>
          </w:tcPr>
          <w:p>
            <w:pPr>
              <w:spacing w:after="0"/>
              <w:rPr>
                <w:sz w:val="16"/>
                <w:szCs w:val="16"/>
                <w:color w:val="auto"/>
              </w:rPr>
            </w:pPr>
          </w:p>
        </w:tc>
      </w:tr>
      <w:tr>
        <w:trPr>
          <w:trHeight w:val="23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8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NRIX</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42" w:lineRule="exact"/>
        <w:rPr>
          <w:sz w:val="24"/>
          <w:szCs w:val="24"/>
          <w:color w:val="auto"/>
        </w:rPr>
      </w:pPr>
    </w:p>
    <w:p>
      <w:pPr>
        <w:ind w:right="3600"/>
        <w:spacing w:after="0" w:line="311"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rPr>
              <w:t>o</w:t>
            </w:r>
          </w:p>
        </w:tc>
        <w:tc>
          <w:tcPr>
            <w:tcW w:w="35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Accelerated filer</w:t>
            </w:r>
          </w:p>
        </w:tc>
        <w:tc>
          <w:tcPr>
            <w:tcW w:w="1440" w:type="dxa"/>
            <w:vAlign w:val="bottom"/>
          </w:tcPr>
          <w:p>
            <w:pPr>
              <w:ind w:left="1300"/>
              <w:spacing w:after="0"/>
              <w:rPr>
                <w:sz w:val="20"/>
                <w:szCs w:val="20"/>
                <w:color w:val="auto"/>
              </w:rPr>
            </w:pPr>
            <w:r>
              <w:rPr>
                <w:rFonts w:ascii="Wingdings" w:cs="Wingdings" w:eastAsia="Wingdings" w:hAnsi="Wingdings"/>
                <w:sz w:val="14"/>
                <w:szCs w:val="14"/>
                <w:b w:val="1"/>
                <w:bCs w:val="1"/>
                <w:color w:val="auto"/>
                <w:highlight w:val="black"/>
                <w:w w:val="95"/>
              </w:rPr>
              <w:t>o</w:t>
            </w: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1260"/>
              <w:spacing w:after="0"/>
              <w:rPr>
                <w:sz w:val="20"/>
                <w:szCs w:val="20"/>
                <w:color w:val="auto"/>
              </w:rPr>
            </w:pPr>
            <w:r>
              <w:rPr>
                <w:rFonts w:ascii="Wingdings" w:cs="Wingdings" w:eastAsia="Wingdings" w:hAnsi="Wingdings"/>
                <w:sz w:val="14"/>
                <w:szCs w:val="14"/>
                <w:b w:val="1"/>
                <w:bCs w:val="1"/>
                <w:color w:val="auto"/>
                <w:highlight w:val="black"/>
              </w:rPr>
              <w:t>x</w:t>
            </w:r>
          </w:p>
        </w:tc>
        <w:tc>
          <w:tcPr>
            <w:tcW w:w="35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4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w w:val="94"/>
              </w:rPr>
              <w:t>x</w:t>
            </w: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08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rPr>
              <w:t>o</w:t>
            </w:r>
          </w:p>
        </w:tc>
        <w:tc>
          <w:tcPr>
            <w:tcW w:w="352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109"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42"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jc w:val="both"/>
        <w:ind w:right="140"/>
        <w:spacing w:after="0" w:line="243"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the Registrant’s common stock on May 31, 2022 (the last business day of the Registrant’s most recently completed second fiscal quarter) as reported by the Nasdaq Global Market on such date was approximately $443.5 million. This calculation does not reflect 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determination that certain persons are affiliates of the Registrant for any other purpose.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31, 2023, the Registrant had 47,273,098 shares of common stock, $0.001 par value per share, outstanding.</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7" w:lineRule="exact"/>
        <w:rPr>
          <w:sz w:val="24"/>
          <w:szCs w:val="24"/>
          <w:color w:val="auto"/>
        </w:rPr>
      </w:pPr>
    </w:p>
    <w:p>
      <w:pPr>
        <w:jc w:val="both"/>
        <w:ind w:right="120"/>
        <w:spacing w:after="0" w:line="234" w:lineRule="auto"/>
        <w:rPr>
          <w:sz w:val="20"/>
          <w:szCs w:val="20"/>
          <w:color w:val="auto"/>
        </w:rPr>
      </w:pPr>
      <w:r>
        <w:rPr>
          <w:rFonts w:ascii="Times New Roman" w:cs="Times New Roman" w:eastAsia="Times New Roman" w:hAnsi="Times New Roman"/>
          <w:sz w:val="14"/>
          <w:szCs w:val="14"/>
          <w:color w:val="auto"/>
        </w:rPr>
        <w:t>Certain sections of the Registrant’s definitive Proxy Statement to be filed in connection with the Registrant’s 2023 Annual Meeting of Stockholders are incorporated by reference into Part III of this Annual Report on Form 10-K where indicated. Such definitive Proxy Statement will be filed with the Securities and Exchange Commission pursuant to Regulation 14A within 120 days of the Registrant’s fiscal year ended November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8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00" w:type="dxa"/>
            <w:vAlign w:val="bottom"/>
            <w:gridSpan w:val="2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1B.</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00" w:type="dxa"/>
            <w:vAlign w:val="bottom"/>
            <w:gridSpan w:val="1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00" w:type="dxa"/>
            <w:vAlign w:val="bottom"/>
            <w:gridSpan w:val="1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0"/>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8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8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8.</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6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9A.</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72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50"/>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9C.</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10.</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0"/>
                <w:szCs w:val="20"/>
                <w:color w:val="auto"/>
              </w:rPr>
            </w:pPr>
          </w:p>
        </w:tc>
        <w:tc>
          <w:tcPr>
            <w:tcW w:w="496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12.</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6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60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16.</w:t>
            </w: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1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5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054"/>
        </w:trPr>
        <w:tc>
          <w:tcPr>
            <w:tcW w:w="13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08"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contained in this Annual Report on Form 10-K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33" w:lineRule="exact"/>
        <w:rPr>
          <w:sz w:val="20"/>
          <w:szCs w:val="20"/>
          <w:color w:val="auto"/>
        </w:rPr>
      </w:pPr>
    </w:p>
    <w:p>
      <w:pPr>
        <w:ind w:left="660" w:right="20" w:hanging="328"/>
        <w:spacing w:after="0" w:line="227" w:lineRule="exact"/>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drug candidates NX-2127, NX-1607, NX-5948,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other drug candidates, including statements regarding the timing of data and anticipated announcements, the selection of new development candidates and the initiation of clinical trials;</w:t>
      </w:r>
    </w:p>
    <w:p>
      <w:pPr>
        <w:spacing w:after="0" w:line="7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drug candidates NX-2127, NX-1607, NX-5948, DeTIL-0255 and other drug candidates;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investigational new drug application (IND) submissions for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DELigase platform and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and DELigase platform may potentially address a broad range of diseases;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Sanofi S.A. and Gilead Sciences, Inc.;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drug candidates;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and global events, including the ongoing coronavirus (COVID-19) pandemic and the recent war in Ukraine, on our business, clinical trials, financial condition, liquidity and results of operations;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sz w:val="20"/>
          <w:szCs w:val="20"/>
          <w:color w:val="auto"/>
        </w:rPr>
      </w:pPr>
    </w:p>
    <w:p>
      <w:pPr>
        <w:ind w:right="20" w:firstLine="648"/>
        <w:spacing w:after="0" w:line="210" w:lineRule="exact"/>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68" w:lineRule="exact"/>
        <w:rPr>
          <w:sz w:val="20"/>
          <w:szCs w:val="20"/>
          <w:color w:val="auto"/>
        </w:rPr>
      </w:pPr>
    </w:p>
    <w:p>
      <w:pPr>
        <w:ind w:left="660" w:right="2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4" w:lineRule="exact"/>
        <w:rPr>
          <w:rFonts w:ascii="Times New Roman" w:cs="Times New Roman" w:eastAsia="Times New Roman" w:hAnsi="Times New Roman"/>
          <w:sz w:val="18"/>
          <w:szCs w:val="18"/>
          <w:color w:val="auto"/>
        </w:rPr>
      </w:pPr>
    </w:p>
    <w:p>
      <w:pPr>
        <w:ind w:left="660" w:right="10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us, and any collaborators, to obtain marketing approval of and commercialize our drug candidates and affect the prices we, or they, may obtain.</w:t>
      </w:r>
    </w:p>
    <w:p>
      <w:pPr>
        <w:spacing w:after="0" w:line="40"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lead drug candidates, NX-2127, NX-1607, NX-5948 and DeTIL-0255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0"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6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8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82"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4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stock price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67"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200" w:lineRule="exact"/>
        <w:rPr>
          <w:sz w:val="20"/>
          <w:szCs w:val="20"/>
          <w:color w:val="auto"/>
        </w:rPr>
      </w:pPr>
    </w:p>
    <w:p>
      <w:pPr>
        <w:spacing w:after="0" w:line="35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When used in this report, unless otherwise indicated, “Nurix,” “Company,” “we,” “us” and “our” refers to Nurix Therapeutics, Inc. and its wholly owned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the discovery, development and commercialization of small molecule and cell therapies based on the modulation of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ten programs under collaboration agreements with Sanofi S.A. (Sanofi) and Gilead Sciences, Inc. (Gilead), within which we retain options for co-development and co-commercialization rights in the United States for up to four drug candidates.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Development Pipeline</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wholly owned pipeline of Targeted Protein Modulation drug candidates comprises four clinical stage programs in our Targeted Protein Degradation and Targeted Protein Elevation portfolios. These two portfolios demonstrate our ability to either decrease or increase protein levels in cells through the modulation of E3 ligases. The following chart summarizes our clinical pipeline and ongoing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50800</wp:posOffset>
            </wp:positionV>
            <wp:extent cx="5657850" cy="3206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w:t>
      </w:r>
    </w:p>
    <w:p>
      <w:pPr>
        <w:spacing w:after="0" w:line="92" w:lineRule="exact"/>
        <w:rPr>
          <w:sz w:val="20"/>
          <w:szCs w:val="20"/>
          <w:color w:val="auto"/>
        </w:rPr>
      </w:pPr>
    </w:p>
    <w:p>
      <w:pPr>
        <w:jc w:val="both"/>
        <w:ind w:right="200" w:firstLine="648"/>
        <w:spacing w:after="0" w:line="227" w:lineRule="exact"/>
        <w:rPr>
          <w:sz w:val="20"/>
          <w:szCs w:val="20"/>
          <w:color w:val="auto"/>
        </w:rPr>
      </w:pPr>
      <w:r>
        <w:rPr>
          <w:rFonts w:ascii="Times New Roman" w:cs="Times New Roman" w:eastAsia="Times New Roman" w:hAnsi="Times New Roman"/>
          <w:sz w:val="18"/>
          <w:szCs w:val="18"/>
          <w:color w:val="auto"/>
        </w:rPr>
        <w:t>Our portfolio of targeted protein degraders of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orally bioavailable BTK degrader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orally bioavailable BTK degrader for the treatment of relapsed or refractory B-cell malignancies and potentially autoimmune diseases.</w:t>
      </w:r>
    </w:p>
    <w:p>
      <w:pPr>
        <w:spacing w:after="0" w:line="49" w:lineRule="exact"/>
        <w:rPr>
          <w:sz w:val="20"/>
          <w:szCs w:val="20"/>
          <w:color w:val="auto"/>
        </w:rPr>
      </w:pPr>
    </w:p>
    <w:p>
      <w:pPr>
        <w:ind w:right="140" w:firstLine="648"/>
        <w:spacing w:after="0" w:line="221" w:lineRule="exact"/>
        <w:rPr>
          <w:sz w:val="20"/>
          <w:szCs w:val="20"/>
          <w:color w:val="auto"/>
        </w:rPr>
      </w:pPr>
      <w:r>
        <w:rPr>
          <w:rFonts w:ascii="Times New Roman" w:cs="Times New Roman" w:eastAsia="Times New Roman" w:hAnsi="Times New Roman"/>
          <w:sz w:val="18"/>
          <w:szCs w:val="18"/>
          <w:color w:val="auto"/>
        </w:rPr>
        <w:t>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enrolling patients in a Phase 1 trial for patients with relapsed or refractory B-cell malignancies which comprises a Phase 1a dose-escalation study and a Phase 1b cohort expansion study. We have initiated the first of several potential Phase 1b expansion cohorts for patients with relapsed chronic lymphocytic leukemia (CLL), and enrollment continues in the Phase 1a dose-escalation portion of the trial for patients with several types of non-Hodgkin lymphoma (NHL).</w:t>
      </w:r>
    </w:p>
    <w:p>
      <w:pPr>
        <w:spacing w:after="0" w:line="7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NX-5948: We are currently enrolling patients in the Phase 1a portion of a Phase 1a/1b dose-escalation and cohort expansion study in patients with relapsed or refractory B-cell malignancies.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Elevation</w:t>
      </w:r>
    </w:p>
    <w:p>
      <w:pPr>
        <w:spacing w:after="0" w:line="12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portfolio of inhibitors of CBL-B, an E3 ligase that regulates the activation of multiple immune cell types including T cells and NK cells, comprises NX-1607, an orally bioavailable CBL-B inhibitor for immuno-oncology indications, and NX-0255, for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use to enhance adoptive T-cell therapy including our drug-enhanced tumor infiltrating lymphocyte (TIL) therapy, DeTIL-0255.</w:t>
      </w:r>
    </w:p>
    <w:p>
      <w:pPr>
        <w:spacing w:after="0" w:line="6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NX-1607: We are currently enrolling patients in the Phase 1a portion of a Phase 1a/1b dose-escalation and cohort expansion study in patients with solid tumors and lymphomas. NX-1607 was awarded an Innovative Passport from the UK Medicines and Healthcare products Regulatory Agency to accelerate time to market and facilitate patient access to novel drugs to treat serious and life-threatening diseases.</w:t>
      </w:r>
    </w:p>
    <w:p>
      <w:pPr>
        <w:spacing w:after="0" w:line="6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DeTIL-0255: We completed the safety run-in portion of a Phase 1 trial in patients with advanced gynecologic malignancies, which included three patients with advanced epithelial ovarian cancer (EOC) who have been dosed with DeTIL-0255 and have cleared the initial safety evaluation. The timing of the expansion of the Phase 1 trial will be established following a determination regarding the potential inclusion of NX-1607 in future cohorts.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Discovery Pipeline</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to our clinical stage drug candidates, we are extending our protein modulation portfolio, both on our own and with partners by developing new targeted protein degraders and ligase inhibitors for a number of targets for which we believe the protein modulation modality can be clinically advantageous over existing therapies. These existing and future programs may have the potential to address diseases with significant unmet need, including cancer and other challenging diseases.</w:t>
      </w:r>
    </w:p>
    <w:p>
      <w:pPr>
        <w:spacing w:after="0" w:line="6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have entered into several revenue generating collaborations with large biopharmaceutical companies to leverage our DELigase platform for drug discovery. In December 2019, we entered into a global strategic collaboration with Sanofi, which was subsequently expanded and amended in January 2021, to discover, develop and commercialize a pipeline of innovative targeted protein degradation drugs for patients with challenging diseases in multiple therapeutic areas. In June 2019, we entered into a global strategic collaboration with Gilead to discover, develop and commercialize innovative targeted protein degradation drugs for a wide range of diseases including cancer. Both collaborations allow us to further advance our future pipeline with ten currently identified targets included in these collaborations. In aggregate, we have received $316.0 million in non-dilutive financing from our collaborators to date, and as of November 30, 2022, we are eligible to receive up to $4.8 billion in potential future fees and milestone payments, as well as royalties on future product sales. We retain options for co-development and co-commercialization rights in the United States for up to four drug candidates discovered under these collaborations.</w:t>
      </w:r>
    </w:p>
    <w:p>
      <w:pPr>
        <w:spacing w:after="0" w:line="200" w:lineRule="exact"/>
        <w:rPr>
          <w:sz w:val="20"/>
          <w:szCs w:val="20"/>
          <w:color w:val="auto"/>
        </w:rPr>
      </w:pPr>
    </w:p>
    <w:p>
      <w:pPr>
        <w:spacing w:after="0" w:line="37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strategy is to leverage our DELigase platform to discover breakthrough therapies to not only improve upon existing drugs, but also address targets that are thought to be undruggable with current modalities. The key elements of our strategy are to:</w:t>
      </w:r>
    </w:p>
    <w:p>
      <w:pPr>
        <w:spacing w:after="0" w:line="64" w:lineRule="exact"/>
        <w:rPr>
          <w:sz w:val="20"/>
          <w:szCs w:val="20"/>
          <w:color w:val="auto"/>
        </w:rPr>
      </w:pPr>
    </w:p>
    <w:p>
      <w:pPr>
        <w:ind w:left="660" w:right="440" w:hanging="328"/>
        <w:spacing w:after="0" w:line="27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our lead programs through clinical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four drug candidates in Phase 1 clinical development and anticipate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advancements in 2023.</w:t>
      </w:r>
    </w:p>
    <w:p>
      <w:pPr>
        <w:spacing w:after="0" w:line="45" w:lineRule="exact"/>
        <w:rPr>
          <w:rFonts w:ascii="Times New Roman" w:cs="Times New Roman" w:eastAsia="Times New Roman" w:hAnsi="Times New Roman"/>
          <w:sz w:val="18"/>
          <w:szCs w:val="18"/>
          <w:color w:val="auto"/>
        </w:rPr>
      </w:pPr>
    </w:p>
    <w:p>
      <w:pPr>
        <w:ind w:left="1300" w:right="220" w:hanging="320"/>
        <w:spacing w:after="0" w:line="252" w:lineRule="auto"/>
        <w:tabs>
          <w:tab w:leader="none" w:pos="12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NX-2127. </w:t>
      </w:r>
      <w:r>
        <w:rPr>
          <w:rFonts w:ascii="Times New Roman" w:cs="Times New Roman" w:eastAsia="Times New Roman" w:hAnsi="Times New Roman"/>
          <w:sz w:val="18"/>
          <w:szCs w:val="18"/>
          <w:color w:val="auto"/>
        </w:rPr>
        <w:t>Enrollment is ongoing in our Phase 1a/1b clinical trial of NX-2127 in adults with relapsed or refractory B-cell malignancies.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to provide a clinical update for the NX-2127 trial in the second half of 2023 and further anticipate defining a regulatory strategy for NX-2127 in the second half of 2023 based on emerging clinical data and feedback from the U.S. Food and Drug Administration (FDA).</w:t>
      </w:r>
    </w:p>
    <w:p>
      <w:pPr>
        <w:spacing w:after="0" w:line="75" w:lineRule="exact"/>
        <w:rPr>
          <w:rFonts w:ascii="Times New Roman" w:cs="Times New Roman" w:eastAsia="Times New Roman" w:hAnsi="Times New Roman"/>
          <w:sz w:val="18"/>
          <w:szCs w:val="18"/>
          <w:color w:val="auto"/>
        </w:rPr>
      </w:pPr>
    </w:p>
    <w:p>
      <w:pPr>
        <w:jc w:val="both"/>
        <w:ind w:left="1300" w:right="220" w:hanging="320"/>
        <w:spacing w:after="0" w:line="252" w:lineRule="auto"/>
        <w:tabs>
          <w:tab w:leader="none" w:pos="12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NX-5948. </w:t>
      </w:r>
      <w:r>
        <w:rPr>
          <w:rFonts w:ascii="Times New Roman" w:cs="Times New Roman" w:eastAsia="Times New Roman" w:hAnsi="Times New Roman"/>
          <w:sz w:val="18"/>
          <w:szCs w:val="18"/>
          <w:color w:val="auto"/>
        </w:rPr>
        <w:t>Enrollment is ongoing in our Phase 1a/1b clinical trial of NX-5948 in adults with relapsed or refractory B-cell malignancies.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anticipate presenting initial clinical data from the Phase 1a portion of the NX-5948 trial in the second half of 2023. In addition, we seek to define a dose for Phase 1b cohort expansion in the second half of 2023.</w:t>
      </w:r>
    </w:p>
    <w:p>
      <w:pPr>
        <w:spacing w:after="0" w:line="77" w:lineRule="exact"/>
        <w:rPr>
          <w:rFonts w:ascii="Times New Roman" w:cs="Times New Roman" w:eastAsia="Times New Roman" w:hAnsi="Times New Roman"/>
          <w:sz w:val="18"/>
          <w:szCs w:val="18"/>
          <w:color w:val="auto"/>
        </w:rPr>
      </w:pPr>
    </w:p>
    <w:p>
      <w:pPr>
        <w:ind w:left="1300" w:right="160" w:hanging="320"/>
        <w:spacing w:after="0" w:line="252" w:lineRule="auto"/>
        <w:tabs>
          <w:tab w:leader="none" w:pos="12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NX-1607. </w:t>
      </w:r>
      <w:r>
        <w:rPr>
          <w:rFonts w:ascii="Times New Roman" w:cs="Times New Roman" w:eastAsia="Times New Roman" w:hAnsi="Times New Roman"/>
          <w:sz w:val="18"/>
          <w:szCs w:val="18"/>
          <w:color w:val="auto"/>
        </w:rPr>
        <w:t>Enrollment is ongoing in our Phase 1 trial for NX-1607 in adults with a variety of oncology indications. We expect to 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data from the Phase 1a portion of the NX-1607 trial and to define a dose for Phase 1b cohort expansion in the second half of 2023.</w:t>
      </w:r>
    </w:p>
    <w:p>
      <w:pPr>
        <w:spacing w:after="0" w:line="77" w:lineRule="exact"/>
        <w:rPr>
          <w:rFonts w:ascii="Times New Roman" w:cs="Times New Roman" w:eastAsia="Times New Roman" w:hAnsi="Times New Roman"/>
          <w:sz w:val="18"/>
          <w:szCs w:val="18"/>
          <w:color w:val="auto"/>
        </w:rPr>
      </w:pPr>
    </w:p>
    <w:p>
      <w:pPr>
        <w:ind w:left="660" w:hanging="328"/>
        <w:spacing w:after="0" w:line="24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 and expand our DELigase platform. </w:t>
      </w:r>
      <w:r>
        <w:rPr>
          <w:rFonts w:ascii="Times New Roman" w:cs="Times New Roman" w:eastAsia="Times New Roman" w:hAnsi="Times New Roman"/>
          <w:sz w:val="18"/>
          <w:szCs w:val="18"/>
          <w:color w:val="auto"/>
        </w:rPr>
        <w:t>Targeted Protein Modulation is a rapidly emerging therapeutic modality that can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advantages over existing modalities. Our proprietary DELigase platform enables us to advance an industry-leading approach to either selectively decrease or increase protein levels. We intend to continue to invest resources in our research and development activities to expand the breadth of our DELigase platform both in terms of the number of ligases available for drug discovery and the scale of our DEL collection. We plan to leverage our platform capabilities to further enhance our position as a leader in the promising field of protein modulation.</w:t>
      </w:r>
    </w:p>
    <w:p>
      <w:pPr>
        <w:spacing w:after="0" w:line="68" w:lineRule="exact"/>
        <w:rPr>
          <w:rFonts w:ascii="Times New Roman" w:cs="Times New Roman" w:eastAsia="Times New Roman" w:hAnsi="Times New Roman"/>
          <w:sz w:val="18"/>
          <w:szCs w:val="18"/>
          <w:color w:val="auto"/>
        </w:rPr>
      </w:pPr>
    </w:p>
    <w:p>
      <w:pPr>
        <w:ind w:left="660" w:right="60" w:hanging="328"/>
        <w:spacing w:after="0" w:line="25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Discover and develop new targeted protein modulation drug candidates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select new targets for which we have evidence that modulation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 levels may provide a distinct therapeutic advantage over traditional small molecule inhibitors, or which have been considered undruggable by existing modalities. We have multiple additional wholly owned and partnered targets in DNA-encoded library (DEL) screening, lead optimization and preclinical research. We plan to use our DELigase platform to continue to explore new targets with potential applications in cancer and other challenging diseases. We expect to select a new targeted protein degrader development candidate in 2023.</w:t>
      </w:r>
    </w:p>
    <w:p>
      <w:pPr>
        <w:spacing w:after="0" w:line="65" w:lineRule="exact"/>
        <w:rPr>
          <w:rFonts w:ascii="Times New Roman" w:cs="Times New Roman" w:eastAsia="Times New Roman" w:hAnsi="Times New Roman"/>
          <w:sz w:val="18"/>
          <w:szCs w:val="18"/>
          <w:color w:val="auto"/>
        </w:rPr>
      </w:pPr>
    </w:p>
    <w:p>
      <w:pPr>
        <w:ind w:left="660" w:right="4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Explore additional strategic collaborations to maximize the commercial potential of our DELigase platform and our drug candidates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$316.0 million in non-dilutive funding to date from our collaborations to support our research and development activities and to create new targeted protein modulation drugs with our partners. Under our Sanofi and Gilead collaborations, as of November 30, 2022, we have the opportunity to receive up to $4.8 billion in potential future fees and milestone payments, as well as royalties on future sales while retaining certain commercialization options. We currently retain worldwide development and commercialization rights to our BTK and CBL-B portfolios. While we intend to become a fully integrated biopharmaceutical company and build a targeted sales force in the United States to support the commercialization of our drug candidates, if approved, we intend to selectively evaluate technology collaborations and commercialization partnerships for our drug candidates with partners whose capabilities complement our own while retaining meaningful commercial rights in key geographic territories.</w:t>
      </w:r>
    </w:p>
    <w:p>
      <w:pPr>
        <w:spacing w:after="0" w:line="200" w:lineRule="exact"/>
        <w:rPr>
          <w:sz w:val="20"/>
          <w:szCs w:val="20"/>
          <w:color w:val="auto"/>
        </w:rPr>
      </w:pPr>
    </w:p>
    <w:p>
      <w:pPr>
        <w:spacing w:after="0" w:line="3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Targeted Protein Modulation</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disease settings where currently available treatments are limited by suboptimal efficacy or safety, or where relevant protein targets are not druggable by conventional means, we believe targeted protein modulation represents a novel treatment paradigm with the potential to improve upon or become the standard of care. Recent advances in the field have highlighted the significant therapeutic potential of harnessing E3 ligases to promote targeted protein degradation. In addition, we believe the largely unexplored area of inhibiting E3 ligases directly to increase protein levels represents an equally promising approach. Using our powerful DELigase platform, we have demonstrated our ability to discover and advance small molecule drug candidates to decrease or increase protein levels by either harnessing or inhibiting the activity of the appropriate E3 ligase, depending on the desired therapeutic effect. We have carefully selected and are advancing over 60 E3 ligases in our DELigase platform, expanding the universe of E3 ligases that can be modulated beyond cereblon and von Hippel-Lindau (VHL), the two predominantly used in the field of targeted protein degradation today. Our DEL collection consists of billions of small molecule compounds used to identify potential binders to ligases and protein targets as critical starting points in our drug discovery process. The differentiation of our protein modulation platform is in its breadth and versatility, enabling us to alter protein levels either upward or downward for both clinically validated targets, such as BTK, and for targets previously thought to be “undruggable”; that is, proteins that could not be addressed by conventional pharmacological means, such as CBL-B.</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Proteins as targets in treating disease</w:t>
      </w:r>
    </w:p>
    <w:p>
      <w:pPr>
        <w:spacing w:after="0" w:line="12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Each cell type within the body is comprised of proteins that define its biochemistry and biological function. When proteins are expressed and regulated correctly, the health of each individual cell as well as the body as a whole is maintained. However, disease can occur when normal cellular processes are dysregulated as a result of changes in protein structure, function, expression levels or pathway regulation. Factors such as genetic mutations, infection, exposure to toxins, diet and behavior can lead to dysregulation of cellular processes and, if unchecked, a disease process.</w:t>
      </w:r>
    </w:p>
    <w:p>
      <w:pPr>
        <w:spacing w:after="0" w:line="6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traditional approach to discovering treatments for disease has involved the development of small molecule drugs that bind to a protein’s surface and modulate its activity. These “druggable” proteins contain distinct structural features that mediate protein function called active sites which can be exploited when identifying and optimizing compounds that disrupt protein activity. However, the vast majority of the body’s proteins do not have distinct active sites that can be targeted using traditional discovery methods. Because dysregulation and disease are not restricted to these “druggable” proteins, a significant number of therapeutically relevant proteins have not been addressed by traditional small molecule drugs. Other modalities, including antibody and protein-based therapies, genetic medicines and cell therapies, have emerged to address these issues but are still limited by their modes of delivery, their scalability and their therapeutic applications.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Leveraging E3 ligases and the ubiquitin proteasome system as a new treatment modality</w:t>
      </w:r>
    </w:p>
    <w:p>
      <w:pPr>
        <w:spacing w:after="0" w:line="12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Normal cellular physiology requires highly orchestrated and regulated processes that operate at the level of individual proteins. The ability of proteins to respond to stimuli quickly and in a coordinated fashion requires protein function to be readily controllable. One of the most exquisitely ordered cellular systems governing cellular proteins is the ubiquitin proteasome system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64135</wp:posOffset>
            </wp:positionV>
            <wp:extent cx="5657850" cy="1903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As depicted above, the UPS is responsible for regulating and maintaining normal protein levels in the cell. An important class of enzymes called E3 ligases mediate this process with a high degree of specificity by recognizing individual proteins and catalyzing the attachment of ubiquitin protein tags to their surface. Proteins marked with chains of ubiquitin are then shuttled to the proteasome for degradation and removal from the cell. In addition to protein degradation, E3 ligases also mediate other functions such as protein localization, receptor internalization, protein signaling and protein quality control. There are over 600 E3 ligases encoded within the human genome, representing more than 5% of genes. The prevalence of the E3 ligase class of enzymes reflects the diversity of their physiological roles and biological significance and may allow for the creation of a wide spectrum of ligase-targeted therapeutics.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Modulating protein levels through small molecule therapeutics targeting E3 ligases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Advances in our understanding of the UPS suggest broad potential for the development of new therapies that modulate E3 ligases in the context of diseases such as cancer and autoimmune disorders. An example are the so-called immunomodulatory drugs, Revlimid (lenalidomide) and Pomalyst (pomalidomide), which are approved cancer drugs. These drugs exert their therapeutic effects by targeting the E3 ligase cereblon and redirecting its activity toward proteins it would not normally degrade such as Ikaros and Aiolos (also known as IKZF1 and IKZF3), transcription factors regulating immune cell function. Elucidation of this mechanism led to the recognition that pharmacological control of E3 ligase activity could more generally represent a promising new paradigm for small molecule drug action. This idea has since translated into the development of targeted protein degraders, which we believe have significant therapeutic potential. In addition, the largely unexplored area of inhibiting E3 ligases directly to increase cellular protein levels, which we call Targeted Protein Elevation, may represent an equally promising approach.</w:t>
      </w:r>
    </w:p>
    <w:p>
      <w:pPr>
        <w:spacing w:after="0" w:line="7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Targeted Protein Modulation is the term we use to describe our ability to either decrease target protein levels by harnessing E3 ligases for targeted protein degradation or increase protein levels through the inhibition of E3 ligases for targeted protein elevation.</w:t>
      </w:r>
    </w:p>
    <w:p>
      <w:pPr>
        <w:spacing w:after="0" w:line="64" w:lineRule="exact"/>
        <w:rPr>
          <w:sz w:val="20"/>
          <w:szCs w:val="20"/>
          <w:color w:val="auto"/>
        </w:rPr>
      </w:pPr>
    </w:p>
    <w:p>
      <w:pPr>
        <w:ind w:left="660" w:right="40" w:hanging="328"/>
        <w:spacing w:after="0" w:line="24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Targeted Protein Degradation (Harnessing E3 ligases). </w:t>
      </w:r>
      <w:r>
        <w:rPr>
          <w:rFonts w:ascii="Times New Roman" w:cs="Times New Roman" w:eastAsia="Times New Roman" w:hAnsi="Times New Roman"/>
          <w:sz w:val="18"/>
          <w:szCs w:val="18"/>
          <w:color w:val="auto"/>
        </w:rPr>
        <w:t>Targeted protein degradation (TPD) harnesses the natural activity of ligases to remove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proteins from the cell. Targeted protein degradation is accomplished by using bifunctional small molecules, which are composed of an E3 ligase binding element, or harness, linked to a target protein binding element. Unlike traditional small molecule inhibition, targeted protein degradation is catalytic whereby one molecule can induce the degradation of multiple copies of the protein target, enabling the efficient elimination of cellular proteins. In addition, since the effect is mediated through the binding of a small molecule drug rather than through functional inhibition, proteins lacking active sites are potentially targetable, greatly expanding the spectrum of both proteins and diseases amenable to small molecule therapeutic intervention.</w:t>
      </w:r>
    </w:p>
    <w:p>
      <w:pPr>
        <w:spacing w:after="0" w:line="67" w:lineRule="exact"/>
        <w:rPr>
          <w:rFonts w:ascii="Times New Roman" w:cs="Times New Roman" w:eastAsia="Times New Roman" w:hAnsi="Times New Roman"/>
          <w:sz w:val="18"/>
          <w:szCs w:val="18"/>
          <w:color w:val="auto"/>
        </w:rPr>
      </w:pPr>
    </w:p>
    <w:p>
      <w:pPr>
        <w:ind w:left="660" w:right="80" w:hanging="328"/>
        <w:spacing w:after="0" w:line="24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Targeted Protein Elevation (Inhibiting E3 ligases)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inhibiting the function of E3 ligases in targeted protein elevation (TPE), it is possible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rapidly increase specific protein levels to control biological pathways. Increasing the levels of distinct sets of proteins could be a powerful approach to blocking pathological processes and restoring normal physiology. While there is enthusiasm in the scientific community around the therapeutic potential of E3 ligase inhibition, the discovery of such inhibitors has been impeded by the limited understanding of this biochemically and structurally complex class of proteins.</w:t>
      </w:r>
    </w:p>
    <w:p>
      <w:pPr>
        <w:spacing w:after="0" w:line="200" w:lineRule="exact"/>
        <w:rPr>
          <w:sz w:val="20"/>
          <w:szCs w:val="20"/>
          <w:color w:val="auto"/>
        </w:rPr>
      </w:pPr>
    </w:p>
    <w:p>
      <w:pPr>
        <w:spacing w:after="0" w:line="37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Modulation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88265</wp:posOffset>
            </wp:positionV>
            <wp:extent cx="5657850" cy="2468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We believe that targeting E3 ligases to modulate protein levels represents a new therapeutic frontier that retains the favorable attributes of small molecule treatment modalities while addressing some major limitations. In addition to the points above, we believe other key differentiating attributes of our treatment modality include:</w:t>
      </w:r>
    </w:p>
    <w:p>
      <w:pPr>
        <w:spacing w:after="0" w:line="78" w:lineRule="exact"/>
        <w:rPr>
          <w:sz w:val="20"/>
          <w:szCs w:val="20"/>
          <w:color w:val="auto"/>
        </w:rPr>
      </w:pPr>
    </w:p>
    <w:p>
      <w:pPr>
        <w:ind w:left="660" w:right="280" w:hanging="328"/>
        <w:spacing w:after="0" w:line="27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Expansive therapeutic potential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UPS and its associated E3 ligases function across the majority of cell types and organ systems, making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to modulate virtually any protein of interest for a wide range of diseases.</w:t>
      </w:r>
    </w:p>
    <w:p>
      <w:pPr>
        <w:spacing w:after="0" w:line="45"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Deliverable and tunable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Oral delivery of small molecule compounds lends itself to broad medical applicability in a range of patient populations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delivery that may be readily calibrated through dosing schedule and quantity.</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Ease of manufacturing</w:t>
      </w:r>
      <w:r>
        <w:rPr>
          <w:rFonts w:ascii="Times New Roman" w:cs="Times New Roman" w:eastAsia="Times New Roman" w:hAnsi="Times New Roman"/>
          <w:sz w:val="18"/>
          <w:szCs w:val="18"/>
          <w:color w:val="auto"/>
        </w:rPr>
        <w:t>. Development and manufacturing of small molecules utilizes established, cost-efficient processes that are readily scalable.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21"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Our targeted protein degradation portfolio includes two clinical stage drug candidates that catalyze potent degradation of BTK, a well validated target for B-cell malignancies. Our two BTK degrader drug candidates, NX-2127 and NX-5948, are oral drug candidates being evaluated for the treatment of relapsed or refractory B-cell malignancies including NHL and CLL. In addition, NX-5948 has the potential to address B-cell mediated autoimmune indications, due to its specificity for BTK and its ability to cross the blood brain barrier. In preclinical studies, we have demonstrated the ability of both NX-2127 and NX-5948 to degrade BTK in tumor cell lines harboring either wild type BTK or a variety of clinically relevant mutant forms of BTK that confer resistance to both currently marketed BTK inhibitors and next-generation BTK inhibitors in late-stage development. In these models, BTK degradation correlated with anti-tumor activity. In addition to degrading BTK, NX-2127 was also designed to have cereblon mediated immunomodulatory activity through the degradation of neosubstrates Ikaros and Aiolos. Based on our preclinical data, we believe NX-2127 and NX-5948 have the potential to demonstrate improved clinical benefit over current standard-of-care in multiple oncology indications.</w:t>
      </w:r>
    </w:p>
    <w:p>
      <w:pPr>
        <w:spacing w:after="0" w:line="77" w:lineRule="exact"/>
        <w:rPr>
          <w:sz w:val="20"/>
          <w:szCs w:val="20"/>
          <w:color w:val="auto"/>
        </w:rPr>
      </w:pPr>
    </w:p>
    <w:p>
      <w:pPr>
        <w:ind w:firstLine="648"/>
        <w:spacing w:after="0" w:line="210" w:lineRule="exact"/>
        <w:rPr>
          <w:sz w:val="20"/>
          <w:szCs w:val="20"/>
          <w:color w:val="auto"/>
        </w:rPr>
      </w:pPr>
      <w:r>
        <w:rPr>
          <w:rFonts w:ascii="Times New Roman" w:cs="Times New Roman" w:eastAsia="Times New Roman" w:hAnsi="Times New Roman"/>
          <w:sz w:val="18"/>
          <w:szCs w:val="18"/>
          <w:color w:val="auto"/>
        </w:rPr>
        <w:t>Our targeted protein elevation portfolio includes two clinical stage small molecule drug candidates that inhibit CBL-B, an intracellular orchestrator of the activation of T cells, B cells and NK cells. In preclinical studies, primary human T cells exposed to our lead oral CBL-B ligase inhibitor drug candidate NX-1607 demonstrated increased T-cell activation in the absence of co-stimulation with CD3 and CD28, a potential advantage in an immune suppressive tumor microenvironment. In addition, NX-1607 has been shown in preclinical models to increase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proliferation and result in increased secretion of interleukin-2 (IL-2) a key cytokine involved in immune activation. We believe that oral delivery of CBL-B inhibitors has the potential to drive immune cell activation and stimulation of localized IL-2 secretion, leading to enhanced anti-tumor response across a wide range of oncology indications. We have also developed a second CBL-B ligase inhibitor drug candidate,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0255, for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use. We believe incorporating NX-0255 into adoptive cell therapy (ACT) has the potential to enhance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proliferation and improve cellular phenotype to drive greater anti-tumor activity. NX-0255 has been incorporated into the manufacturing process for the production of therapeutic, drug-enhanced tumor infiltrating lymphocytes (DeTIL) in a safety run-in study we completed in 2022.</w:t>
      </w:r>
    </w:p>
    <w:p>
      <w:pPr>
        <w:spacing w:after="0" w:line="200" w:lineRule="exact"/>
        <w:rPr>
          <w:sz w:val="20"/>
          <w:szCs w:val="20"/>
          <w:color w:val="auto"/>
        </w:rPr>
      </w:pPr>
    </w:p>
    <w:p>
      <w:pPr>
        <w:spacing w:after="0" w:line="37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 portfolio in clinical trials</w:t>
      </w:r>
    </w:p>
    <w:p>
      <w:pPr>
        <w:spacing w:after="0" w:line="12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have developed two targeted protein degrader drug candidates that are potent degraders of the BTK protein, a genetically validated signaling factor that drives B-cell activation and proliferation. Our BTK degraders harness the E3 ligase cereblon, and our lead BTK degrader NX-2127 was engineered to include cereblon-mediated immunomodulatory activity, another well validated mechanism to treat hematologic malignancies. As such, NX-2127 is a dual degrader of both BTK and Aiolos/Ikaros. In certain B-cell malignancy indications, we believe dual activity may provide therapeutic advantages that could result in improved outcomes. Our second BTK degrader development candidate, NX-5948, degrades BTK without degrading Aiolos/Ikaros. NX-5948 is further differentiated from NX-2127 because it has demonstrated the ability to cross the blood brain barrier in animal models and degrade BTK in both brain-resident tumor cells and normal microglia in the brain. We are currently enrolling Phase 1 trials for NX-2127 and NX-5948 in patients with relapsed or refractory B-cell malignancies.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BTK’s role in B-cell malignancy</w:t>
      </w:r>
    </w:p>
    <w:p>
      <w:pPr>
        <w:spacing w:after="0" w:line="119"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BTK is a key component of the B-cell receptor signaling pathway and has been clinically validated as a target in the treatment of B-cell malignancies. It is estimated that over 80 thousand people in the United States were diagnosed with NHLs in 2022. Approximately 85% of NHLs are a result of B-cell malignancies. The natural progression of NHL varies widely and takes multiple forms, ranging from aggressive subtypes such as diffuse large B-cell lymphoma (DLBCL), to more indolent forms such as follicular lymphoma (FL).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BTK inhibitors and immunomodulatory drugs for B-cell malignancies</w:t>
      </w:r>
    </w:p>
    <w:p>
      <w:pPr>
        <w:spacing w:after="0" w:line="11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first generation BTK inhibitor Imbruvica, or ibrutinib, is approved for the treatment of CLL and various forms of NHL, including mantle cell lymphoma (MCL), Waldenstrom’s macroglobulinemia (WM), and marginal zone lymphoma (MZL). Second generation BTK inhibitors such as Calquence, or acalabrutinib, is approved for use in CLL and MCL, and Brukinsa, or zanubrutinib, is approved for use in CLL, MCL, WM, and MZL. In 2021, global sales of BTK inhibitors were approximately $8.4 billion. These BTK inhibitors bind covalently to cysteine C481 of the BTK protein and irreversibly inhibit BTK; however, all have some off-target binding to other kinases, which leads to unwanted side effects. In addition, acquired resistance, most commonly through mutations in C481, may limit long term efficacy of these first and second generation BTK inhibitors. A number of noncovalent BTK inhibitors are currently being investigated in clinical trials as potential therapies for patients with relapsed and refractory disease, including Jaypirca, or pirtobrutinib, which was recently approved for use in MCL. However, the noncovalent inhibitors are also subject to acquired resistance, and treatment with these agents has led to the discovery of a broad range of new resistance mutations. We believe targeted protein degradation of BTK may be a superior approach to existing covalent or noncovalent BTK inhibitors that only inhibit enzyme activity, particularly in the relapsed and refractory setting, and in the setting of resistance mutations to both covalent and noncovalent inhibitors.</w:t>
      </w:r>
    </w:p>
    <w:p>
      <w:pPr>
        <w:spacing w:after="0" w:line="94"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immunomodulatory drugs including Revlimid, or lenalidomide, and Pomalyst, or pomalidomide, are analogs of Thalomid, or thalidomide. These drugs possess several anti-tumor properties, including anti-angiogenic and anti-proliferative effects. They also have multiple effects on the immune system, including enhancement of T-cell mediated and NK-cell mediated immunity. Revlimid, the market leader in this class by global sales, was first approved in 2006 for the treatment of multiple myeloma. In May of 2019, Revlimid in combination with Rituxan received a supplemental indication approval for previously treated FL, MZL and MCL, and in August of 2020, Revlimid in combination with Monjuvi received a supplemental indication in DLBCL, thus validating the importance of this drug class in these indications. In 2021, global sales of this drug class including Revlimid and Pomalyst were approximately $16.2 billion. Subsequent to their approval and successful commercialization, studies demonstrated that these immunomodulatory drugs exert their therapeutic effect by triggering the degradation of specific proteins including Aiolos and Ikaros through the E3 ligase activity of cereblon and hence were identified retrospectively as the first approved drugs to target an E3 ligase.</w:t>
      </w:r>
    </w:p>
    <w:p>
      <w:pPr>
        <w:spacing w:after="0" w:line="9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Published studies have recently reported early clinical data showing that combining a BTK inhibitor with an immunomodulatory drug may have the potential to augment clinical activity of certain standard of care agents in some hematologic malignancies such as non-germinal center B-cell like (non-GCB) DLBCL. Further, scientific publications have previously described synthetic lethality in a DLBCL cell line treated with both ibrutinib and lenalidomide. By targeting both BTK and cereblon-mediated immunomodulatory pathways simultaneously, it is believed that the survival mechanisms driven by accumulated mutations within certain cancers can be overcome, thereby preventing escape and disease relapse. This may be especially effective if each pathway has not only different functions but also if they share certain critical components. One possible intersection pathway is the suppression of interferon regulatory factor 4 (IRF4), a member of a family of transcription factors leading to a cell lethal increase in interferon production. The early clinical study cited above was particularly noteworthy since few combinations have previously produced promising results in DLBCL. This may suggest that simultaneous degradation of BTK combined with cereblon-mediated immunomodulatory activity by a single agent could produce an additive or synergistic effect in certain B-cell malignancies.</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advantages of BTK degraders</w:t>
      </w:r>
    </w:p>
    <w:p>
      <w:pPr>
        <w:spacing w:after="0" w:line="11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have conducted extensive preclinical studies of our two clinical stage BTK degraders. We have demonstrated that both NX-2127 and NX-5948 can induce BTK degradation and inhibit tumor growth with oral administration in xenograft mouse models implanted with both wild type and ibrutinib-resistant lymphoma cell lines. We have specifically designed NX-2127 as a dual degrader of BTK and the cereblon neosubstrates Aiolos and Ikaros, and we have designed NX-5948 to degrade BTK with limited or no degradation of cereblon neosubstrates for potential applications in indications where sparing immunomodulatory activity may be beneficial. We have also demonstrated the ability of both NX-2127 and NX-5948 to degrade BTK in circulating B-cells of non-human primates and in B-cell lymphoma patients following once daily oral dosing in ongoing Phase 1 trials.</w:t>
      </w:r>
    </w:p>
    <w:p>
      <w:pPr>
        <w:spacing w:after="0" w:line="7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optimized NX-2127 and NX-5948 to be able to degrade both wild type BTK and the C481S variant of BTK that has been identified as the most common mutation in patients who have become resistant to ibrutinib therapy over time. Both agents have subsequently demonstrated the ability to degrade additional mutant variants of BTK associated with resistance to BTK inhibitors including L528W, T474I, M437R and V416L.</w:t>
      </w:r>
    </w:p>
    <w:p>
      <w:pPr>
        <w:spacing w:after="0" w:line="6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In the figure below, we show the concentration dependent degradation of both wild-type BTK (top left) and C481S mutant BTK (top right) in a lymphoma cell line (TMD8) for our clinical candidate NX-5948. We have also demonstrated that NX-5948 induces rapid BTK degradation over time in a lymphoma cell line (Ramos) as compared to a control protein, with nearly complete loss of BTK within one hour of administration as shown in the figure below at the bottom.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55245</wp:posOffset>
            </wp:positionV>
            <wp:extent cx="5657850" cy="3300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Using a human TMD8, we have demonstrated that both NX-2127 and NX-5948 have an ability to degrade BTK and inhibit growth of tumor cell lines that are resistant to ibrutinib. As shown in the charts below, our BTK degrader, NX-5948, can inhibit both wild type and ibrutinib-resistant tumor cell line growth, where approved BTK inhibitors ibrutinib and acalabrutinib lose activity against the C481S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50800</wp:posOffset>
            </wp:positionV>
            <wp:extent cx="5657850" cy="2520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Potent tumor growth inhibition was achieved at varying doses of orally administered NX-2127 in mouse xenograft tumor models with a wild type BTK protein, as shown in the figure below on the top right. In this same model, NX-2127 demonstrated potent degradation of BTK in both circulating B cells (below on the top left) and in lymphoma tumors (below top middle). In this model system 80% BTK degradation in circulating B cells correlated with 74% tumor growth inhibition, and 90% BTK degradation in circulating B cells correlated with 100% tumor growth inhibition. These target levels of inhibition suggest a potential therapeutic range correlating BTK degradation to tumor growth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58420</wp:posOffset>
            </wp:positionV>
            <wp:extent cx="5657850" cy="2528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In addition to BTK degradation, we have also demonstrated the ability of NX-2127 to degrade both Aiolos (as shown in the figure below on the left) and Ikaros (not shown), proteins targeted by immunomodulatory drugs Revlimid (lenalidomide) and Pomalyst (pomalidomide). Studies in human T cells comparing NX-2127 to lenalidomide and pomalidomide have shown comparable Aiolos degradation and resultant T-cell activation, as shown in the figure below on the right. Based on the clinical data of both ibrutinib and the immunomodulatory drug in B-cell malignancies, we believe that this strategy of targeting both BTK and Aiolos/Ikaros in a single oral treatment may improve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66675</wp:posOffset>
            </wp:positionV>
            <wp:extent cx="5657850" cy="2503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anticipate that the ability of NX-2127 to degrade both BTK and Aiolos/Ikaros will confer unique anti-tumor activity. One example is in the preclinical mantle cell lymphoma model (REC-1). Both BTK inhibitors and immunomodulatory drugs have demonstrated single agent clinical activity in mantle cell lymphoma. In the REC-1 model shown in the figure below, covalent BTK inhibitors such as ibrutinib demonstrate potent but incomplete activity (below, left). The same is true for non-covalent inhibitors such as pirtobrutinib (below, right). Immunomodulatory drugs, such as pomalidomide, demonstrate a more complete cell killing but at higher drug concentrations (below, left). NX-2127 outperforms these drugs in this cell viability assay, demonstrating both potent activity and complete cell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57150</wp:posOffset>
            </wp:positionV>
            <wp:extent cx="5657850" cy="1877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NX-2127</w:t>
      </w:r>
    </w:p>
    <w:p>
      <w:pPr>
        <w:spacing w:after="0" w:line="90" w:lineRule="exact"/>
        <w:rPr>
          <w:sz w:val="20"/>
          <w:szCs w:val="20"/>
          <w:color w:val="auto"/>
        </w:rPr>
      </w:pPr>
    </w:p>
    <w:p>
      <w:pPr>
        <w:ind w:right="60" w:firstLine="648"/>
        <w:spacing w:after="0" w:line="217" w:lineRule="exact"/>
        <w:rPr>
          <w:sz w:val="20"/>
          <w:szCs w:val="20"/>
          <w:color w:val="auto"/>
        </w:rPr>
      </w:pPr>
      <w:r>
        <w:rPr>
          <w:rFonts w:ascii="Times New Roman" w:cs="Times New Roman" w:eastAsia="Times New Roman" w:hAnsi="Times New Roman"/>
          <w:sz w:val="18"/>
          <w:szCs w:val="18"/>
          <w:color w:val="auto"/>
        </w:rPr>
        <w:t>We are studying the pharmacology, safety and clinical activity of NX-2127 in multiple subtypes of relapsed and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 including those in which ibrutinib has shown only modest effects or is ineffective, as in the case of CLL patients with BTK inhibitor resistance mutations. Furthermore, indications in which immunomodulatory activity could augment responses are of high interest. These indications include DLBCL, MCL, MZL and FL. We plan to expedite development in indications where NX-2127 shows evidence of compelling clinical activity and where there is high unmet need.</w:t>
      </w: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12" w:lineRule="exact"/>
        <w:rPr>
          <w:sz w:val="20"/>
          <w:szCs w:val="20"/>
          <w:color w:val="auto"/>
        </w:rPr>
      </w:pPr>
      <w:r>
        <w:rPr>
          <w:rFonts w:ascii="Times New Roman" w:cs="Times New Roman" w:eastAsia="Times New Roman" w:hAnsi="Times New Roman"/>
          <w:sz w:val="18"/>
          <w:szCs w:val="18"/>
          <w:color w:val="auto"/>
        </w:rPr>
        <w:t>As illustrated in the diagram below, we are enrolling patients in the Phase 1a dose-escalation trial in patients with relapsed or refractory NHL and a Phase 1b cohort expansion study of NX-2127 in patients with relapsed or refractory CLL. The Phase 1a portion is designed as a monotherapy dose escalation trial to investigate the safety and tolerability of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and to identify a maximum tolerated dose for further evaluation. The Phase 1b portion of the trial is designed as a monotherapy expansion trial in defined cohorts of up to 20 patients each. We selected a 100 mg dose for a Phase 1b expansion dose in CLL patients and that study is ongoing. The three other potential cohorts include patients with DLBCL, MCL/MZL/WM, and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69215</wp:posOffset>
            </wp:positionV>
            <wp:extent cx="5657850" cy="2280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clinical findings in patients with CLL</w:t>
      </w:r>
    </w:p>
    <w:p>
      <w:pPr>
        <w:spacing w:after="0" w:line="11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Two presentations at the 64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American Society of Hematology (ASH) annual meeting in December 2022 described positive data for NX-2127 in patients with CLL and new scientific findings supporting the rationale for BTK degradation as a novel mechanism of action to address the current and emerging unmet need in patients who have failed multiple prior lines of therapy. The first presentation described a set of clinically emergent BTK mutations that confer resistance to currently approved covalent BTK inhibitors and to unapproved noncovalent BTK inhibitors in development. These mutations fall into two biochemically defined categories of kinase proficient, which maintain their known enzymatic activity but no longer are fully inhibited by BTK active site inhibitors such as ibrutinib, and kinase dead, which lack the enzymatic activity normally attributed to BTK but still signal tumor growth promotion through the B-cell receptor in the presence of a BTK inhibitor. Such signaling has been hypothesized to be achieved through a structural, scaffolding function of the BTK protein. In the figure below, we demonstrate equivalent BTK degradation in clinical samples from patients in our Phase 1 trial independent of baseline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64135</wp:posOffset>
            </wp:positionV>
            <wp:extent cx="3857625" cy="2143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576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Source: Montoya et al., ASH 2022, Abstract #750.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second presentation included preliminary clinical findings from the ongoing Phase 1 trial for patients with CLL. Despite a median of five prior lines of treatment and BTK mutations present in 48% of patients, NX-2127 treatment resulted in an objective overall response rate of 33% (5 out of 15). Tumor shrinkage and clinical responses were observed in patients regardless of prior lines of therapy or baseline BTK mutations. The trial is ongoing, and we continue to enroll additional CLL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55245</wp:posOffset>
            </wp:positionV>
            <wp:extent cx="5657850" cy="2743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Source: Mato et al., ASH 2022, Abstract #965.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studies for NX-5948</w:t>
      </w:r>
    </w:p>
    <w:p>
      <w:pPr>
        <w:spacing w:after="0" w:line="119" w:lineRule="exact"/>
        <w:rPr>
          <w:sz w:val="20"/>
          <w:szCs w:val="20"/>
          <w:color w:val="auto"/>
        </w:rPr>
      </w:pPr>
    </w:p>
    <w:p>
      <w:pPr>
        <w:ind w:right="60" w:firstLine="648"/>
        <w:spacing w:after="0" w:line="296" w:lineRule="auto"/>
        <w:rPr>
          <w:sz w:val="20"/>
          <w:szCs w:val="20"/>
          <w:color w:val="auto"/>
        </w:rPr>
      </w:pPr>
      <w:r>
        <w:rPr>
          <w:rFonts w:ascii="Times New Roman" w:cs="Times New Roman" w:eastAsia="Times New Roman" w:hAnsi="Times New Roman"/>
          <w:sz w:val="17"/>
          <w:szCs w:val="17"/>
          <w:color w:val="auto"/>
        </w:rPr>
        <w:t>We are studying the pharmacology, safety, and clinical activity of NX-5948 in multiple subtypes of relapsed and refractory B-cell malignancies, including those in which ibrutinib has shown only modest effects or is ineffective, as in the case of CLL patients with BTK inhibitor resistance mutations.</w:t>
      </w:r>
    </w:p>
    <w:p>
      <w:pPr>
        <w:spacing w:after="0" w:line="44"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As illustrated in the diagram below, we are conducting a Phase 1a/1b dose-escalation and cohort expansion study of NX-5948 in patients with relapsed or refractory NHL and CLL. The Phase 1a portion is designed as a monotherapy dose escalation trial to investigate the safety and tolerability of NX-5948 and to identify a biologically active dose for cohort expansion and potentially a maximum tolerated dose. The Phase 1b portion of the trial is designed as a monotherapy expansion trial in up to five potential cohorts. We are currently enrolling patients at escalating doses in the Phase 1a portion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58420</wp:posOffset>
            </wp:positionV>
            <wp:extent cx="5657850" cy="2263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Initial biomarker data from the first dose levels in the ongoing Phase 1a trial shown below demonstrate rapid, robust, and sustained BTK degradation in all patients with once daily oral dosing of NX-5948.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54610</wp:posOffset>
            </wp:positionV>
            <wp:extent cx="3429000" cy="255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elevation portfolio in clinical trials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CBL-B</w:t>
      </w:r>
    </w:p>
    <w:p>
      <w:pPr>
        <w:spacing w:after="0" w:line="119" w:lineRule="exact"/>
        <w:rPr>
          <w:sz w:val="20"/>
          <w:szCs w:val="20"/>
          <w:color w:val="auto"/>
        </w:rPr>
      </w:pPr>
    </w:p>
    <w:p>
      <w:pPr>
        <w:ind w:right="260" w:firstLine="648"/>
        <w:spacing w:after="0" w:line="270" w:lineRule="auto"/>
        <w:rPr>
          <w:sz w:val="20"/>
          <w:szCs w:val="20"/>
          <w:color w:val="auto"/>
        </w:rPr>
      </w:pPr>
      <w:r>
        <w:rPr>
          <w:rFonts w:ascii="Times New Roman" w:cs="Times New Roman" w:eastAsia="Times New Roman" w:hAnsi="Times New Roman"/>
          <w:sz w:val="17"/>
          <w:szCs w:val="17"/>
          <w:color w:val="auto"/>
        </w:rPr>
        <w:t>T cells play a key role in cell-mediated adaptive immune response. Activation, expansion and function of antigen-specific T cells is a multistep process and its outcome depends on the balance of positive and negative feedback mechanisms controlling each step. Many factors can hamper the development of an efficient anti-tumor immune response, such as insufficient expression of tumor antigens, defective antigen presentation, inhibitory molecular interactions including those effected by immune checkpoints, immune suppressive factors or suppressor cells and T-cell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53340</wp:posOffset>
            </wp:positionV>
            <wp:extent cx="5657850" cy="2794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CBL-B, an E3 ligase expressed in immune cell lineages, functions as an intracellular orchestrator of the immune response by negatively regulating T-cell activation, as illustrated above. CBL-B also limits function and survival of NK cells, B cells, and dendritic cells as well as promotes T-cell exhaustion, anergy, and cell death. As such CBL-B represents a pivotal pathway negatively regulating immunity. CBL-B deficient animal models demonstrate enhanced signal dependent T-cell activation and robust T-cell dependent anti-tumor immunity.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CBL-B is highly expressed in human CD4+ and CD8+ T cells, with expression tightly regulated by CD28 and CTLA-4 and other co-stimulatory and inhibitory signals. T cells typically require two signals for activation, the first provided by interaction of the T-cell receptor (TCR), with a peptide presented by an MHC molecule, and the second through co-stimulatory molecules on antigen-presenting cells. CBL-B plays an essential role in the negative regulation of T-cell activation by regulating the activity of the TCR through substrate proteins that require a costimulatory signal to mount a productive immune response upon TCR engagement. Studies have found that CBL-B deficient T cells display lower thresholds for activation by antigen recognition receptors and co-stimulatory molecules such as CD28. For example, loss of CBL-B in T cells results in T cells that can be activated upon TCR engagement without co-stimulation by CD28. Importantly, our CBL-B inhibitors do not appear to activate T cells in the absence of TCR engagement. Such CBL-B deficient T cells are resistant to T-cell anergy, a tolerance mechanism in which T cells are functionally inactivated and T-cell proliferation is greatly impaired. Notably, CBL-B deficient T cells show increased rates of proliferation as well as elevated cytokine secretion including IL-2. The increased secretion of IL-2 is of particular importance in the optimization and development of our CBL-B inhibitors, serves as a key cellular biomarker for measuring successful T-cell activation and is a known therapeutic cytokine in oncology.</w:t>
      </w:r>
    </w:p>
    <w:p>
      <w:pPr>
        <w:spacing w:after="0" w:line="9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believe that our oral, small molecule CBL-B inhibitors have several potential immunotherapy applications through enhancing T-cell mediated anti-tumor activity by lowering the activation threshold of T cells in a suppressive tumor microenvironment where CBL-B plays a key role in the downregulation of T cells. Importantly, our CBL-B inhibitors do not appear to activate T cells in the absence of TCR engagement. We are studying our lead oral CBL-B inhibitor, NX-1607, in a Phase 1a dose escalation trial in multiple solid tumors and lymphoma. Solid tumors represent the vast majority of human cancers. Various immunotherapy strategies have been developed in order to increase the efficiency of anti-tumor immune response, including the use of antibody checkpoint inhibitors such as anti-PD-1, anti-PD-L1 and anti-CTLA-4, which block the “brakes” of immune response. These immune-stimulating antibodies have a more favorable clinical outcome than traditional treatment modalities on a growing list of tumor types. However, most patients fail to respond or experience only transient responses.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development of CBL-B inhibitors</w:t>
      </w:r>
    </w:p>
    <w:p>
      <w:pPr>
        <w:spacing w:after="0" w:line="11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 xml:space="preserve">We have developed a series of potent small molecule inhibitors of CBL-B activity that have demonstrated biochemical activity and effects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on human immune cells as well as in mouse tumor models. Consistent with studies cited above, CBL-B inhibitors enhanced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T-cell activation as measured by induction of IL-2, a key cytokine required for immune cell activation and proliferation. Induction of IL-2 secretion occurs at low nanomolar concentrations in primary human and mouse T cells stimulated with anti-CD3/anti-CD28 antibodies or anti-CD3 antibodies alone. As illustrated below, we demonstrated several fold increases in IL-2 production in tandem with increasing biochemical activity of our CBL-B inhibitors. In addition, certain of our CBL-B inhibitors reduced anergy and exhaustion in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model of T-cell exhaustion using human donor T cells and further, this effect was additive to that achieved with an anti-PD-1 antibody. Based on our findings to date, we believe that CBL-B inhibitors may induce an immune cell localized IL-2 secretion that in combination with other immune activation effects will enhance anti-tumor responses. The precursor compounds shown in the graphs below led to the optimization and selection of NX-1607 and NX-0255 as development candidates in our CBL-B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61595</wp:posOffset>
            </wp:positionV>
            <wp:extent cx="5657850" cy="199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strategy of CBL-B inhibitors</w:t>
      </w:r>
    </w:p>
    <w:p>
      <w:pPr>
        <w:spacing w:after="0" w:line="11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We are focused on three major immunotherapy applications for our CBL-B inhibitors in oncology. In these applications, our overall strategy is to maximize an anti-tumor effect and clinical benefit of our CBL-B inhibitors by enhancing T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In the first application, NX-1607, an oral small molecule immunotherapy drug candidate, is intended to be used as a single agent or in combination with other mechanistically complementary oncology therapies. The second application is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use of NX-0255 to create drug-enhanced cell therapy products. DeTIL-0255 is a drug-enhanced investigational cell therapy product that uses NX-0255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to enhance TIL propagation and phenotypic characteristics. In 2022, we completed a safety run-in portion of a Phase 1 trial in patients. The third application is the use of orally dosed NX-1607 in combination with potentially any cell therapy, such as DeTIL-0255, to promote engraftment and anti-tumor activity of the transplanted cells.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NX-1607, an oral CBL-B inhibitor for immuno-oncology</w:t>
      </w:r>
    </w:p>
    <w:p>
      <w:pPr>
        <w:spacing w:after="0" w:line="11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NX-1607 is an investigational, orally bioavailable, potent inhibitor of CBL-B.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demonstrated that NX-1607 treatment resulted in a dose-dependent increase in T cells activation in TCR stimulated primary human T cells in the presence and, to a lesser extent, in the absence of CD28 co-stimulation, a potential advantage in a suppressive tumor microenvironment.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NX-1607 has been demonstrated to increase T-cell activation in primary human T cells in the absence of co-stimulation with CD3 and CD28, a potential advantage in a suppressive tumor microenvironment.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oral administration of NX-1607 in mice has demonstrated notable tumor growth inhibition in a tumor model as illustrated in the figure below on the left. The tumor growth inhibition with oral administration of NX-1607 recapitulates the genetic experiment in mice with a ligase-inactive version of CBL-B which also shows tumor growth inhibition as illustrated in the figure below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wp:posOffset>
            </wp:positionV>
            <wp:extent cx="5657850" cy="2245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effects of orally administered NX-1607 were further evaluated as a single agent in several mouse models of cancer. In the experiments shown in the figure below on the left, oral treatment with NX-1607 at a dose of 30 mg/kg (blue circles) significantly reduced the size of tumors measured at day 25 compared to vehicle treated animals (black squares) in this colorectal cancer model. In the figure below in the middle, oral treatment with NX-1607 significantly increased survival in this neoadjuvant model of metastatic triple-negative breast cancer in which treatment was initiated just prior to surgical primary tumor resection. Without further treatment, all mice in the vehicle group (black line) died by day 60 as a result of disseminated tumor metastases in the lung, liver and brain. By contrast, animals treated with NX-1607 (blue line) administered as a daily oral dose starting at day 7 and continuing through day 46 demonstrated a highly significant prolongation of survival. In the figure below on the right, oral treatment with NX-1607 (blue squares) significantly reduced the size of tumors and the rate of tumor growth compared to the vehicle group (black circles) in a B-cell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66675</wp:posOffset>
            </wp:positionV>
            <wp:extent cx="5657850" cy="2383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effects of orally administered NX-1607 were evaluated in combination with an antibody to PD-1 in several mouse models of cancer as shown in the figure below. In the left and middle panels, the combination of oral NX-1607 plus anti-PD-1 (light blue lines) demonstrated increased survival in two separate colorectal cancer models compared with animals treated with either NX-1607 alone (blue line), anti-PD -1 alone (red line), or vehicle (black line). In the panel on the right, the activity of oral NX-1607, anti-PD-1 and the combination of NX-1607 and anti-PD-1 were tested in a model of metastatic triple-negative breast cancer. Both single agent NX-1607 (blue triangles) and single agent anti-PD-1 (red circles) reduced the number of lung metastases at day 28 compared with the vehicle group (black squares), but the combination of NX-1607 and anti-PD-1 (light blue diamonds) was superior to either single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wp:posOffset>
            </wp:positionV>
            <wp:extent cx="5657850" cy="2408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NX-1607</w:t>
      </w:r>
    </w:p>
    <w:p>
      <w:pPr>
        <w:spacing w:after="0" w:line="119"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We are studying the pharmacology, safety and clinical activity of single-agent NX-1607 in multiple solid tumor indications and lymphoma. The solid tumors selected for this initial assessment include three different immune phenotypes: checkpoint-resistant tumors, tumors with an immunosuppressive microenvironment, and tumors that are poorly immunogenic. We believe that there is a scientific rationale for the role of CBL-B inhibition in each of these immune phenotypes.</w:t>
      </w:r>
    </w:p>
    <w:p>
      <w:pPr>
        <w:spacing w:after="0" w:line="6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As illustrated in the diagram below, we are conducting a Phase 1a/1b dose-escalation and cohort expansion study of NX-1607 in patients with relapsed or refractory solid tumors and lymphoma. The Phase 1a portion is designed as a monotherapy dose escalation trial to investigate the safety and tolerability of NX-1607, to identify a biologically active dose for cohort expansion and to identify a maximum tolerated dose. The Phase 1b portion of the trial is designed as a monotherapy expansion trial in eight potential cohorts spanning four immune phenotypes, including immune checkpoint-resistant tumors, highlight suppressive tumor microenvironment indications, low immunogenicity/low antigenicity tumors and hematologic malignancies with T cell dysfunction or post-CAR-T. We are currently enrolling patients in the Phase 1a dose escalation portion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57150</wp:posOffset>
            </wp:positionV>
            <wp:extent cx="5657850" cy="237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Adoptive Cell Therapies</w:t>
      </w:r>
    </w:p>
    <w:p>
      <w:pPr>
        <w:spacing w:after="0" w:line="119"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Adoptive Cell Therapies represent another class of immunotherapy in which T cells are isolated directly from patient tumors, as with TIL, or from patient blood with subsequent genetic modification to recognize specific antigens present on cancer cells, as with CAR-T therapies. Tumor-reactive T cells are then expanded and infused back into the patient. Currently, the only FDA-approved ACTs are anti-CD19 CAR-T therapies that are approved for treatment of acute B-cell leukemia and acute B-cell lymphoma and anti-BCMA CAR-T therapies that are approved for the treatment of multiple myeloma. CAR-T therapies have not yet proven to be effective in solid tumors. This is due to a number of factors within the tumor microenvironment unique to solid tumors such as the presence of immune checkpoint molecules and suppressive cytokines, and the heterogeneous nature of tumor cells themselves, preventing the identification of uniformly expressed targets for CAR design. Another ACT is TIL therapy. TIL is an expanded collection of lymphocytes that have penetrated the stroma of a tumor and contain host T cells that have recognized a variety of tumor antigens.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expanded TIL can be infused into the patient as a therapeutic to amplify the patient’s own immune response to the tumor. Although existing ACT have delivered encouraging results in certain hematologic malignancies and some solid tumors, most patients fail to respond due to three main issues: (i) failure to obtain sufficient quantity and/or quality of T cells from the tumor samples or from the blood for a successful production process, (ii) poor engraftment of T cells upon reinfusion to the patient and (iii) lack of a persistent anti-tumor response or relapse.</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CBL-B Inhibitors for Adoptive Cell Therapies</w:t>
      </w:r>
    </w:p>
    <w:p>
      <w:pPr>
        <w:spacing w:after="0" w:line="119"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The opportunities to address the above limitations are substantial, and our results to date support the concept that CBL-B inhibitors may address some or all of the current limitations of ACT. We are advancing several lines of experimentation to refine our understanding of the clinical and commercial opportunities in this area. We have consolidated these efforts under an initiative we call the Nurix Adoptive Cell Therapy program (NxACT). Our NxACT initiative includes a drug-enhanced TIL program known as DeTIL, as illustrated in the figure below, and a drug-enhanced CAR-T therapy known as DeCART. The broader conceptual framework for NxACT is convergence of targeted protein modulation with ACT. In addition to CBL-B, we expect to explore additional targets for protein modulation that may be useful in the NxACT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57150</wp:posOffset>
            </wp:positionV>
            <wp:extent cx="5657850" cy="256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Based on our preclinical findings to date, we believe CBL-B inhibition using NX-0255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during the isolation and expansion of TIL can address some of the issues that have limited the success of existing ACT. We believe the use of NX-0255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can address these limitations by producing not only more T cells, but also T cells with favorable characteristics including greater numbers of CD8+ T cells with an enhanced central memory phenotype, a profile that has been associated with better clinical outcomes. In our preclinical ACT research program, we expanded TIL from human tumor samples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measured the effects of drug enhancement by NX-0255 on TIL production. Compared to TIL isolated and expanded in the presence of IL-2, TIL isolated and expanded with NX-0255 and IL-2 (DeTIL-0255) demonstrated greater proliferation, less exhaustion, increased cytotoxicity and increased central memory T-cell population.</w:t>
      </w:r>
    </w:p>
    <w:p>
      <w:pPr>
        <w:spacing w:after="0" w:line="75"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 xml:space="preserve">The DeTIL-0255 investigational product under development is an autologous cell therapy consisting of T cells derived from a patient’s tumor expanded in culture with IL-2 + NX-0255. Although NX-0255 has limited oral bioavailability, we have demonstrated inhibition of CBL-B both biochemically and in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T-cell culture, making it well suited for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creation of new ACT products. DeTIL-0255 is designed to be a single administration autologous TIL therapy infused following non-myeloablative chemotherapy. We believe DeTIL-0255 could allow a broader application of TIL therapy, potentially providing long term benefit to patients with multiple types of cancer.</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development of DeTIL-0255</w:t>
      </w:r>
    </w:p>
    <w:p>
      <w:pPr>
        <w:spacing w:after="0" w:line="11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We have tested NX-0255 in a mouse model of ACT shown below to determine if culture of tumor specific T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in the presence of a potent CBL-B inhibitor can confer a superior anti-tumor effect as compared to standard culture conditions using IL-2 alone. We have demonstrated that even a short, three-day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exposure of T cells to NX-0255, either alone or in combination with IL-2, conferred a lasting anti-tumor phenotype upon transfer of the cells into a tumor-bearing animal as compared to controls. We have also demonstrated that those cells cultured under standard conditions with IL-2 alone resulted in superior conditional survival of the mice relative to controls, but not as good as either group treated with NX-0255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58420</wp:posOffset>
            </wp:positionV>
            <wp:extent cx="5657850" cy="255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648"/>
        <w:spacing w:after="0" w:line="221" w:lineRule="exact"/>
        <w:rPr>
          <w:sz w:val="20"/>
          <w:szCs w:val="20"/>
          <w:color w:val="auto"/>
        </w:rPr>
      </w:pPr>
      <w:r>
        <w:rPr>
          <w:rFonts w:ascii="Times New Roman" w:cs="Times New Roman" w:eastAsia="Times New Roman" w:hAnsi="Times New Roman"/>
          <w:sz w:val="18"/>
          <w:szCs w:val="18"/>
          <w:color w:val="auto"/>
        </w:rPr>
        <w:t>We have further preclinically explored ACT by including an oral dosing regimen of NX-1607 in combination with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0255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treated T cells. The results shown below illustrate that the combination with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1607 yields more substantial anti-tumor effect and subsequent conditional survival than with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ACT alone. These data support our plan to explore the combination of oral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1607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NX-0255 ACT in a future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60325</wp:posOffset>
            </wp:positionV>
            <wp:extent cx="5657850" cy="2177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DeTIL-0255</w:t>
      </w:r>
    </w:p>
    <w:p>
      <w:pPr>
        <w:spacing w:after="0" w:line="11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recently completed the safety run-in portion of the DeTIL-0255 Phase 1 trial for patients with relapsed and refractory gynecologic cancers. For this trial, we worked with contract manufacturing organizations (CMOs) with experience in TIL product development for the development of the DeTIL-0255 process and manufacturing. The primary objective of the study is to evaluate the safety and tolerability of DeTIL-0255 autologous cell therapy. Secondary objectives include an exploratory evaluation of efficacy. Other exploratory objectives include characterization of DeTIL-0255 phenotypes utilizing a variety of T-cell markers, identification of potential mechanisms of response or resistance to DeTIL-0255 including repertoire analysis and persistence of the autologous cell therapy in the patient. The safety run-in portion of the trial included three patients with advanced EOC who have been dosed with DeTIL-0255 and have cleared the initial safety evaluation. The timing of the expansion of the Phase 1 trial will be established following a determination regarding the potential inclusion of NX-1607 in future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69850</wp:posOffset>
            </wp:positionV>
            <wp:extent cx="5657850" cy="26060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DELigase platform</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approach leverages the specificity of E3 ligases and the natural function of the UPS to regulate the cellular proteome for therapeutic effect. Development of therapies that modulate E3 ligases has been historically limited by the inherent difficulties in building biochemical and cellular assays relevant for measuring E3 ligase function, as well as by the relative lack of mechanistic understanding of this critical class of proteins. Through our focused efforts and investment over the past several years, we have developed proprietary tools, in-depth knowledge and expertise relating to E3 ligases as targets for drug discovery. In addition, we have assembled a team that has extensive experience applying DEL discovery technologies to a wide variety of proteins including targets previously considered undruggable. Together, these capabilities and insights have allowed us to develop a powerful platform technology called DELigase to identify and advance novel drug candidates that either selectively increase or decrease protein levels within the cell.</w:t>
      </w:r>
    </w:p>
    <w:p>
      <w:pPr>
        <w:spacing w:after="0" w:line="8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DELigase platform combines our proprietary DELs and E3 ligase expertise to empower efficient drug discovery. DEL technology is well suited to finding new binders for targets thought to be undruggable, which include the vast majority of proteins encoded in the human genome including E3 ligases.</w:t>
      </w: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 technology taps enormous chemical space to overcome “druggability” limits</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Our DEL collection comprises several billion compounds whereas typical screening collections contain less than a few million. This increased scale provides the necessary chemical diversity to identify chemical starting points for more challenging protein targets that have been considered undruggable by other approaches. DEL technology evaluates each library compound simultaneously in a single experiment, enabling a more accurate assessment of compound function. In addition, because DEL drug discovery is performed by measuring compound binding rather than biochemical activity it allows inclusion of proteins for which biochemical assays are lacking or not feasible. Further, the relative ease with which binding screens can be performed and interpreted provides sufficient flexibility to allow evaluation of structurally complicated proteins like E3 ligases, which display distinct conformations and activity states and are often part of large multi-protein complexes. Lastly, a chemical linker attaches each DEL compound to a strand of DNA, which functions as a structure barcode allowing screening hits to be easily identified. DEL’s built in chemical linker is also an advantage in the context of identifying bifunctional degraders, as it allows the discovery of compounds that can effectively bind proteins when linked to a partner molecule.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DELigase platform was designed for E3 ligase discovery</w:t>
      </w:r>
    </w:p>
    <w:p>
      <w:pPr>
        <w:spacing w:after="0" w:line="121" w:lineRule="exact"/>
        <w:rPr>
          <w:sz w:val="20"/>
          <w:szCs w:val="20"/>
          <w:color w:val="auto"/>
        </w:rPr>
      </w:pPr>
    </w:p>
    <w:p>
      <w:pPr>
        <w:jc w:val="both"/>
        <w:ind w:right="380" w:firstLine="648"/>
        <w:spacing w:after="0" w:line="258" w:lineRule="auto"/>
        <w:rPr>
          <w:sz w:val="20"/>
          <w:szCs w:val="20"/>
          <w:color w:val="auto"/>
        </w:rPr>
      </w:pPr>
      <w:r>
        <w:rPr>
          <w:rFonts w:ascii="Times New Roman" w:cs="Times New Roman" w:eastAsia="Times New Roman" w:hAnsi="Times New Roman"/>
          <w:sz w:val="18"/>
          <w:szCs w:val="18"/>
          <w:color w:val="auto"/>
        </w:rPr>
        <w:t>Our integrated DELigase platform relies on proprietary DELs we have specifically engineered to identify and select binders against a diverse group of target protein classes, including some considered to be undruggable, as well as binders to E3 ligases. Key features of our DELigase platform include:</w:t>
      </w:r>
    </w:p>
    <w:p>
      <w:pPr>
        <w:spacing w:after="0" w:line="57" w:lineRule="exact"/>
        <w:rPr>
          <w:sz w:val="20"/>
          <w:szCs w:val="20"/>
          <w:color w:val="auto"/>
        </w:rPr>
      </w:pPr>
    </w:p>
    <w:p>
      <w:pPr>
        <w:ind w:left="660" w:right="40" w:hanging="328"/>
        <w:spacing w:after="0" w:line="24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Custom-synthesized DELs. </w:t>
      </w:r>
      <w:r>
        <w:rPr>
          <w:rFonts w:ascii="Times New Roman" w:cs="Times New Roman" w:eastAsia="Times New Roman" w:hAnsi="Times New Roman"/>
          <w:sz w:val="18"/>
          <w:szCs w:val="18"/>
          <w:color w:val="auto"/>
        </w:rPr>
        <w:t>Our custom-synthesized chemical scaffolds impart desirable, drug-like chemical properties, like solubility, into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library compound in a manner that cannot be achieved when building DEL collections solely from commercial inputs. The three-dimensional design of the proprietary scaffolds allows our library compounds to complement the surface of the target proteins, making them ideal for binding targets classically considered undruggable, such as E3 ligases. For 75% of the undruggable targets screened by us, the scaffold libraries have been the sole source of hits from our collection. Our collection of over 5 billion compounds also enables us to find diverse hits for classical targets and contains a sizable subset of covalent compounds, which have been shown as another effective way to bind E3 ligases. Covalent compounds have begun to show promise in augmenting performance of targeted protein degraders, suggesting that our covalent DELs may have additional utility for Targeted Protein Modulation.</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Design of the Nurix DEL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78740</wp:posOffset>
            </wp:positionV>
            <wp:extent cx="5657850" cy="2305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60" w:hanging="328"/>
        <w:spacing w:after="0" w:line="24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data analysis and hit confirmation technologies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built a suite of custom analytical tools for interpretation and prioritization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DEL binder outputs, which routinely contain thousands of productive hits. By leveraging data collected from hundreds of DEL screens, we are able to rapidly eliminate background signal and reveal the most promising target-specific ligands. We have also developed machine learning and high throughput methods for nanoscale hit resynthesis and affinity selection mass spectroscopy that allow a more comprehensive and industrialized process for finding the best chemical starting points for future pipeline programs.</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Leveraging the Nurix DEL Database for clear classification of enriched DEL ligands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86995</wp:posOffset>
            </wp:positionV>
            <wp:extent cx="6069330" cy="23660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6933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100" w:hanging="328"/>
        <w:spacing w:after="0" w:line="25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Many screens, one protein target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E3 ligases can exist in multiple potential conformation states. Our approach uses comprehensive parallel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screening campaigns to interrogate numerous states and surfaces of the target protein. An illustration of how we probe the surface of an E3 ligase by DEL screening is depicted in the graphic below.</w:t>
      </w:r>
    </w:p>
    <w:p>
      <w:pPr>
        <w:spacing w:after="0" w:line="7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i w:val="1"/>
          <w:iCs w:val="1"/>
          <w:color w:val="auto"/>
        </w:rPr>
        <w:t>DELs allow access to a spectrum of binders across the protein surface, some of which inhibit protein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86995</wp:posOffset>
            </wp:positionV>
            <wp:extent cx="5657850" cy="3008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Rapid automated chemistry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state-of-the-art automated chemistry robotic suite allows for rapid synthesis of both binders and fully assembled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degrader molecules. This automation enables us to sample unprecedented chemical space and allows for faster design test cycles which accelerates drug discovery projects.</w:t>
      </w:r>
    </w:p>
    <w:p>
      <w:pPr>
        <w:spacing w:after="0" w:line="200" w:lineRule="exact"/>
        <w:rPr>
          <w:sz w:val="20"/>
          <w:szCs w:val="20"/>
          <w:color w:val="auto"/>
        </w:rPr>
      </w:pPr>
    </w:p>
    <w:p>
      <w:pPr>
        <w:spacing w:after="0" w:line="36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462915</wp:posOffset>
            </wp:positionV>
            <wp:extent cx="5657850" cy="2288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right="20" w:hanging="328"/>
        <w:spacing w:after="0" w:line="252"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Harnessing our data generation pipelines with Machine Learning. </w:t>
      </w:r>
      <w:r>
        <w:rPr>
          <w:rFonts w:ascii="Times New Roman" w:cs="Times New Roman" w:eastAsia="Times New Roman" w:hAnsi="Times New Roman"/>
          <w:sz w:val="18"/>
          <w:szCs w:val="18"/>
          <w:color w:val="auto"/>
        </w:rPr>
        <w:t>Our investment in scalable science has created large data streams stemming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our DEL, automated chemistry, and high-throughput experimental platforms. Our internal machine learning team leverages these data in developing models to enable property prediction of our targeted degraders, to support small molecule and TPD lead optimization efforts and to enhance the data analysis and lead ID workflows of our DEL platform.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DELigase discovery platform enables us to address multiple therapeutic applications</w:t>
      </w:r>
    </w:p>
    <w:p>
      <w:pPr>
        <w:spacing w:after="0" w:line="12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have expanded the universe of E3 ligases available for therapeutic manipulation from the two predominantly used in the field, cereblon and VHL, by screening over 60 additional E3 ligases to date. We have carefully selected these E3 ligases for use in drug discovery across our four core areas of therapeutic expertise: oncology, immuno-oncology, adoptive cell therapy and immune disorders. We consider the unique biological function of each ligase and the therapeutic requirements of the disease state for inhibitor programs. For ligases that direct targeted protein degradation, we take into account the biochemical specificity of the E3 ligase as well as tissue specificity of action and cellular localization of the target protein. E3 ligases that are required for cancer cell survival are also of high interest for cancer indications to reduce the risk of intrinsic resistance to degrader action. We are growing our set of E3 ligases for use in our DELigase platform tailored to our core therapeutic areas.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DELigase for E3 ligase harnesses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apply our platform to utilize the ubiquitination function of E3 ligases for targeted protein degradation. Our DELigase platform enables us to identify binders to E3 ligases, which we refer to as harnesses, as well as binders to degradation targets. We use these molecular starting points to design compounds using a modular approach that connects an E3 ligase harness to a target protein binder with a linker. We refer to these bifunctional molecules as targeted protein degraders, which function by bringing the E3 ligase into proximity of the target protein to catalyzing its ubiquitination and degradation.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DELigase for E3 ligase inhibitors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By inhibiting the function of E3 ligases, it is possible to rapidly increase specific protein levels to control biological pathways. Increasing the levels of distinct sets of proteins could be a powerful approach to blocking pathological processes and restoring normal physiology. Our DELigase platform enables the identification of inhibitors through parallel screening of distinct E3 ligase activity states using chemical matter tailored specifically for binding to E3 ligases. Our substantial expertise in E3 ligase biochemistry and biology has allowed us to identify and develop potent inhibitors of E3 ligases that play pivotal roles in T-cell signaling and immune cell function.</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candidate identification and selection process</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employ a series of processes and studies from target validation to preclinical development for selection of the appropriate candidate for further development. We have invested in an integrated drug development infrastructure that enables us to perform every step of the drug discovery and early preclinical development process within our research facility. Each of our primary areas of core expertise and technology are highlighted in the below illustration.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Our integrated drug discovery and development system and core technical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18415</wp:posOffset>
            </wp:positionV>
            <wp:extent cx="5657850" cy="2271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and License Agreement</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Over time and subject to certain limitations, Sanofi may elect to replace the drug targets with other reserved targets.</w:t>
      </w:r>
    </w:p>
    <w:p>
      <w:pPr>
        <w:spacing w:after="0" w:line="72"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we entered into the Fourth Amendment to the Sanofi Agreement to modify the research plan for a certain target, which had no impact on revenue recognition.</w:t>
      </w:r>
    </w:p>
    <w:p>
      <w:pPr>
        <w:spacing w:after="0" w:line="7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subject to certain conditions and limitations.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We are eligible to receive additional payments if Sanofi exercises an option to extend the license term with respect to a particular target. In addition, from the signing of the Sanofi Agreement to November 30, 2022, we received payments of $3.0 million for research milestones. As of November 30, 2022, we are eligible to receive up to approximately $2.5 billion in total payments, including payments of up to $496.0 million upon the achievement of specified development milestones, up to $625.0 million upon the achievement of specified regulatory milestones and up to $1.3 billion upon the achievement of certain sales milestones, as well as up to $126.5 million in certain additional fees related to target licensing and reservation. In addition, we are eligible to receive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7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the expiration of (i)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Sanofi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In August 2019 and September 2022, we entered into the First and Second Amendment, respectively, to the Gilead Agreement to clarify certain language of the Gilead Agreement.</w:t>
      </w:r>
    </w:p>
    <w:p>
      <w:pPr>
        <w:spacing w:after="0" w:line="6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69"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5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November 30, 2022, we have received payments of $34.5 million for research milestones and additional payments. As of November 30, 2022, we are eligible to receive up to approximately $2.3 billion in total additional payments, including up to $667.5 million upon the achievement of specified development milestones, up to $1.5 billion upon the achievement of specified sales milestones, subject to reduction for any product for which we exercise our option to co-develop and co-promote, and up to $136.8 million in certain additional fees related to target licensing, reservation and selection and research term extensions.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on the later of (i) the expiration of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last-to-expire option period.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facilities for product manufacturing, packaging, storage and distribution, or testing. We rely on and expect to continue to rely on contract manufacturing organizations (CMOs) for both drug substance and finished drug product, and ACT product. We have personnel or engaged consultants with extensive technical, manufacturing, analytical and quality experience and good project management to oversee contract manufacturing and testing activities. We have engaged third-party manufacturers to supply the drug substance for NX-2127, NX-5948 and NX-1607 and to develop and manufacture finished drug product for use in our Phase 1 clinical trials. We have also engaged a third-party manufacturer to supply the drug substance for NX-0255 and to develop and manufacture the cell therapy product DeTIL-0255. We currently obtain our supplies from these manufacturers on a purchase order basis and do not have long-term supply arrangements in place. Because TIL and CAR-T therapies are manufactured on a patient-by-patient basis, they involve complex manufacturing and we anticipate that we will have to rely on third-party manufacturers to manufacture our ACT products for pre-clinical studies and clinical trials. Should any of these manufacturers become unavailable to us for any reason, we believe that there are a number of potential replacements, although we may incur some delay in identifying and qualifying such replacements.</w:t>
      </w:r>
    </w:p>
    <w:p>
      <w:pPr>
        <w:spacing w:after="0" w:line="75"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All of our drug candidates are organic compounds of low molecular weight, generally called small molecules, but which are larger than traditional small molecule therapeutics. We have selected these compounds not only on the basis that they could have potentially favorable efficacy and safety profiles, but also for their ease of synthesis and reasonable cost of their starting materials. In particular, our lead drug candidates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cost-effectively at contract manufacturing facilities.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rapidly advancing technologies, intense competition and a strong emphasis on intellectual property and proprietary products. While we believe that our technology, development experience, scientific knowledge and intellectual property portfolio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modulation, but any drug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9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platform and product focus is the discovery and development of protein modulation therapies using our chimeric small molecules and ligase inhibitors. Other companies researching chimeric small molecules for protein degradation include Arvinas, Inc., BeiGene, Ltd., BioTheryX, Inc., C4 Therapeutics, Inc., Cullgen Inc., Foghorn Therapeutics Inc., Kymera Therapeutics, Inc. and Monte Rosa Therapeutics. Further, several large pharmaceutical companies have disclosed preclinical investments in this field, including Amgen Inc., AstraZeneca plc, Bayer AG, Bristol-Myers Squibb Company, Genentech, Inc., GlaxoSmithKline plc and Novartis International AG. Furthermore, we are aware of several biotech companies focused on developing TIL therapies for the treatment of cancer, including Instil Bio, Inc. and Iovance Biotherapeutics, Inc. Moreover, we also compete with current and future therapeutics developed at universities and other research institutions. In addition to competition from other protein modulation therapies, any products that we develop may also face competition from other types of therapies, such as small molecule, antibody, vaccine or gene therapies.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Our lead drug candidates target hematologic cancers and immune-mediated diseases including immuno-oncology and cell-based therapeutics for cancer. The most common methods of treating patients in oncologic indications are surgery, radiation and drug therapy, including chemotherapy, hormone therapy and targeted drug therapy. A new class of therapies for treatment of oncology patients are ACTs including CAR-T cell therapies and TIL cell therapies. There are a variety of available drug therapies marketed for cancer, including hematologic cancers.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7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addition to currently marketed drugs, there are also several drug candidates in late-stage clinical development for the treatment of oncologic indications and immune-mediated diseases. These products in development may provide efficacy, safety, convenience and other benefits that are not provided by currently marketed therapies. As a result, they may provide significant competition for any of our drug candidates for which we obtain market approval.</w:t>
      </w:r>
    </w:p>
    <w:p>
      <w:pPr>
        <w:spacing w:after="0" w:line="6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any of our drug candidates are approved for the indications for which we currently are conducting clinical trials or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6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9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our programs, if approved, are likely to be their efficacy, safety, convenience, price, level of generic competition and availability of reimbursement.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platforms, drug candidates and improvements thereof that are commercially important to our business, including obtaining, maintaining and defending patent rights, whether developed internally or licensed from third parties. Our policy is to seek to protect our proprietary position by, among, other methods, pursuing patent protection in the United States and in jurisdictions outside of the United States related to our proprietary technology, inventions, improvements, platforms and drug candidates that are important to the development and implementation of our business. Our patent portfolio, including pending priority applications and Patent Cooperation Treaty (PCT) applications, is intended to cover, but is not limited to, our technology platforms, drug candidates and components thereof and their methods of use, and any other inventions that are commercially important to our business. However, the portfolio covering our drug candidates is at an early stage and is currently comprised of only applications and we do not currently own or license any issued patents.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also rely on trade secret protection of our confidential information and know-how relating to our proprietary technology, platforms and drug candidates and continuing innovation to develop, strengthen and maintain our position in our DELigase platform and drug candidates. Trade secrets are difficult to protect and provide us with only limited protection.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 applications; to defend against challenges and assertions by third parties of their purported intellectual property rights; and to operate without infringement of valid and enforceable patents and other proprietary rights of third parties. For risks related to our intellectual property, please see “Risk Factors—Risks Related to Our Intellectual Property.”</w:t>
      </w:r>
    </w:p>
    <w:p>
      <w:pPr>
        <w:spacing w:after="0" w:line="92"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believe that we have a strong global intellectual property position and substantial know how and trade secrets relating to our DELigase platform and drug candidates. As of December 31, 2022, we have four U.S. patents, 19 U.S. patent applications and 80 foreign applications that we own, and three pending U.S. patent applications and 23 foreign patent applications that we co-own with Gilead. The expected expirations for issued patents and patents that may issue from pending applications covering our clinical candidates are 2039-2042 for NX-2127 and NX-5948; 2040-2042 for NX-1607; and 2040 for DeTIL-0255.</w:t>
      </w:r>
    </w:p>
    <w:p>
      <w:pPr>
        <w:spacing w:after="0" w:line="7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most countries in which we file, including the United States, the patent term is 20 years from the earliest date of filing of a non-provisional patent application in the applicable country. However, the patent term of U.S. patents may, in certain cases, be adjusted for administrative delays by the United States Patent and Trademark Office (USPTO) in examining and granting a patent or may be shortened if a patent is terminally disclaimed over an earlier filed patent. In addition, the term of a patent may be extended as compensation for the patent term lost during the FDA regulatory review process.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Regulation—The Hatch-Waxman Act—Patent term extension.” In the future, if and when our pharmaceutical drug candidates receive FDA approval, we expect to apply for patent term extensions on patents, if issued, covering those drug candidates. We intend to seek patent term extensions to any of our patents, if issued, in any jurisdiction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75"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6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also rely on trade secret protection for our know-how, confidential and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confidential and proprietary information as trade secrets, including through contractual means with our employees, consultants, outside scientific collaborators, sponsored researchers and other advisors, competitors or other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Despite these efforts, we cannot provide any assurances that all such agreements have been duly executed, and any of these parties may breach the agreements and disclose our proprietary information, and we may not be able to obtain adequate remedies for such breaches.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sections titled “Risk Factors— Risks Related to Our Intellectual Property” and “Risk Factors—Risks Related to Regulatory Approval and Marketing of Our Drug Candidates.”</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In the United States, biological and pharmaceutical products are subject to extensive regulation by the FDA. The processes for obtaining approval in the United States, along with subsequent compliance with applicable statutes and regulations and other regulatory authorities, require the expenditure of substantial time and financial resources. The Federal Food, Drug, and Cosmetic Act (FDCA), Public Health Service Act (PHSA), and other federal and state statutes and regulations govern, among other things, the research, development, testing, manufacture, quality control, packaging, storage, recordkeeping, approval, labeling, promotion, advertising and marketing, distribution, post-approval monitoring and reporting, sampling, tracking and tracing and import and export of biological and pharmaceutical products. Failure to comply with applicable U.S. requirements may subject a company to a variety of administrative or judicial sanctions, such as FDA refusal to approve pending new drug applications (NDAs) or biologics licensure applications (BLAs), withdrawal of an approval, imposition of a clinical hold, warning or untitled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w:t>
      </w:r>
    </w:p>
    <w:p>
      <w:pPr>
        <w:spacing w:after="0" w:line="78"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Biological or pharmaceutical product development for a new product or certain changes to an approved or licensed product in the United States typically involves preclinical laboratory and animal tests, the submission to the FDA of an investigational new drug application (IND) which must become effective before clinical testing may commence, and adequate and well-controlled clinical trials to establish the safety and effectiveness of a drug, or the safety, purity, or potency of a biological product, for each indication for which FDA approval is sought. Satisfaction of FDA pre-market approval and licensure requirements typically takes many years and the actual time required may vary substantially based upon the type, complexity and novelty of the product or disease.</w:t>
      </w:r>
    </w:p>
    <w:p>
      <w:pPr>
        <w:spacing w:after="0" w:line="7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Preclinical tests include laboratory evaluation of product chemistry, formulation and toxicity,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trials to assess the characteristics and potential safety and efficacy of the product for initial testing in humans and to establish a rationale for therapeutic use.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7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new drug or biological product to be shipped in interstate commerce for use in an investigational clinical trial and a request for FDA authorization to administer an investigational drug or biological product to humans. Such authorization must be secured prior to interstate shipment and administration of any new drug or biological product that is not the subject of an approved NDA or BLA. In support of a request for an IND, a sponsor must submit a protocol for each clinical trial and any subsequent protocol amendments must be submitted to the FDA as part of the IND. The sponsor may be a company seeking to develop the drug or biological product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w:t>
      </w:r>
    </w:p>
    <w:p>
      <w:pPr>
        <w:spacing w:after="0" w:line="7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 30-day waiting period after the submission of each IND is required prior to the commencement of clinical testing in humans.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clinical trial proposed in the IND may begin.</w:t>
      </w:r>
    </w:p>
    <w:p>
      <w:pPr>
        <w:spacing w:after="0" w:line="7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or biological product to healthy volunteers or patients under the supervision of a qualified investigator. Clinical trials must be conducted: (i) in compliance with federal regulations; (ii) in compliance with good clinical practice (GCP), which is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as a clinical hold or partial clinical hold, or impose other sanctions, if it believes that the clinical trial either is not being conducted in accordance with FDA requirements or presents an unacceptable risk to the clinical trial patients.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Specifically, the FDA has promulgated regulations governing the acceptance of data from foreign clinical trials not conducted under an IND, establishing that such data from studies will be accepted as support for an IND or application for marketing approval if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81"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study protocol and informed consent information for patients in clinical trials must also be submitted to an institutional review board (IRB) representing each institution participating in the clinical trial. The IRB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may also require the clinical trial at the site to be halted, either temporarily or permanently, for failure to comply with the IRB’s requirements, or may impose other conditions.</w:t>
      </w:r>
    </w:p>
    <w:p>
      <w:pPr>
        <w:spacing w:after="0" w:line="72"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8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(NIH) for public dissemination on its ClinicalTrials.gov website. Sponsors are also obligated to disclose the results of their clinical trials after completion. Disclosure of the results of these trials can be delayed in certain circumstances for up to two years after the date of completion of the trial.</w:t>
      </w:r>
    </w:p>
    <w:p>
      <w:pPr>
        <w:spacing w:after="0" w:line="69"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Clinical trials to support NDAs or BLAs for marketing approval or licensure are typically conducted in three sequential phases, but the phases may overlap. In Phase 1, the drug or biological product is introduced into healthy human subjects or in certain indications such as cancer, into patients with the target disease or condition. The drug is tested in Phase 1 to assess metabolism, pharmacokinetics, pharmacological actions, side effects associated with increasing doses, and, if possible, early evidence of effectiveness. Phase 2 usually involves trials in a limited patient population to determine the effectiveness or potency of the drug or biological product for a particular indication, dosage tolerance and optimum dosage, and to identify common adverse effects and safety risks. If a product candidate demonstrates evidence of effectiveness and an acceptable safety profile in Phase 2 evaluations, Phase 3 trials are conducted. In a Phase 3 trial, the drug or biological product is administered to an expanded patient population, generally at geographically dispersed clinical trial sites, in well-controlled clinical trials to generate enough data to statistically evaluate the efficacy or potency and purity, and safety, of the product for approval or licensure, to establish the overall risk benefit profile of the product, and to provide adequate information for the labeling of the product.</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most cases the FDA requires at least two adequate and well-controlled Phase 3 clinical trials to demonstrate the efficacy or potency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Post-approval studies, or Phase 4 trials, are often required following initial approval and are intended to gain additional experience and data from treatment of patients in the intended therapeutic indication.</w:t>
      </w:r>
    </w:p>
    <w:p>
      <w:pPr>
        <w:spacing w:after="0" w:line="7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conducted under an IND must be submitted at least annually to the FDA and more frequently if serious adverse effects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or biological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or biological product has been associated with unexpected serious harm to patients. The FDA will typically inspect one or more clinical sites to assure compliance with GCP and the integrity of the clinical data submitted in an NDA or BLA.</w:t>
      </w:r>
    </w:p>
    <w:p>
      <w:pPr>
        <w:spacing w:after="0" w:line="78"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or biological product as well as finalize a process for manufacturing the product in commercial quantities in accordance with current good manufacturing practices (cGMP) requirements. The manufacturing process must be capable of consistently producing quality batches of the drug or biological product candidate and, among other things, must develop methods for testing the identity, strength, quality and purity of the final drug. Additionally, appropriate packaging must be selected and tested, and stability studies must be conducted to demonstrate that the drug or biological product candidate does not undergo unacceptable deterioration over its shelf life.</w:t>
      </w:r>
    </w:p>
    <w:p>
      <w:pPr>
        <w:spacing w:after="0" w:line="7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After completion of the required clinical testing, an NDA or BLA is prepared and submitted to the FDA. FDA approval of the NDA or BLA is required before marketing of the product may begin in the United States. The application must include the results of all preclinical, clinical and other testing and a compilation of data relating to the product’s pharmacology, chemistry, manufacture and controls. The cost of preparing and submitting an application is substantial. The submission of most NDAs or BLAs is additionally subject to a substantial application user fee, currently set for fiscal year 2023 at $3,242,026 for applications requiring clinical data, and $1,621,013 for applications not requiring clinical data, and the manufacturer and sponsor under an approved NDA or BLA are also subject to annual program fees, currently set for fiscal year 2023 at $393,933 for each prescription product. These fees are typically increased annually. Sponsors of applications for drugs granted Orphan Drug Designation are exempt from these user fees.</w:t>
      </w:r>
    </w:p>
    <w:p>
      <w:pPr>
        <w:spacing w:after="0" w:line="87"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The FDA has 60 days from its receipt of an NDA or BLA to determine whether the application will be accepted for filing based on the agency’s threshold determination that it is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review. The FDA has agreed to certain performance goals in the review of NDAs and BLAs to encourage timeliness. The FDA intends to review applications for standard review product candidates within ten months of the 60-day filing date; and applications for priority review product candidates within six months. Priority review can be applied to drugs or biological products that the FDA determines treat a serious condition, and if approved, would offer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 limiting product reaction, documented enhancement of patient compliance that may lead to improvement in serious outcomes, and evidence of safety and effectiveness in a new subpopulation. The review process for both standard and priority review may be extended by the FDA for three additional months to consider certain late-submitted information, or information intended to clarify information already provided in the submission.</w:t>
      </w:r>
    </w:p>
    <w:p>
      <w:pPr>
        <w:spacing w:after="0" w:line="92"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or biological product to an advisory committee for review, evaluation and a recommendation as to whether the application should be approved, or otherwise explain why such referral was not made. An advisory committee is typically a panel that includes clinicians and other experts. The FDA is not bound by the recommendation of an advisory committee, but it generally follows such recommendations.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one or more clinical sites to assure compliance with GCP. Additionally, the FDA will inspect the facility or the facilities at which the drug or biological product is manufactured. The FDA will not approve the application unless compliance with cGMPs is satisfactory and the application contains data that provide substantial evidence that the drug is safe and effective, or the biological product is safe, pure and potent, in the indication studied.</w:t>
      </w:r>
    </w:p>
    <w:p>
      <w:pPr>
        <w:spacing w:after="0" w:line="69" w:lineRule="exact"/>
        <w:rPr>
          <w:sz w:val="20"/>
          <w:szCs w:val="20"/>
          <w:color w:val="auto"/>
        </w:rPr>
      </w:pPr>
    </w:p>
    <w:p>
      <w:pPr>
        <w:jc w:val="both"/>
        <w:ind w:right="80" w:firstLine="648"/>
        <w:spacing w:after="0" w:line="260" w:lineRule="auto"/>
        <w:rPr>
          <w:sz w:val="20"/>
          <w:szCs w:val="20"/>
          <w:color w:val="auto"/>
        </w:rPr>
      </w:pPr>
      <w:r>
        <w:rPr>
          <w:rFonts w:ascii="Times New Roman" w:cs="Times New Roman" w:eastAsia="Times New Roman" w:hAnsi="Times New Roman"/>
          <w:sz w:val="17"/>
          <w:szCs w:val="17"/>
          <w:color w:val="auto"/>
        </w:rPr>
        <w:t>After the FDA evaluates the NDA or BLA and accompanying information and the manufacturing facilities, it issues either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or BLA, the FDA will issue an approval letter. The FDA intends to review such resubmissions in two or six months depending on the type of information included.</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Even with submission of this additional information, the FDA ultimately may decide that the application does not satisfy the regulatory criteria for approval or licensure.</w:t>
      </w:r>
    </w:p>
    <w:p>
      <w:pPr>
        <w:spacing w:after="0" w:line="8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or biological product with specific prescribing information for specific indications. As a condition of approval or licensure, the FDA may require a risk evaluation and mitigation strategy (REMS) to help ensure that the benefits of the drug or biological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or biological product.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7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If the FDA approves or licenses a drug or biological product, it may limit the approved indications for use of the product; require that contraindications, warnings or precautions be included in the product labeling; require that post-approval studies, including Phase 4 clinical trials, be conducted to further assess the drug’s safety after approval or licensure;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Changes to some of the conditions established in an approved application, including changes in indications, labeling, or manufacturing processes or facilities, require submission and FDA approval of a new NDA or BLA, or an NDA or BLA supplement before the change can be implemented. An NDA or BLA supplement for a new indication typically requires clinical data similar to that in the original application, and the FDA uses the same procedures and actions in reviewing NDA and BLA supplements as it does in reviewing NDAs and BLAs.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medicines in the European Union (EU)</w:t>
      </w:r>
    </w:p>
    <w:p>
      <w:pPr>
        <w:spacing w:after="0" w:line="12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In the EU, companies can apply for marketing authorizations under the centralized procedure to the European Medicines Agency (EMA) or they can submit their application to the competent authorities in the European Economic Area (EEA) Member States via the decentralized procedure, the national procedure, or the mutual recognition procedure. The centralized procedure is mandatory for certain medicines, such as those produced by biotechnology, orphan medicinal products, advanced therapy medicinal products and those containing a new active substance indicated for the treatment of HIV, AIDS, cancer, neurodegenerative disorders, autoimmune and other immune dysfunctions, viral diseases, or diabetes. The centralized procedure remains optional for medicines containing a new active substance, or which are a significant therapeutic, scientific, or technical innovation or whose authorization would be in the interest of public health. Therefore the centralized procedure remains mandatory for the majority of biological medicinal products.</w:t>
      </w:r>
    </w:p>
    <w:p>
      <w:pPr>
        <w:spacing w:after="0" w:line="92"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marketing authorization granted under the centralized procedure by the EMA will be valid in all EEA Member States. The maximum timeframe for the evaluation of a marketing authorization application by the EMA is 210 days but can be extended should additional information be required by the EMA’s Committee for Medicinal Products for Human Use (CHMP). The European Commission makes the final decision to grant a marketing authorization, which is issued within 67 days of receipt of the EMA’s positive opinion. An accelerated assessment procedure of 150 days may be implemented for drugs considered to be of major public health interest.</w:t>
      </w:r>
    </w:p>
    <w:p>
      <w:pPr>
        <w:spacing w:after="0" w:line="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Under the mutual recognition procedure, the national marketing authorization holder may submit an application to other EEA Member States. The Member States involved must decide whether to recognize the approval within 90 days of receiving the application. If a Member State does not recognize the marketing authorization, the disputed points are eventually referred to the European Commission, whose decision is binding.</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Since the United Kingdom (UK) has left the EU, Great Britain is no longer covered by centralized marketing authorizations. This is not the case for Northern Ireland as under the Northern Ireland Protocol, centralized marketing authorizations continue to be recognized in Northern Ireland. Medicines with existing centralized marketing authorizations were automatically converted to Great Britain marketing authorizations on January 1, 2021. For a period of two years from January 1, 2021, the Medicines and Healthcare Products Regulatory Agency (MHRA), the UK medicines regulator, can rely on a decision taken by the European Commission on the approval of a new marketing authorization in the centralized procedure, in order to more quickly grant a new Great Britain marketing authorization. A separate application is, however, still required. The MHRA has ceased to participate in the assessment of any centralized procedures since January 1, 2021. Since then, the MHRA has launched the Innovative Licensing and Access Pathway (ILAP), a new accelerated assessment procedure for marketing authorization applications that enables companies to enter the UK market faster.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regulation and data sharing in the EU</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In the EU, a Clinical Trial Application (CTA) must be submitted for each clinical trial to each Member State’s national competent authority (NCA) and ethics approval must be sought from an independent Ethics Committee. Once the CTA is approved in accordance with a particular Member State’s requirements, the clinical trial may proceed. Under the EU Clinical Trials Regulation 536/2014, which has been in effect since January 31, 2022 replacing the EU Clinical Trials Directive 2001/20/EC, suspected unexpected serious adverse reactions to the drug being trialed occurring during the clinical trial must be reported to the NCA and the Ethics Committee of the Member State where they occurred.</w:t>
      </w:r>
    </w:p>
    <w:p>
      <w:pPr>
        <w:spacing w:after="0" w:line="73"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In the EU, Transparency Regulation No 1049/ 2001, EMA Policy 0043, EMA Policy 0070, as well as the Clinical Trials Regulation No 536/2014 set out the obligation for sponsors to make publicly available certain information stemming from clinical studies, whether proactively or in response to third party requests. Interested parties based in the EU may submit a request to the EMA to access information included in the marketing authorization application for authorized medicinal products. Commercially confidential information and protected personal data, however, may not be accessed.</w:t>
      </w:r>
    </w:p>
    <w:p>
      <w:pPr>
        <w:spacing w:after="0" w:line="65"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On May 3, 2022, the European Commission published a proposal for a regulation on the European Health Data Space (EHDS), which aims to further enable exchange of electronic health data both for primary use (among national EU healthcare systems for patient care) and secondary use (among private companies and regulators to enable scientific research). Whilst the regulation is currently under discussions among the EU legislators, the text is expected to be finalized by the end of 2023 and for the EHDS to become reality in 2025. This will impose new obligations, but also create opportunities, for entities engaged in health-related research to share and access health data on a scale much larger than what is foreseen under current applicable transparency provisions.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 in the UK following Brexit</w:t>
      </w:r>
    </w:p>
    <w:p>
      <w:pPr>
        <w:spacing w:after="0" w:line="121"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UK officially left the EU on January 31, 2020. A transition period during which EU law remained applicable to the UK began on February 1, 2020 and ended on December 31, 2020. The EU regulatory framework for medicinal products in place before the end of the transition period has been preserved in UK domestic legislation as “retained EU law” but the UK may diverge from EU law in the future should it wish to do so. Pursuant to the Northern Ireland Protocol, the EU pharmaceutical legal framework acquis continues to apply in Northern Ireland and medicines can only be placed in the Northern Ireland market if they comply with EU law. The UK government is however currently trying to renegotiate the Northern Ireland Protocol.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approval pathways</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 In addition, Accelerated Approval offers the potential for approval based on a surrogate or intermediate clinical endpoint. In May 2014, the FDA published a final Guidance for Industry titled “Expedited Programs for Serious Conditions Drugs and Biologics,” which provides guidance on the FDA programs that are intended to facilitate and expedite development and review of new drug or biological product candidates as well as threshold criteria generally applicable to concluding that a product candidate is a candidate for these expedited development and review programs.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FDA may designate a product for Fast Track review if it is intended, whether alone or in combination with one or more other products, for the treatment of a serious or life 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7"/>
          <w:szCs w:val="17"/>
          <w:color w:val="auto"/>
        </w:rPr>
        <w:t>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available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 disciplinary project lead for the review team; rolling review; and taking other steps to design the clinical trials in an efficient manner.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The FDA may grant Accelerated Approval to a drug or biological product for a serious or life threatening condition that provides meaningful therapeutic advantage to patients over available treatments based upon a determination that the drug or biological product has an effect on a surrogate endpoint that is reasonably likely to predict clinical benefit. The FDA may also grant Accelerated Approval for such drug or biological product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Drugs and biological products granted Accelerated Approval must meet the same statutory standards for safety and effectiveness as those granted traditional approval.</w:t>
      </w:r>
    </w:p>
    <w:p>
      <w:pPr>
        <w:spacing w:after="0" w:line="7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or biological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 or biological product.</w:t>
      </w:r>
    </w:p>
    <w:p>
      <w:pPr>
        <w:spacing w:after="0" w:line="7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or biological product, even if the effect on the surrogate or intermediate clinical endpoint occurs rapidly. Thus, Accelerated Approval has been used extensively in the development and approval of drugs and biological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6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studies to verify and describe the product’s clinical benefit. As a result, a drug or biological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or biological product from the market on an expedited basis. In addition, all promotional materials for drugs and biological products approved under accelerated regulations are subject to prior review by the FDA.</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EU and UK operate accelerated evaluation and assessment schemes, which include, at EU level, PRIME (PRIority MEdicines) scheme and, at UK level, the Early Access to Medicines Scheme (EAMS), which may be granted in exceptional cases, often when there is unmet medical need for a life-threatening or serious debilitating condition and existing data show a positive benefit/risk balance that means the medicinal product is of a major public health interest. The CHMP of the EMA or the MHRA (or other national competent authority) will make this determination on a case-by-case basis and subject to meeting eligibility criteria. Accelerated assessment takes place within 150 days. Other regulatory facilitations for these pathways include additional scientific advice at key development milestones and frequent guidance and discussions throughout the approval process. In the UK, the MHRA has launched the Innovative Licensing and Access Pathway (ILAP), a new accelerated assessment procedure for marketing authorization applications that enables companies to enter the UK market faster, available since January 1,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or biological products intended to treat a rare disease or condition—generally a disease or condition that affects fewer than 200,000 individuals in the United States. Orphan Drug Designation must be requested before submitting an NDA. After the FDA grants Orphan Drug Designation, the name of the drug or biological product and its potential orphan-designated use are disclosed publicly by the FDA. Orphan Drug Designation does not convey any advantage in, or shorten the duration of, the regulatory review and approval process.</w:t>
      </w:r>
    </w:p>
    <w:p>
      <w:pPr>
        <w:spacing w:after="0" w:line="7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first NDA or BLA applicant to receive FDA approval for a particular drug or biological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biological product for the same disease, except in limited circumstances, such as a showing of clinical superiority to the product with orphan drug exclusivity. Orphan drug exclusivity does not prevent the FDA from approving a different drug or biological product for the same disease or condition, or the same drug or biological product for a different disease or condition. Among the other benefits of Orphan Drug Designation are tax credits for certain research and an exemption from the NDA or BLA application user fee.</w:t>
      </w:r>
    </w:p>
    <w:p>
      <w:pPr>
        <w:spacing w:after="0" w:line="8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 designated orphan drug or biological product may not receive orphan drug exclusivity if it is licensed for a use that is broader than the indication for which it received orphan designation. In addition, exclusive marketing rights in the United States may be rescinded if the FDA later determines that the request for designation was materially defective or if the manufacturer is unable to assure sufficient quantities of the product to meet the needs of patients with the rare disease or condition.</w:t>
      </w:r>
    </w:p>
    <w:p>
      <w:pPr>
        <w:spacing w:after="0" w:line="69"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In the EU and UK, under Regulation (EC) 141/2000 and the UK Human Medicines Regulations 2012 SI 2012 No. 1916 (as amended), respectively, medicinal products may be granted an orphan drug designation if they are used to treat or prevent life-threatening or chronically debilitating conditions that affect no more than five in 10,000 people in the EU/UK and for which there is no satisfactory method of diagnosis, prevention or treatment when the application is made, or when the medicinal product is of significant benefit to those affected by the condition. In addition, orphan drug designation can be granted to drugs used to treat or prevent life-threatening or chronically debilitating conditions which, for economic reasons, would be unlikely to be developed without incentives.</w:t>
      </w:r>
    </w:p>
    <w:p>
      <w:pPr>
        <w:spacing w:after="0" w:line="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application for orphan designation must be submitted to and approved by the EMA in respect of the EU or to the MHRA for Great Britain before an application is made for marketing authorization for the product. Medicinal products which benefit from orphan status, which they successfully maintain post-grant of the marketing authorization, can benefit from up to ten years of market exclusivity in respect of the approved indication. This prevents regulatory authorities in the EU or Great Britain, as the case may be, from granting marketing authorizations for similar medicinal products for the same therapeutic indication, unless another applicant can show that the similar medicinal product in question is safer, more effective or clinically superior to the orphan-designated product or if the marketing authorization holder consents to the second orphan medicinal product application, or where the marketing authorization holder cannot supply the needs of the market.</w:t>
      </w:r>
    </w:p>
    <w:p>
      <w:pPr>
        <w:spacing w:after="0" w:line="7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 Conversely, the 10-year exclusivity period can be further extended by two years, when pediatric studies are conducted in accordance with an agreed pediatric investigation plan (PIP) and in completion of all the legal requirements.</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It is noted that the general pharmaceutical legislative framework, as well as the framework applicable to orphan and pediatric medicinal products in the EU, is under review. The European Commission expects to publish its position on this in the second quarter of 2023. Although the final proposals are not yet known, it is expected that there will be a reduction in applicable regulatory exclusivities which will significantly affect all medicinal products that will be authorized after the legislative changes have taken effect.</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Drugs and biological 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through the applicant’s submission of a supplemental application, and approval. There also are continuing, annual user fee requirements for any marketed products and the establishments at which such products are manufactured, as well as new application fees for supplemental applications with clinical data.</w:t>
      </w:r>
    </w:p>
    <w:p>
      <w:pPr>
        <w:spacing w:after="0" w:line="7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addition, drug and biological product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7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7" w:lineRule="exact"/>
        <w:rPr>
          <w:sz w:val="20"/>
          <w:szCs w:val="20"/>
          <w:color w:val="auto"/>
        </w:rPr>
      </w:pPr>
    </w:p>
    <w:p>
      <w:pPr>
        <w:ind w:left="660" w:right="3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including total or partial suspension of production, complete withdrawal of the product from the market or product recalls;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BLAs or supplements to approved NDAs or BLAs, or suspension or revocation of product license approvals;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04"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biological products may be promoted only for the approved indications and consistently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addition, the distribution of prescription drug products is subject to the Prescription Drug Marketing Act (PDMA) which regulates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drugs and drug samples at the federal level, and sets minimum standards for the registration and regulation of drug distributors by the states.</w:t>
      </w:r>
    </w:p>
    <w:p>
      <w:pPr>
        <w:spacing w:after="0"/>
        <w:rPr>
          <w:sz w:val="20"/>
          <w:szCs w:val="20"/>
          <w:color w:val="auto"/>
        </w:rPr>
      </w:pPr>
      <w:r>
        <w:rPr>
          <w:rFonts w:ascii="Times New Roman" w:cs="Times New Roman" w:eastAsia="Times New Roman" w:hAnsi="Times New Roman"/>
          <w:sz w:val="18"/>
          <w:szCs w:val="18"/>
          <w:color w:val="auto"/>
        </w:rPr>
        <w:t>Both the PDMA and state laws limit the distribution of prescription drug product samples and impose requirements to ensure accountability in distribution.</w:t>
      </w:r>
    </w:p>
    <w:p>
      <w:pPr>
        <w:spacing w:after="0" w:line="84"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Many jurisdictions, including the EU and the UK, require each marketing authorization holder, national competent authority and the EMA to operate a pharmacovigilance system to ensure that the safety of all medicines is monitored throughout the lifetime of a medicinal product. The overall EU pharmacovigilance system operates through cooperation between the EU Member States, EMA and the European Commission. Applicable obligations extend to all activities consisting of procuring, holding, supplying or exporting medicinal products to the public and may therefore be incumbent upon importers, distributors and other economic operators in the supply chain.</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Abbreviated new drug applications for generic drugs</w:t>
      </w:r>
    </w:p>
    <w:p>
      <w:pPr>
        <w:spacing w:after="0" w:line="121"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 listed drug (RLD).</w:t>
      </w:r>
    </w:p>
    <w:p>
      <w:pPr>
        <w:spacing w:after="0" w:line="9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7"/>
          <w:szCs w:val="17"/>
          <w:color w:val="auto"/>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Abridged marketing authorization applications for generic and biosimilar drugs in the EU and the UK</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Generic and hybrid medicinal products of reference medicinal products authorized via the centralized procedure have automatic access to the centralized procedure. Generic and hybrid products can refer to the complete dossier (i.e. the quality, pre-clinical and clinical data) of the reference medicinal product in their marketing authorization application, by demonstration of bioequivalence, usually through the submission of the appropriate bioavailability studies after the period of regulatory data protection (also called “data exclusivity”) has expired, namely eight years after the grant of the marketing authorization of the reference medicinal product. Applicants will be able to cross-refer to the dossier of the reference medicinal product, as long as the data protection period has expired. This abridged application procedure avoids the requirement to repeat trials and allows generic applicants a faster entry to the market. If a biosimilar of a reference biological product does not meet the conditions in the definition of generic medicinal products, owing to, in particular, differences relating to raw materials or differences in manufacturing processes of the biological medicinal product and the reference biological medicinal product, the results of appropriate pre-clinical studies or clinical trials relating to these conditions must be provided. The type and quantity of supplementary data to be provided must comply with the relevant criteria stated in Annex I of Directive 2001/83 as amended and the related detailed guidelines. The results of other tests and trials from the reference medicinal product’s dossier do not need to be provided.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505(b)(2) New Drug Applications</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patent certification and the 30-month stay</w:t>
      </w:r>
    </w:p>
    <w:p>
      <w:pPr>
        <w:spacing w:after="0" w:line="121"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Orange Book.</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would be required of an ANDA applicant.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known as a Section VIII statement.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 under the Hatch-Waxman Amendments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addition, under the Hatch-Waxman Amendments, the FDA may not approve an ANDA or 505(b)(2) NDA referencing a particular drug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submitted to the FDA until the expiration of five years from the date the NDA is approved, unless the submission is accompanied by a Paragraph IV certification, in which case the applicant may submit its application four years following the original product approval.</w:t>
      </w:r>
    </w:p>
    <w:p>
      <w:pPr>
        <w:spacing w:after="0" w:line="73"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it does, however, block the FDA from approving ANDAs or 505(b)(2) NDAs during the period of exclusivity. The FDA typically makes decisions about awards of data exclusivity shortly before a product is approved.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 candidates shown to be highly similar, or “biosimilar,” to or interchangeable with an FDA licensed reference biological product. Biosimilarity, which requires that a product is highly similar to the reference product notwithstanding minor differences in clinically inactive components, and that there be no clinically meaningful differences between the biological product and the reference product in terms of safety, purity, and potency, can generally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interchangeable biosimilar and the reference biological product may be alternated or switched after one has been previously administered without increasing safety risks or risks of diminished efficacy relative to exclusive use of the reference biological product.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and have slowed implementation of the BPCIA by the FDA.</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reference product exclusivity, another company may obtain FDA licensure and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73"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there has been discussion of whether Congress should reduce the 12-year reference product exclusivity period. Other aspects of the BPCIA, some of which may impact the BPCIA exclusivity provisions, have also been the subject of recent litigation. As a result, the ultimate implementation of the BPCIA is subject to significant uncertainty.</w:t>
      </w:r>
    </w:p>
    <w:p>
      <w:pPr>
        <w:spacing w:after="0" w:line="61"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In the EU and the UK, an abridged procedure is available for the regulatory approval of biosimilars, on the basis of comparability studies to the reference biological medicine to substantiate the safety and efficacy profile of the biosimilar product. This comparability with the reference biological medicinal product is only available after the period of regulatory data protection has expired namely eight years after the grant of the marketing authorization of the reference biological medicinal product has expired. Recently, the MHRA and the EMA have stated that comparative data may not be required across all therapeutic indications and may be extrapolated to other indications already approved for the reference medicinal product. The interchangeability of biosimilars remains subject to national determination, on a case-by-case basis; however a recent scientific recommendation by the EMA may lead to a default assumption of interchangeability across all biosimilars in the EU and in the UK.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 and exclusivity</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Pediatric Research Equity Act of 2003, an NDA, BLA or supplement thereto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With enactment of the Food and Drug Administration Safety and Innovation Act of 2012 (FDASIA), sponsors must also submit pediatric study plans prior to the assessment data.</w:t>
      </w:r>
    </w:p>
    <w:p>
      <w:pPr>
        <w:spacing w:after="0" w:line="6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6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FDASIA. Unless otherwise required by regulation, the pediatric data requirements do not apply to products with Orphan Drug Designation.</w:t>
      </w:r>
    </w:p>
    <w:p>
      <w:pPr>
        <w:spacing w:after="0" w:line="8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92"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Under the European Pediatric Regulation (Regulation (EC) No 1901/2006), which has also been reflected in and retained by UK law, applicants must submit to the national competent authority or the EMA data from pediatric studies in compliance with an agreed PIP for the validation or acceptance of a marketing authorization application, unless the medicine is exempt because of a deferral or waiver. The conduct of the paediatric studies in accordance with the agreed PIP will result in the grant of a reward (period of protection) which will depend on the type of product (i.e., orphan medicinal product will benefit from an extension of the orphan exclusivity by two years, bringing it to 12 years of marketing exclusivity; or an extension of the supplementary protection certificate by six months).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After NDA approval, owners of relevant drug or biological product patents may apply for up to a five-year patent extension, which permits patent term restoration as compensation for the patent term lost during the FDA regulatory process. The allowable patent term extension is typically calculated as one-half the time between the effective date of an IND application and the submission date of a NDA or BLA, plus the time between submission date and the approval date of the NDA or BLA, up to a maximum of five years. The time can be shortened if the FDA determines that the applicant did not pursue approval with due diligence. The total patent term after the extension may not exceed 14 years from the date of product approval. Only one patent applicable to an approved drug or biological product is eligible for extension and only those claims covering the approved drug or biological product,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In the EU and the UK, a patent may be extended by up to a maximum of five years and the protection conferred by the certificate shall extend only to the product covered by the authorization to place the corresponding medicinal product on the market (in the EU and UK) and for any use of the product as a medicinal product that has been authorized before the expiry of the certificate. The aim is to compensate for the erosion of patent term between the filing of a patent and the grant of an MA for a medicinal product incorporating the relevant invention. The term of a supplementary protection certification may be extended by a further six months if the pediatric studies have been conducted in accordance with an agreed PIP within the applicable timeframe.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drug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7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We will also be subject to certain ex-U.S. privacy laws in connection with our clinical trial activities outside the United States such as the EU General Data Protection Regulation (EU GDPR), non-compliance with which could result in administrative fines of up to the greater of €20.0 million or 4% of global annual revenues. The EU GDPR also confers a private right of action on data subjects and consumer associations to lodge complaints with supervisory authorities, seek judicial remedies and obtain compensation for damages resulting from violations of the EU GDPR.</w:t>
      </w:r>
    </w:p>
    <w:p>
      <w:pPr>
        <w:spacing w:after="0" w:line="8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The EU GDPR grants individuals various data protection rights (e.g., the right to erasure of personal data) and imposes stringent data protection requirements on U.S.-based companies, such as ours, which fall within its scope, including inter alia: (i) accountability, data treatment and transparency requirements; and (ii) obligations to report certain personal data breaches to the supervisory authority without undue delay (and no later than 72 hours where feasible). In addition, the EU GDPR prohibits the transfer of personal data from the EEA to the United States and other jurisdictions that the European Commission does not recognize as having “adequate” data protection laws unless a data transfer mechanism has been put in place. In July 2020, the Court of Justice of the European Union limited how organizations could lawfully transfer personal data from the EEA to the United States by invalidating the EU-U.S. Privacy Shield for purposes of international transfers and imposed further restrictions on use of standard contractual clauses (SCCs) (i.e., EU-style data transfer agreements)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Moreover, new versions of the SCCs (new EU SCCs) have recently been published requiring additional compliance and implementation efforts. However, in October 2022, President Biden signed an Executive Order to facilitate a new Trans-Atlantic Data Privacy Framework which will act as a successor to the invalidated EU-U.S. Privacy Shield. Following this, in December 2022, the European Commission released a draft adequacy decision for the United States, reflecting its belief that the Executive Order and Framework address the transfer issues raised when the EU-U.S. Privacy Shield was invalidated. If finalized, the agreement will facilitate the transatlantic flow of personal data and provide additional safeguards (in addition to the new SCCs) for companies transferring personal data from the EU to the United States.</w:t>
      </w:r>
    </w:p>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7"/>
          <w:szCs w:val="17"/>
          <w:color w:val="auto"/>
        </w:rPr>
        <w:t>Relatedly, following the UK’s withdrawal from the EU (Brexit), the EU GDPR has been implemented in the UK (UK GDPR). The UK GDPR sits alongside the UK Data Protection Act 2018, which implements certain derogations in the EU GDPR into UK law. The requirements of the UK GDPR are (at this time) largely aligned with those under the EU GDPR and as such, may lead to similar compliance and operational costs with potential fines for non-compliance of up to £17.5 million or 4% of annual worldwide turnover. As a result, we are potentially exposed to two parallel data protection regimes, each of which authorizes fines and the potential for divergent enforcement actions. In terms of international data transfers, the UK also imposes obligations on entities transferring personal data outside of the UK, in a similar manner to the EU. The UK’s data protection authority (ICO), has released its own version of the SCCs, the International Data Transfer Agreement (IDTA). We note that companies have the choice to use either the IDTA or the new EU SCCs along with a “UK Addendum” for any restricted international data transfers. In addition, the UK has published its own transfer privacy impact assessment called the Transfer Risk Assessment (TRA) tool, although again parties may conduct the EU style transfer impact assessment instead of adopting the TRA tool.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medicines in Europe</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the EU, pricing and reimbursement methods can differ in each Member State. Some Member States and the UK may require that health technology assessments (HTA) be completed to obtain reimbursement or pricing approval. The outcome of HTAs is decided on a national basis and some Member States may decide not to reimburse the use of medicines or may reduce the rate of reimbursement. In December 2021, the EU adopted a new Regulation on Health Technology Assessment which allows Member States to carry out joint clinical assessments and operate joint clinical consultations. It is expected that the new Regulation will come into effect in 2025. In the UK, NICE is the body in England and Wales, which conducts HTAs and issues guidance on whether a product is considered to be “cost-effective” and therefore recommended for use and reimbursement under the national health service. This means that if a positive recommendation has been obtained, then the medicinal product will be widely available to patients in England and Wales. For avoidance of doubt, Scotland and Northern Ireland have their own HTA bodies which will conduct their own assessment.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in addition to FDA restrictions on marketing of pharmaceutical and biological products, we are also subject to healthcare statutory and regulatory requirements and enforcement by the U.S. federal and state governments. Even though we are not in a position to make patient referrals and do not bill Medicare, Medicaid or other government or commercial third-party payers, our relationships with healthcare providers, physicians and third-party payors will subject us to healthcare statutory and regulatory requirements and enforcement by federal and state governments. These laws include anti-kickback statutes, false claims statutes and other healthcare laws and regulations.</w:t>
      </w:r>
    </w:p>
    <w:p>
      <w:pPr>
        <w:spacing w:after="0" w:line="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7"/>
          <w:szCs w:val="17"/>
          <w:color w:val="auto"/>
        </w:rPr>
        <w:t>The federal Anti-Kickback Statute prohibits, among other things, knowingly and willfully offering, paying, soliciting or receiving any remuneration, directly or indirectly, in cash or in kind, to induce, or in return for, purchasing, leasing, ordering or arranging for, referring, or recommending the purchase, lease or order of any healthcare item or service that may be reimbursable, in whole or in part, under Medicare, Medicaid, or other federal health care program. The Patient Protection and Affordable Care Act, as amended by the Health Care and Education Reconciliation Act (collectively, the ACA) amended the intent element of the federal Anti-Kickback Statute to clarify that a person or entity need not have actual knowledge of the statute or specific intent to violate it in order to commit a violation. Among others, this statute applies to arrangements between pharmaceutical and biological product manufacturers on the one hand and prescribers, purchasers and formulary managers on the other, including, for example, consulting/speaking arrangements, discount and rebate offers, grants, charitable contributions and patient support offerings. A conviction for violation of the federal Anti-Kickback Statute can result in criminal fines and/or imprisonment and requires mandatory exclusion from participation in federal health care programs. Exclusion from the federal healthcare programs may also be imposed if the government determines that an entity has committed acts that are prohibited by the federal Anti-Kickback Statute. Although there are a number of statutory exceptions and regulatory safe harbors protecting certain common activities from prosecution or other regulatory sanctions under the law, the exceptions and safe harbors are drawn narrowly and practices that involve remuneration intended to induce prescribing, purchases or recommendations may be subject to scrutiny if they do not qualify for an exception or safe harbor.</w:t>
      </w: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federal civil False Claims Act prohibits, among other things, any person or entity from knowingly presenting, or causing to be presented, a false claim for payment to the federal government, or knowingly making, or causing to be made, a false record or statement material to a false claim. The False Claims Act covers claims made to programs where the federal government reimburses (directly or indirectly) individuals and entities, such as under the Medicare and Medicaid programs, as well as programs where the federal government is a direct purchaser, such as when it purchases off of the Federal Supply Schedule. The law also prohibits avoiding, decreasing or concealing an obligation to pay money to the federal government. The government can bring claims directly or through a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and potential liability includes mandatory treble damages and significant per claim penalties currently set at $12,537 up to $25,076 per false claim or statement for penalties assessed after May 9, 2022. Numerous pharmaceutical and other healthcare companies have been prosecuted under these laws for allegedly inflating drug or biological product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to commercially reimbursed items or services or regardless of whether reimbursement from a federal or state healthcare program is available for the item or service. There is also the Federal Criminal False Claims Act, which is similar to the Federal Civil False Claims Act and imposes criminal liability on those that make or present a false, fictitious or fraudulent claim to the federal government.</w:t>
      </w:r>
    </w:p>
    <w:p>
      <w:pPr>
        <w:spacing w:after="0" w:line="7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or receive a reimbursable item or service from a particular provider, practitioner or supplier (although pharmaceutical and biological product manufacturers are not considered providers, practitioners or suppliers for purposes of this law), and contracting with an individual or entity that the person knows or should know is excluded from participation in a federal health care program. In addition, federal criminal statutes created by the Health Insurance Portability and Accountability Act of 1996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7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7"/>
          <w:szCs w:val="17"/>
          <w:color w:val="auto"/>
        </w:rPr>
        <w:t>In addition, HIPAA, as amended by the Health Information Technology for Economic and Clinical Health Act (HITECH) and their respective implementing regulations, including the Final Omnibus Rule published on January 25, 2013, imposes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requirements to facilitate certain patient rights, requirements to safeguard the privacy, security, and transmission of individually identifiable health information, and requirements to provide notice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On December 10, 2020, the Office of Civil Rights within the Department of Health and Human Services (HHS) issued proposed revisions to the HIPAA Privacy Rule aimed at reducing regulatory burdens that may exist in discouraging coordination of care and patient access to their health information, among other changes. While a final rule has not yet been issued, if adopted, these proposed changes may require us to update our policies and procedures to comply with the new requirements. In addition, many state laws govern the privacy and security of health information and other personal information in certain circumstances (such as the California Consumer Privacy Act of 2018 and the Virginia Consumer Data Protection Act, and similar forthcoming state privacy laws in Colorado, Connecticut and Utah), and these state laws may differ from each other in significant ways and may not have the same effect. These laws are rapidly evolving and may impose additional regulatory compliance burden and legal risks on our operations.</w:t>
      </w:r>
    </w:p>
    <w:p>
      <w:pPr>
        <w:spacing w:after="0" w:line="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(CMS) has promulgated regulations to implement what is commonly known as the federal Physician Payment Sunshine Act, which, among other things, requires manufacturers of prescription drugs and biological products, among others, to collect and report information on certain payments or transfers of value they make to U.S.-licensed physicians, teaching hospitals, physician assistants, nurse practitioners or clinical nurse specialists, certified registered nurse anesthetists, anesthesiologist assistants and certified nurse-midwives, as well as investment interests in the manufacturer held by physicians and their immediate family members. The reports must be submitted on an annual basis, and the reported data is made available in searchable form on a public website. Failure to submit required information may result in civil monetary penalties.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In addition, several states require prescription drug and biological product companies to report certain expenses relating to the marketing and promotion of drug and biological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spacing w:after="0" w:line="92"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company to incur significant legal expenses and divert management’s attention from the operation of the business, even if such action is successfully defended.</w:t>
      </w:r>
    </w:p>
    <w:p>
      <w:pPr>
        <w:spacing w:after="0" w:line="78"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In the EU and the UK companies must comply with national general anti-bribery legislation, including the UK Bribery Act 2010, as well as medicines legislation which prohibits the supply, offer or promise of certain gifts and benefits in connection with the promotion of medicinal products to any person qualified to prescribe, recommend, use, procure or supply them. Companies that breach these laws may incur substantial fines and imprisonment.</w:t>
      </w:r>
    </w:p>
    <w:p>
      <w:pPr>
        <w:spacing w:after="0" w:line="8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In the EU, payments made to healthcare professionals must be publicly disclosed under applicable transparency provisions and agreements with healthcare professionals must be the subject of prior notification and approval by the healthcare professional’s employer. Such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costs of health care and, more generally, to reform the U.S. healthcare system. The pharmaceutical industry has been a particular focus of these efforts and has been significantly affected by major legislative initiatives. For example, in March 2010, the ACA was enacted, which was intended to substantially change the way healthcare is financed by both governmental and private insurers, and significantly impacts the U.S. pharmaceutical industry. The ACA, among other things, (i) proscribed a new methodology by which rebates owed by manufacturers under the Medicaid Drug Rebate Program are calculated for drugs and therapeutic biologics that are inhaled, infused, instilled, implanted or injected, (ii) increased the minimum Medicaid rebates owed by manufacturers under the Medicaid Drug Rebate Program and extended the rebate program to individuals enrolled in Medicaid managed care organizations, (iii) established annual nondeductible fees and taxes on manufacturers of certain branded prescription drugs and therapeutic biologics, apportioned among these entities according to their market share in certain government healthcare programs, (iv) established a new Medicare Part D coverage gap discount program, in which manufacturers must agree to offer what are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 expanded eligibility criteria for Medicaid programs by, among other things, allowing states to offer Medicaid coverage to additional individuals and by adding new mandatory eligibility categories for individuals with income at or below 138% of the federal poverty level, thereby potentially increasing manufacturers’ Medicaid rebate liability, (vi) expanded the entities eligible for discounts under the 340B Public Health program, (vii) required annual reporting of certain information regarding drug samples that manufacturers and distributors provide to licensed practitioners, (viii) created a new Patient-Centered Outcomes Research Institute to oversee, identify priorities in and conduct comparative clinical effectiveness research, along with funding for such research, and (ix) established a Center for Medicare Innovation at CMS to test innovative payment and service delivery models to lower Medicare and Medicaid spending, potentially including prescription drug spending.</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ACA and certain of its provisions have been subject to judicial challenges as well as legislative and regulatory efforts to repeal or replace them or to alter their interpretation or implementation. For example, the Tax Cuts and Jobs Act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Additionally, the Further Consolidated Appropriations Act of 2020, signed into law December 20, 2019, fully repealed the ACA’s “Cadillac Tax” on certain high-cost employer-sponsored insurance plans (for tax years beginning after December 31, 2019), the annual fee imposed on certain health insurance providers based on market share (for calendar year 2021) and the medical device excise tax on non-exempt medical devices.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(i.e., whether the entire ACA was therefore also unconstitutional). The Supreme Court of the United States granted certiorari on March 2, 2020 and heard oral argument on November 10, 2020. On June 17, 2021, the Supreme Court dismissed the lawsuit without ruling on the merits of the constitutionality arguments.</w:t>
      </w:r>
    </w:p>
    <w:p>
      <w:pPr>
        <w:spacing w:after="0" w:line="8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will no longer be capped, potentially resulting in a manufacturer paying more in MDRP rebates than it receives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Most recently, the Inflation Reduction Act of 2022 extended this increased tax credit assistance and removal of the 400% federal poverty limit through 2025.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and biological products.</w:t>
      </w:r>
    </w:p>
    <w:p>
      <w:pPr>
        <w:spacing w:after="0" w:line="77"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into 2031 unless additional Congressional action is taken, with the exception of a temporary suspension from May 1, 2020 through July 1, 2022 due to the COVID-19 pandemic. Following the end of the temporary suspension, the law provided for 1% Medicare sequestration in the second quarter of 2022, with the full 2% sequestration going into effect thereafter until 2031. To offset the temporary suspension during the COVID-19 pandemic, in 2030, the sequestration will be 2.25% for the first half of the year, and 3% in the second half of the year. The American Taxpayer Relief Act of 2012 made other changes, including the reduction of Medicare payments to several types of providers and an increase in the statute of limitations period for the government to recover overpayments to providers from three to five years. More recently, in August 2022, President Biden signed into law the Inflation Reduction Act of 2022, which implements substantial changes to the Medicare program, including drug pricing reforms and changes to the Medicare Part D benefit design. Among other reforms, the Inflation Reduction Act of 2022 imposes inflation rebates on drug and biological product manufacturers for products reimbursed under Medicare Parts B and D if the prices of those products increase faster than inflation beginning in 2023; implements changes to the Medicare Part D benefit that, beginning in 2025, will cap benefit annual out-of-pocket spending at $2,000, with new discount obligations for pharmaceutical manufacturers; and, beginning in 2026, establishes a “maximum fair price” for a fixed number of pharmaceutical and biological products covered under Medicare Parts B and D following a price negotiation process with the CMS. If federal spending is further reduced, anticipated budgetary shortfalls may also impact the ability of relevant agencies, such as the FDA or the NIH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Additionally, the cost of prescription pharmaceuticals and biological products has recently been the subject of considerable discussion in the United States. For example, in response to an Executive Order dated July 9, 2021, on September 9, 2021, the HHS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In addition,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 On September 12, 2022, President Biden issued an Executive Order to promote biotechnology and biomanufacturing innovation. The Order noted several methods through which the Biden administration would support the advancement of biotechnology and biomanufacturing in healthcare, and instructed the HHS to submit, within 180 days of the Order, a report assessing how to use biotechnology and biomanufacturing to achieve medical breakthroughs, reduce the overall burden of disease, and improve health outcomes. Additionally, on October 14, 2022 President Biden issued an Executive Order on Lowering Prescription Drug Costs for Americans, which instructed the Secretary of the HHS to consider whether to select for testing by the CMS Innovation Center new health care payment and delivery models that would lower drug costs and promote access to innovative drug therapies for beneficiaries enrolled in the Medicare and Medicaid programs. The Executive Order further directed the Secretary of the HHS to submit, within 90 days after the date of the Executive Order, a report regarding any models that may lead to lower cost-sharing for commonly used drugs and support value-based payment that promotes high-quality care. Moreover, there have been several recent U.S. Congressional inquiries and proposed federal legislation designed to, among other things, bring more transparency to drug and biological product pricing, review the relationship between pricing and manufacturer patient support programs, reduce the cost of prescription drugs and biological products under Medicare and reform government program reimbursement methodologies for drug and biological products. While several proposed reform measures will require Congress to pass legislation to become effective, Congress and the Biden administration have each indicated that it will continue to seek new legislative and/or administrative measures to address prescription drug and biological product costs, as discussed in greater detail in the section titled “Risk Factors.”</w:t>
      </w:r>
    </w:p>
    <w:p>
      <w:pPr>
        <w:spacing w:after="0" w:line="9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 The implementation of cost containment measures or other healthcare reforms may prevent us from being able to generate revenue, attain profitability, or commercialize any product that is ultimately approved, if approved.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future reporting actions could be subject to the penalty provisions of the pertinent federal and state laws and regulations.</w:t>
      </w:r>
    </w:p>
    <w:p>
      <w:pPr>
        <w:spacing w:after="0" w:line="9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or biological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or biological products under the current federal right to try law.</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As of November 30, 2022, we had 297 full-time employees, of which approximately 34% have earned an M.D. or a Ph.D. As of November 30, 2022, 260 of our full-time employees are engaged in research and development. From time to time, we retain independent contractors to support our organization. None of our employees are represented by a labor union or covered by collective bargaining agreements, and we believe our relationship with our employees is good.</w:t>
      </w:r>
    </w:p>
    <w:p>
      <w:pPr>
        <w:spacing w:after="0" w:line="6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consider the intellectual capital of our employees to be an essential driver of our business. Our workforce expanded during fiscal year 2022; new employees were hired to support our clinical and preclinical pipeline, with additions in our research, clinical development, operations and general and administrative functions.</w:t>
      </w:r>
    </w:p>
    <w:p>
      <w:pPr>
        <w:spacing w:after="0" w:line="6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continually evaluate our business needs and opportunities and strive to balance inhouse expertise and capacity with outsourced expertise and capacity. Currently, we outsource substantially all clinical trial work to clinical research organizations and drug substance and finished drug product manufacturing to contract manufacturers.</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pay and benefits</w:t>
      </w:r>
    </w:p>
    <w:p>
      <w:pPr>
        <w:spacing w:after="0" w:line="12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Drug development is a complex endeavor which requires deep expertise and experience across a broad array of disciplines. Biotechnology and pharmaceutical companies both large and small compete for a limited number of qualified applicants to fill specialized positions. We monitor our compensation programs closely and provide what we consider to be a very competitive mix of compensation, insurance and wellness benefits for all our employees, as well as participation in our equity and enhanced maternity and paternity programs. To attract qualified applicants, we offer a total rewards package consisting of a base salary and cash target bonus, a comprehensive benefits package and equity compensation for all full-time employees. Bonus opportunity and equity compensation increase as a percentage of total compensation based on level of responsibility. Actual bonus payout is based on company and individual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biennial training to help prevent, identify, report and stop any type of discrimination and harassment. Recruitment, hiring, development, training, compensation and advancement at our company is based on qualifications, performance, skills and experience without regard to gender, race and ethnicity.</w:t>
      </w:r>
    </w:p>
    <w:p>
      <w:pPr>
        <w:spacing w:after="0" w:line="7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November 30, 2022, approximately 52% of our full-time employees were self-reported as female. Of our vice president-level and above employees, approximately 45% were self-reported as female.</w:t>
      </w:r>
    </w:p>
    <w:p>
      <w:pPr>
        <w:spacing w:after="0" w:line="4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addition, as of November 30, 2022, approximately 55% of our full-time employees were self-reported as ethnic or racial minorities in the United States, with 40% Asian, 2% Black or African American, 7% Hispanic or Latino and 6% of other minority groups or two or more races. Of our vice president-level and above employees, 24% were self-reported as ethnic or racial minorities in the United States, with 17% Asian, 3% Black or African American and 3% Hispanic or Latino.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training</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focus on attracting, retaining and cultivating talented individuals. We emphasize employee development and training by providing access to a wide range of online and instructor led development and continual learning programs. Employees are encouraged to attend scientific, clinical and technological meetings and conferences and have access to broad resources they need to be successful.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12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The safety and health of our employees is a top priority. For example, in response to the COVID-19 pandemic, we implemented safety protocols including clear policies to address actual and suspected COVID-19 cases and potential exposure, weekly COVID-19 testing, shift work scheduling to reduce the number of people in our facilities at a given time, requirements for the wearing of masks and for social distancing, and increased cleaning procedures. These protocols were designed to comply with health and safety standards as required by federal, state and local government agencies, taking into consideration the guidelines of the Centers for Disease Control and Prevention and other public health authorities. We continue to monitor developments regarding health pandemics or other health concerns, including COVID-19, and will implement any additional safety protocols that may become necessary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Board of Directors (Board) recognizes the critical importance of our team and the necessity to ensure a diverse, inclusive, and innovative work environment that is centered around a values-based culture. Our Board meets regularly with management to discuss issues impacting our employees, and to focus on ways to support our workforce. Our focus on culture comes from our Board and flows throughout our company. In evaluating our Chief Executive Officer and management team, significant emphasis is place on their contributions to our overall culture.</w:t>
      </w:r>
    </w:p>
    <w:p>
      <w:pPr>
        <w:spacing w:after="0" w:line="6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Board’s Compensation Committee is responsible for reviewing with management our human resources activities, which include, among other things, matters relating to employee development, management and engagement, pay equity, and our demographics, diversity and inclusion.</w:t>
      </w:r>
    </w:p>
    <w:p>
      <w:pPr>
        <w:spacing w:after="0" w:line="5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Board’s Nominating and Corporate Governance Committee is responsible for developing and recommending to the Board any company program relating to corporate responsibility and sustainability, including environmental, social and governance matters.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August 2009 under the name Kura Therapeutics, Inc. We subsequently changed our name to Nurix, Inc. in February 2012 and then to Nurix Therapeutics, Inc. in October 2018. Our principal executive offices are located at 1700 Owens Street, Suite 205, San Francisco, California 94158, and our telephone number is (415) 660-5320.</w:t>
      </w:r>
    </w:p>
    <w:p>
      <w:pPr>
        <w:spacing w:after="0" w:line="6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mark “Nurix” is our registered trademark in Canada, France, Germany, Italy, Japan, Mexico, Spain, the United Kingdom and the United States. The marks “DELigase,” “DeTIL” and “NxACT” are our registered trademarks in the United States. The Nurix logo is our common law trademark. All other service marks, trademarks and trade names appearing in this Annual Report on Form 10-K are the property of their respective owners.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Nurix’s Internet website address is http://www.nurixtx.com. On our website, we make available, free of charge, our annual, quarterly and current reports, including amendments to such reports, as soon as reasonably practicable after we electronically file such material with, or furnish such material to, the Securities and Exchange Commission (SEC). The SEC maintains a website at www.sec.gov that contains reports as well as other information regarding us and other companies that file materials with the SEC electronically.</w:t>
      </w:r>
    </w:p>
    <w:p>
      <w:pPr>
        <w:spacing w:after="0" w:line="6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Also available on our website is information relating to corporate governance at Nurix and our Board, including our Corporate Governance Guidelines; our Code of Business Conduct and Ethics (for our directors, officers and employees), and our Board Committee Charters. We will provide any of the foregoing information without charge upon written request to our Corporate Secretary, Nurix Therapeutics, Inc., 1700 Owens Street, Suite 205, San Francisco, CA 94158.</w:t>
      </w:r>
    </w:p>
    <w:p>
      <w:pPr>
        <w:spacing w:after="0" w:line="8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use our Investor Relations website (http://ir.nurixtx.com) as a means of disclosing material non-public information and for complying with our disclosure obligations under Regulation FD promulgated by the SEC. These disclosures are included in the “News” and “Events and Presentations” sections of our website. Accordingly, investors should monitor these portions of our website, in addition to following our press releases, SEC filings and public conference calls and webcasts.</w:t>
      </w:r>
    </w:p>
    <w:p>
      <w:pPr>
        <w:spacing w:after="0" w:line="6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the accompanying notes and the information contained in our other public filings before deciding whether to invest in shares of our common stock.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trading price of our common stock could decline, and you could lose part or all of your investment.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ind w:firstLine="648"/>
        <w:spacing w:after="0" w:line="210" w:lineRule="exact"/>
        <w:rPr>
          <w:sz w:val="20"/>
          <w:szCs w:val="20"/>
          <w:color w:val="auto"/>
        </w:rPr>
      </w:pPr>
      <w:r>
        <w:rPr>
          <w:rFonts w:ascii="Times New Roman" w:cs="Times New Roman" w:eastAsia="Times New Roman" w:hAnsi="Times New Roman"/>
          <w:sz w:val="18"/>
          <w:szCs w:val="18"/>
          <w:color w:val="auto"/>
        </w:rPr>
        <w:t>Our net loss was $180.4 million and $117.2 million for the fiscal years ended November 30, 2022 and 2021, respectively. As of November 30, 2022, we had an accumulated deficit of $401.3 million. To date, we have not generated any revenue from product sales and have financed our operations primarily through our collaborations and sales of our equity interests. We are in the early stages of development of our drug candidates. Our lead drug candidates,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93" w:lineRule="exact"/>
        <w:rPr>
          <w:sz w:val="20"/>
          <w:szCs w:val="20"/>
          <w:color w:val="auto"/>
        </w:rPr>
      </w:pPr>
    </w:p>
    <w:p>
      <w:pPr>
        <w:ind w:left="660" w:right="2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enrollment in and further development of our Phase 1 clinical trials of our drug candidates NX-2127, NX-1607, NX-5948 and DeTIL-0255;</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investigational new drug applications (INDs) and initiate clinical trials of our other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0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DELigase platform and apply our DELigase platform to advance additional drug candidates into preclinical and clinical development;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DeTIL cell therapy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drug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negotiations with the pricing authorities and submission to the health technology appraisal (HTA) bodies;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may obtain marketing approval;</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03"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6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8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2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recently commenced clinical development of our drug candidates NX-2127, NX-1607, NX-5948 and DeTIL-0255.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7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6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conduct our Phase 1 clinical trials of NX-2127, NX-1607, NX-5948 and DeTIL-0255,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71" w:lineRule="exact"/>
        <w:rPr>
          <w:sz w:val="20"/>
          <w:szCs w:val="20"/>
          <w:color w:val="auto"/>
        </w:rPr>
      </w:pPr>
    </w:p>
    <w:p>
      <w:pPr>
        <w:ind w:right="220" w:firstLine="648"/>
        <w:spacing w:after="0" w:line="247" w:lineRule="auto"/>
        <w:rPr>
          <w:sz w:val="20"/>
          <w:szCs w:val="20"/>
          <w:color w:val="auto"/>
        </w:rPr>
      </w:pPr>
      <w:r>
        <w:rPr>
          <w:rFonts w:ascii="Times New Roman" w:cs="Times New Roman" w:eastAsia="Times New Roman" w:hAnsi="Times New Roman"/>
          <w:sz w:val="18"/>
          <w:szCs w:val="18"/>
          <w:color w:val="auto"/>
        </w:rPr>
        <w:t>We had cash, cash equivalents and marketable securities of $373.0 million as of November 30, 2022.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43" w:lineRule="exact"/>
        <w:rPr>
          <w:sz w:val="20"/>
          <w:szCs w:val="20"/>
          <w:color w:val="auto"/>
        </w:rPr>
      </w:pPr>
    </w:p>
    <w:p>
      <w:pPr>
        <w:ind w:left="660" w:hanging="328"/>
        <w:spacing w:after="0" w:line="232" w:lineRule="exact"/>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Phase 1 clinical trials for NX-2127, NX-1607, NX-5948,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any future clinical development of such drug candidates;</w:t>
      </w:r>
    </w:p>
    <w:p>
      <w:pPr>
        <w:spacing w:after="0" w:line="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preclinical development of our DeTIL cell therapy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87"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78"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1"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Drug Candidates</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lead drug candidates, NX-2127, NX-1607, NX-5948 and DeTIL-0255,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38" w:lineRule="exact"/>
        <w:rPr>
          <w:sz w:val="20"/>
          <w:szCs w:val="20"/>
          <w:color w:val="auto"/>
        </w:rPr>
      </w:pPr>
    </w:p>
    <w:p>
      <w:pPr>
        <w:ind w:right="60" w:firstLine="648"/>
        <w:spacing w:after="0" w:line="217" w:lineRule="exact"/>
        <w:rPr>
          <w:sz w:val="20"/>
          <w:szCs w:val="20"/>
          <w:color w:val="auto"/>
        </w:rPr>
      </w:pPr>
      <w:r>
        <w:rPr>
          <w:rFonts w:ascii="Times New Roman" w:cs="Times New Roman" w:eastAsia="Times New Roman" w:hAnsi="Times New Roman"/>
          <w:sz w:val="18"/>
          <w:szCs w:val="18"/>
          <w:color w:val="auto"/>
        </w:rPr>
        <w:t>We are early in our development efforts. Our lead drug candidates,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recently entered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or Clinical Trial Applications and initiation of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 as well as obtaining relevant exclusivity extensions (due to the conduct of pediatric studies);</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drug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drug candidates’ intended indications;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the products and maintaining such a profile following approval;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8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addition, we filed for and received an Innovation Passport designation for NX-1607 in the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it does not accelerate conduct of clinical trials or mean that the regulatory requirements are less stringent, nor does it ensure that any NX-1607 marketing authority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19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5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8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NX-2127 and NX-5948 degrade BTK with mutations that confer resistance to currently marketed BTK inhibitors, and we believe that preliminary data from our ongoing Phase 1 trial of NX-2127 may provide evidence of clinical benefit to patients with such resistance mutations. However, any inherent primary or acquired secondary resistance to our BTK degraders in patients would prevent or diminish their clinical benefit.</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0" w:firstLine="648"/>
        <w:spacing w:after="0" w:line="221" w:lineRule="exact"/>
        <w:rPr>
          <w:sz w:val="20"/>
          <w:szCs w:val="20"/>
          <w:color w:val="auto"/>
        </w:rPr>
      </w:pPr>
      <w:r>
        <w:rPr>
          <w:rFonts w:ascii="Times New Roman" w:cs="Times New Roman" w:eastAsia="Times New Roman" w:hAnsi="Times New Roman"/>
          <w:sz w:val="18"/>
          <w:szCs w:val="18"/>
          <w:color w:val="auto"/>
        </w:rPr>
        <w:t>We recently initiated clinical development of NX-2127 and NX-5948 and currently we have limited safety data of NX-2127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77"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products creates significant challenges for us, including:</w:t>
      </w:r>
    </w:p>
    <w:p>
      <w:pPr>
        <w:spacing w:after="0" w:line="87" w:lineRule="exact"/>
        <w:rPr>
          <w:sz w:val="20"/>
          <w:szCs w:val="20"/>
          <w:color w:val="auto"/>
        </w:rPr>
      </w:pPr>
    </w:p>
    <w:p>
      <w:pPr>
        <w:ind w:left="660" w:right="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efficacy and safety benefits, as well as the challenges, of incorporating our drug candidates, if approved, into treatment regimens;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to gain market acceptance, if approved.</w:t>
      </w:r>
    </w:p>
    <w:p>
      <w:pPr>
        <w:spacing w:after="0" w:line="11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5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7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1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82" w:lineRule="exact"/>
        <w:rPr>
          <w:rFonts w:ascii="Times New Roman" w:cs="Times New Roman" w:eastAsia="Times New Roman" w:hAnsi="Times New Roman"/>
          <w:sz w:val="18"/>
          <w:szCs w:val="18"/>
          <w:color w:val="auto"/>
        </w:rPr>
      </w:pPr>
    </w:p>
    <w:p>
      <w:pPr>
        <w:ind w:left="660" w:right="7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under human tissue act legislation and restrictions across various jurisdictions;</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4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to suspend or terminate the trials;</w:t>
      </w:r>
    </w:p>
    <w:p>
      <w:pPr>
        <w:spacing w:after="0" w:line="67"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w:t>
      </w:r>
    </w:p>
    <w:p>
      <w:pPr>
        <w:spacing w:after="0" w:line="115"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trials for various reasons, including noncompliance with regulatory requirements;</w:t>
      </w:r>
    </w:p>
    <w:p>
      <w:pPr>
        <w:spacing w:after="0" w:line="6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1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drug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5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40"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to market our drug candidates.</w:t>
      </w:r>
    </w:p>
    <w:p>
      <w:pPr>
        <w:spacing w:after="0" w:line="6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current and planned clinical trials for our drug candidates NX-2127, NX-1607, NX-5948 and DeTIL-0255 are and will be with patients who have received one or more prior treatments. Subsequently, for those products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1" w:lineRule="exact"/>
        <w:rPr>
          <w:sz w:val="20"/>
          <w:szCs w:val="20"/>
          <w:color w:val="auto"/>
        </w:rPr>
      </w:pPr>
    </w:p>
    <w:p>
      <w:pPr>
        <w:ind w:right="60" w:firstLine="648"/>
        <w:spacing w:after="0" w:line="213" w:lineRule="exact"/>
        <w:rPr>
          <w:sz w:val="20"/>
          <w:szCs w:val="20"/>
          <w:color w:val="auto"/>
        </w:rPr>
      </w:pPr>
      <w:r>
        <w:rPr>
          <w:rFonts w:ascii="Times New Roman" w:cs="Times New Roman" w:eastAsia="Times New Roman" w:hAnsi="Times New Roman"/>
          <w:sz w:val="18"/>
          <w:szCs w:val="18"/>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77" w:lineRule="exact"/>
        <w:rPr>
          <w:sz w:val="20"/>
          <w:szCs w:val="20"/>
          <w:color w:val="auto"/>
        </w:rPr>
      </w:pPr>
    </w:p>
    <w:p>
      <w:pPr>
        <w:jc w:val="both"/>
        <w:ind w:right="300" w:firstLine="648"/>
        <w:spacing w:after="0" w:line="250" w:lineRule="auto"/>
        <w:rPr>
          <w:sz w:val="20"/>
          <w:szCs w:val="20"/>
          <w:color w:val="auto"/>
        </w:rPr>
      </w:pPr>
      <w:r>
        <w:rPr>
          <w:rFonts w:ascii="Times New Roman" w:cs="Times New Roman" w:eastAsia="Times New Roman" w:hAnsi="Times New Roman"/>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preclinical studies or clinical trials. There also is the potential risk of delayed adverse events following treatment with our drug candidates.</w:t>
      </w:r>
    </w:p>
    <w:p>
      <w:pPr>
        <w:spacing w:after="0" w:line="8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5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NX-2127, NX-1607, NX-5948 and DeTIL-0255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trials. Any such setbacks in our clinical development could materially harm our business, results of operations, financial condition and prospects.</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33" w:lineRule="exact"/>
        <w:rPr>
          <w:sz w:val="20"/>
          <w:szCs w:val="20"/>
          <w:color w:val="auto"/>
        </w:rPr>
      </w:pPr>
    </w:p>
    <w:p>
      <w:pPr>
        <w:ind w:right="20" w:firstLine="648"/>
        <w:spacing w:after="0" w:line="210" w:lineRule="exact"/>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four lead drug candidates: NX-2127, NX-1607,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DeTIL-0255. We cannot predict how difficult it will be to enroll patients for these trials. Therefore, our ability to identify and enroll eligible patients for our NX-2127, NX-1607, NX-5948 and DeTIL-0255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7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candidates under study;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6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w:t>
      </w:r>
    </w:p>
    <w:p>
      <w:pPr>
        <w:spacing w:after="0" w:line="19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51"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18"/>
          <w:szCs w:val="18"/>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will be subject to further discussion with regulators, and the FDA may require us to file a Biologics License Application or other type of application for a combination product. Because this is a relatively new and expanding area, there are many uncertainties related to the appropriate regulatory pathway, development, manufacturing, marketing, reimbursement and commercial potential for these drug candidates, and we may never be successful in developing these therapeutics.</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drug candidates.</w:t>
      </w:r>
    </w:p>
    <w:p>
      <w:pPr>
        <w:spacing w:after="0" w:line="12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6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not be effective in treating their targeted diseases.</w:t>
      </w:r>
    </w:p>
    <w:p>
      <w:pPr>
        <w:spacing w:after="0" w:line="117"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DELigase platform.</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key element of our strategy is to expand the capabilities of our DELigase platform and leverage our platform to discover, develop and</w:t>
      </w:r>
    </w:p>
    <w:p>
      <w:pPr>
        <w:spacing w:after="0" w:line="1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83"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1"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7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are aware of several biotechnology companies focused on developing small molecules that degrade target proteins including but not limited to Arvinas, Inc., BeiGene, Ltd., BioTheryX, Inc., C4 Therapeutics, Inc., Cullgen Inc., Foghorn Therapeutics Inc., Kymera Therapeutics, Inc. and Monte Rosa Therapeutics, all of which currently are in preclinical or clinical development. In addition, several large pharmaceutical companies have disclosed preclinical investments in this field, including Amgen Inc., AstraZeneca plc, Bayer AG, Bristol-Myers Squibb Company, Genentech, Inc., GlaxoSmithKline plc and Novartis International AG. Furthermore, we are aware of several biotech companies focused on developing tumor infiltrating lymphocyte (TIL) therapies for the treatment of cancer, including Instil Bio, Inc., Iovance Biotherapeutics, Inc., PACT Pharma, Inc. and Lyell Immunopharma, Inc.</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United Kingdom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5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7"/>
          <w:szCs w:val="17"/>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w:t>
      </w:r>
    </w:p>
    <w:p>
      <w:pPr>
        <w:spacing w:after="0" w:line="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have sought third-party collaborators for the research, development and commercialization of some of our targeted protein degrader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9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Collaborations involving our research programs or any drug candidates we may develop, including our collaborations with Sanofi and Gilead, pose risks to us, including:</w:t>
      </w:r>
    </w:p>
    <w:p>
      <w:pPr>
        <w:spacing w:after="0" w:line="5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 with us.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82" w:lineRule="exact"/>
        <w:rPr>
          <w:rFonts w:ascii="Times New Roman" w:cs="Times New Roman" w:eastAsia="Times New Roman" w:hAnsi="Times New Roman"/>
          <w:sz w:val="18"/>
          <w:szCs w:val="18"/>
          <w:color w:val="auto"/>
        </w:rPr>
      </w:pPr>
    </w:p>
    <w:p>
      <w:pPr>
        <w:jc w:val="both"/>
        <w:ind w:left="660" w:right="28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and Gilead have broad option rights to select up to five targets each for exclusive targeted protein degrader development, so long as not excluded by us under the terms of each collaboration, and may select targets we are considering but have not taken sufficient action to exclude under each collaboration.</w:t>
      </w:r>
    </w:p>
    <w:p>
      <w:pPr>
        <w:spacing w:after="0" w:line="82"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54" w:lineRule="exact"/>
        <w:rPr>
          <w:rFonts w:ascii="Times New Roman" w:cs="Times New Roman" w:eastAsia="Times New Roman" w:hAnsi="Times New Roman"/>
          <w:sz w:val="18"/>
          <w:szCs w:val="18"/>
          <w:color w:val="auto"/>
        </w:rPr>
      </w:pPr>
    </w:p>
    <w:p>
      <w:pPr>
        <w:ind w:left="660" w:right="24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6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40" w:lineRule="exact"/>
        <w:rPr>
          <w:rFonts w:ascii="Times New Roman" w:cs="Times New Roman" w:eastAsia="Times New Roman" w:hAnsi="Times New Roman"/>
          <w:sz w:val="18"/>
          <w:szCs w:val="18"/>
          <w:color w:val="auto"/>
        </w:rPr>
      </w:pPr>
    </w:p>
    <w:p>
      <w:pPr>
        <w:ind w:left="660" w:right="40" w:hanging="328"/>
        <w:spacing w:after="0" w:line="24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86"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40"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2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7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7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78" w:lineRule="exact"/>
        <w:rPr>
          <w:sz w:val="20"/>
          <w:szCs w:val="20"/>
          <w:color w:val="auto"/>
        </w:rPr>
      </w:pPr>
    </w:p>
    <w:p>
      <w:pPr>
        <w:ind w:right="200" w:firstLine="648"/>
        <w:spacing w:after="0" w:line="280"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4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rely on third-party contract research organizations (CROs) to conduct our Phase 1 clinical trial programs for NX-2127, NX-1607, NX-5948 and DeTIL-0255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69"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6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third-party contract manufacturing organizations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11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6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or the EMA or other national or international regulatory agencies pursuant to inspections that will be conducted after we submit our NDA to the FDA or our marketing authorization application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94"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82"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7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4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macroeconomic conditions, including the COVID-19 pandemic, which could delay, prevent or impair our development or commercialization efforts.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drug candidates and NHPs for toxicology testing in countries affected by macroeconomic events and conditions, including inflation, increasing interest rates, increasing financial market volatility and uncertainty, the impact of war or military conflict, including the war in Ukraine, and public health pandemics, including the COVID-19 pandemic. If we are unable to obtain these chemical or biological intermediates or NHPs in sufficient quantity and in a timely manner due to disruptions in the global supply chain caused by macroeconomic events and conditions, including the COVID-19 pandemic,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7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5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8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03"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 positive health technology appraisal (HTA) recommendation for the product to be prescribed and reimbursed under the national health system;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5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0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6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8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in particular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6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that we may develop;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0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8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9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submission of prior art to the USPTO challenging the validity of one or more claims of our owned or licensed pending patent applications, precluding the granting of a patent based on one of our owned or licensed pending patent applications.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exclusivity or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82"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7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While the issuance of a patent creates a presumption of validity of the patent, it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72"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67"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national patent offices in Europe,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9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financial condition, results of operations and prospects.</w:t>
      </w:r>
    </w:p>
    <w:p>
      <w:pPr>
        <w:spacing w:after="0" w:line="69"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5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6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7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NX-2127 and NX-5948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76"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using, producing or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8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9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7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81"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2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8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0" w:lineRule="exact"/>
        <w:rPr>
          <w:sz w:val="20"/>
          <w:szCs w:val="20"/>
          <w:color w:val="auto"/>
        </w:rPr>
      </w:pPr>
    </w:p>
    <w:p>
      <w:pPr>
        <w:spacing w:after="0" w:line="38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87"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pursue or guarantee protection of our intellectual property rights in jurisdictions outside the United States.</w:t>
      </w:r>
    </w:p>
    <w:p>
      <w:pPr>
        <w:spacing w:after="0" w:line="12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51"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75"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0" w:lineRule="exact"/>
        <w:rPr>
          <w:sz w:val="20"/>
          <w:szCs w:val="20"/>
          <w:color w:val="auto"/>
        </w:rPr>
      </w:pPr>
    </w:p>
    <w:p>
      <w:pPr>
        <w:jc w:val="both"/>
        <w:ind w:left="660" w:right="60" w:hanging="328"/>
        <w:spacing w:after="0" w:line="25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candidates utilizing issued patents and other intellectual property that we hold may prove to be ineffective for their intended treatment or we may not obtain regulatory approval for such drug candidates;</w:t>
      </w:r>
    </w:p>
    <w:p>
      <w:pPr>
        <w:spacing w:after="0" w:line="6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5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40"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03"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6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660" w:right="64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Drug Candidates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drug candidates could be delayed or fail to receive marketing approval for many reasons, including the following:</w:t>
      </w:r>
    </w:p>
    <w:p>
      <w:pPr>
        <w:spacing w:after="0" w:line="10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8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drug candidate is safe and effective for its proposed indication;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drug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 a manner rendering our clinical data insufficient for approval.</w:t>
      </w:r>
    </w:p>
    <w:p>
      <w:pPr>
        <w:spacing w:after="0" w:line="117" w:lineRule="exact"/>
        <w:rPr>
          <w:sz w:val="20"/>
          <w:szCs w:val="20"/>
          <w:color w:val="auto"/>
        </w:rPr>
      </w:pPr>
    </w:p>
    <w:p>
      <w:pPr>
        <w:jc w:val="both"/>
        <w:ind w:right="120" w:firstLine="648"/>
        <w:spacing w:after="0" w:line="247"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w:t>
      </w:r>
    </w:p>
    <w:p>
      <w:pPr>
        <w:ind w:right="240"/>
        <w:spacing w:after="0" w:line="245" w:lineRule="auto"/>
        <w:rPr>
          <w:sz w:val="20"/>
          <w:szCs w:val="20"/>
          <w:color w:val="auto"/>
        </w:rPr>
      </w:pPr>
      <w:r>
        <w:rPr>
          <w:rFonts w:ascii="Times New Roman" w:cs="Times New Roman" w:eastAsia="Times New Roman" w:hAnsi="Times New Roman"/>
          <w:sz w:val="18"/>
          <w:szCs w:val="18"/>
          <w:color w:val="auto"/>
        </w:rPr>
        <w:t>Even if we believe the data collected from clinical trials of our drug candidates are promising, such data may not be sufficient to support approval by the FDA.</w:t>
      </w:r>
    </w:p>
    <w:p>
      <w:pPr>
        <w:spacing w:after="0" w:line="7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7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If such confirmatory postmarketing trial fails to confirm the drug’s clinical profile or risks and benefits, the FDA may withdraw its approval of the drug.</w:t>
      </w:r>
    </w:p>
    <w:p>
      <w:pPr>
        <w:spacing w:after="0" w:line="95"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Furthermore, even if we do obtain approval through the Accelerated Approval Program, we may not experience a faster development process, review or approval compared to conventional FDA procedures.</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77"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72"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w:t>
      </w:r>
    </w:p>
    <w:p>
      <w:pPr>
        <w:spacing w:after="0" w:line="72"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51" w:lineRule="exact"/>
        <w:rPr>
          <w:sz w:val="20"/>
          <w:szCs w:val="20"/>
          <w:color w:val="auto"/>
        </w:rPr>
      </w:pPr>
    </w:p>
    <w:p>
      <w:pPr>
        <w:ind w:right="160" w:firstLine="648"/>
        <w:spacing w:after="0" w:line="243" w:lineRule="auto"/>
        <w:rPr>
          <w:sz w:val="20"/>
          <w:szCs w:val="20"/>
          <w:color w:val="auto"/>
        </w:rPr>
      </w:pPr>
      <w:r>
        <w:rPr>
          <w:rFonts w:ascii="Times New Roman" w:cs="Times New Roman" w:eastAsia="Times New Roman" w:hAnsi="Times New Roman"/>
          <w:sz w:val="18"/>
          <w:szCs w:val="18"/>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Great Britain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European Union.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7" w:lineRule="exact"/>
        <w:rPr>
          <w:sz w:val="20"/>
          <w:szCs w:val="20"/>
          <w:color w:val="auto"/>
        </w:rPr>
      </w:pPr>
    </w:p>
    <w:p>
      <w:pPr>
        <w:jc w:val="both"/>
        <w:ind w:right="80" w:firstLine="648"/>
        <w:spacing w:after="0" w:line="24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73" w:lineRule="exact"/>
        <w:rPr>
          <w:sz w:val="20"/>
          <w:szCs w:val="20"/>
          <w:color w:val="auto"/>
        </w:rPr>
      </w:pPr>
    </w:p>
    <w:p>
      <w:pPr>
        <w:jc w:val="both"/>
        <w:ind w:right="260" w:firstLine="648"/>
        <w:spacing w:after="0" w:line="258"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7"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6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drug, change the way the drug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Medication Guide outlining the risks of the previously unidentified side effects for distribution to patients;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in the marketplace;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0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11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04" w:lineRule="exact"/>
        <w:rPr>
          <w:sz w:val="20"/>
          <w:szCs w:val="20"/>
          <w:color w:val="auto"/>
        </w:rPr>
      </w:pPr>
    </w:p>
    <w:p>
      <w:pPr>
        <w:ind w:right="120" w:firstLine="648"/>
        <w:spacing w:after="0" w:line="264"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6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7"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7"/>
          <w:szCs w:val="17"/>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6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59" w:lineRule="exact"/>
        <w:rPr>
          <w:sz w:val="20"/>
          <w:szCs w:val="20"/>
          <w:color w:val="auto"/>
        </w:rPr>
      </w:pPr>
    </w:p>
    <w:p>
      <w:pPr>
        <w:jc w:val="both"/>
        <w:ind w:right="440" w:firstLine="648"/>
        <w:spacing w:after="0" w:line="258" w:lineRule="auto"/>
        <w:rPr>
          <w:sz w:val="20"/>
          <w:szCs w:val="20"/>
          <w:color w:val="auto"/>
        </w:rPr>
      </w:pPr>
      <w:r>
        <w:rPr>
          <w:rFonts w:ascii="Times New Roman" w:cs="Times New Roman" w:eastAsia="Times New Roman" w:hAnsi="Times New Roman"/>
          <w:sz w:val="18"/>
          <w:szCs w:val="18"/>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6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6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order to obtain orphan designation in the EEA,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73"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are also three exceptions to the orphan market exclusivity principle. Marketing authorization may be granted to a similar medicinal product for the same orphan therapeutic indication if:</w:t>
      </w:r>
    </w:p>
    <w:p>
      <w:pPr>
        <w:spacing w:after="0" w:line="68" w:lineRule="exact"/>
        <w:rPr>
          <w:sz w:val="20"/>
          <w:szCs w:val="20"/>
          <w:color w:val="auto"/>
        </w:rPr>
      </w:pPr>
    </w:p>
    <w:p>
      <w:pPr>
        <w:ind w:left="660" w:right="8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17"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54"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An orphan product can also obtain an additional two years of orphan market exclusivity in the EU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8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UK’s regulatory legal framework provides for similar periods of protection (namely regulatory data protection, marketing protection and market exclusivity).</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It is important to note that the regulatory protection afforded to medicinal products such as data exclusivity, marketing protection, market</w:t>
      </w:r>
    </w:p>
    <w:p>
      <w:pPr>
        <w:spacing w:after="0" w:line="27"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exclusivity for orphan indications and pediatric extension are currently under review at the EU level. It is expected that the protection currently afforded in the EU will be reduced in the years to come and the new EU legislative proposal is expected to be published by the European Commission in the second calendar quarter of 2023, although this timeline may be further prolonged.</w:t>
      </w:r>
    </w:p>
    <w:p>
      <w:pPr>
        <w:spacing w:after="0" w:line="19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9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9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marketing authorization application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spacing w:after="0" w:line="7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18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7"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U.S. federal and state and non-U.S. healthcare laws and regulations include the following:</w:t>
      </w:r>
    </w:p>
    <w:p>
      <w:pPr>
        <w:spacing w:after="0" w:line="104" w:lineRule="exact"/>
        <w:rPr>
          <w:sz w:val="20"/>
          <w:szCs w:val="20"/>
          <w:color w:val="auto"/>
        </w:rPr>
      </w:pPr>
    </w:p>
    <w:p>
      <w:pPr>
        <w:ind w:left="660" w:hanging="328"/>
        <w:spacing w:after="0" w:line="24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69" w:lineRule="exact"/>
        <w:rPr>
          <w:rFonts w:ascii="Times New Roman" w:cs="Times New Roman" w:eastAsia="Times New Roman" w:hAnsi="Times New Roman"/>
          <w:sz w:val="18"/>
          <w:szCs w:val="18"/>
          <w:color w:val="auto"/>
        </w:rPr>
      </w:pPr>
    </w:p>
    <w:p>
      <w:pPr>
        <w:ind w:left="660" w:right="20" w:hanging="328"/>
        <w:spacing w:after="0" w:line="24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88" w:lineRule="exact"/>
        <w:rPr>
          <w:rFonts w:ascii="Times New Roman" w:cs="Times New Roman" w:eastAsia="Times New Roman" w:hAnsi="Times New Roman"/>
          <w:sz w:val="18"/>
          <w:szCs w:val="18"/>
          <w:color w:val="auto"/>
        </w:rPr>
      </w:pPr>
    </w:p>
    <w:p>
      <w:pPr>
        <w:ind w:left="660" w:right="60" w:hanging="328"/>
        <w:spacing w:after="0" w:line="24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3"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82"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82"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82" w:lineRule="exact"/>
        <w:rPr>
          <w:rFonts w:ascii="Times New Roman" w:cs="Times New Roman" w:eastAsia="Times New Roman" w:hAnsi="Times New Roman"/>
          <w:sz w:val="18"/>
          <w:szCs w:val="18"/>
          <w:color w:val="auto"/>
        </w:rPr>
      </w:pPr>
    </w:p>
    <w:p>
      <w:pPr>
        <w:jc w:val="both"/>
        <w:ind w:left="660" w:right="40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82" w:lineRule="exact"/>
        <w:rPr>
          <w:rFonts w:ascii="Times New Roman" w:cs="Times New Roman" w:eastAsia="Times New Roman" w:hAnsi="Times New Roman"/>
          <w:sz w:val="18"/>
          <w:szCs w:val="18"/>
          <w:color w:val="auto"/>
        </w:rPr>
      </w:pPr>
    </w:p>
    <w:p>
      <w:pPr>
        <w:ind w:left="660" w:right="60" w:hanging="328"/>
        <w:spacing w:after="0" w:line="24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73"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6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6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6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80"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8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5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17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00" w:firstLine="648"/>
        <w:spacing w:after="0" w:line="246"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87"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To date, there have been several recent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of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Secretary of HHS and the Secretaries of the Departments of Labor and the Treasury.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 Additionally,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HHS to set drug price caps for certain high-cost Medicare Part B and Part D qualified drugs, with the initial list of drugs to be selected by September 1, 2023, and the first year of maximum price applicability to begin in 2026. The Act further authorizes the 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w:t>
      </w:r>
    </w:p>
    <w:p>
      <w:pPr>
        <w:spacing w:after="0" w:line="95"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More recently, on October 14, 2022 President Biden issued an Executive Order on Lowering Prescription Drug Costs for Americans, which instructed the Secretary of HHS to consider whether to select for testing by the CMS Innovation Center new health care payment and delivery models that would lower drug costs and promote access to innovative drug therapies for beneficiaries enrolled in the Medicare and Medicaid programs. The Executive Order further directed the Secretary of HHS to submit, within 90 days after the date of the Executive Order, a report regarding any models that may lead to lower cost-sharing for commonly used drugs and support value-based payment that promotes high-quality care.</w:t>
      </w:r>
    </w:p>
    <w:p>
      <w:pPr>
        <w:spacing w:after="0" w:line="7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cannot be sure whether additional legislation or rulemaking related to the Act will be issued or enacted, or what impact, if any, such changes will have on the profitability of any of our drug candidates, if approved for commercial use, in the future.</w:t>
      </w:r>
    </w:p>
    <w:p>
      <w:pPr>
        <w:spacing w:after="0" w:line="4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2"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2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may adversely affect our business and the market price of our common stock.</w:t>
      </w:r>
    </w:p>
    <w:p>
      <w:pPr>
        <w:spacing w:after="0" w:line="121"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 ongoing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and published an updated form of this guidance on May 17, 2021. Additionally, on April 14,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The FDA has since adjusted its inspection activities in response to the ongoing COVID-19 pandemic. On December 29, 2021, the FDA implemented temporary changes to its inspectional activities to ensure the safety of its employees and regulated firms. On February 2, 2022, the FDA announced that it would resume domestic surveillance inspections across all product areas on February 7, 2022. We cannot predict whether, and when, the FDA will decide to pause or resume inspections due to the COVID-19 pandemic. Moreover, it is unclear how the FDA’s policies and guidance will impact any inspections of our facilities, including our clinical trial sites. Regulatory authorities outside the United States may adopt similar restrictions or other policy measures in response to the COVID-19 pandemic.</w:t>
      </w:r>
    </w:p>
    <w:p>
      <w:pPr>
        <w:spacing w:after="0" w:line="9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COVID-19 pandemic and mitigation measures also may have an adverse impact on global economic conditions, which could adversely impact our business, financial condition or results of operations. Additionally, the COVID-19 pandemic has resulted in significant financial market volatility and uncertainty. A continuation or worsening of the levels of market disruption and volatility seen in the recent past as a result of the COVID-19 pandemic could have an adverse effect on our ability to access capital and on the market price of our common stock. It is currently not possible to predict how long the COVID-19 pandemic and its effects will last or the time that it will take for economic activity to return to prior levels. The extent to which the COVID-19 pandemic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our Chief Scientific Officer, Gwenn Hansen, Ph.D., and our Chief Operating Officer and Executive Vice President of Product Development, Stefani A. Wolff. The loss of the services of Dr. Sands, Dr. Hansen or Ms. Wolff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6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8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four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9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54" w:lineRule="exact"/>
        <w:rPr>
          <w:sz w:val="20"/>
          <w:szCs w:val="20"/>
          <w:color w:val="auto"/>
        </w:rPr>
      </w:pPr>
    </w:p>
    <w:p>
      <w:pPr>
        <w:ind w:left="660" w:right="22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104"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18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integrity and availability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resulting in a number of third-party vendors that may or could have access to our confidential information.</w:t>
      </w:r>
    </w:p>
    <w:p>
      <w:pPr>
        <w:spacing w:after="0" w:line="92"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third-party vendors and other contractors and consultants.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82"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 information, our reputation could be materially damaged. In addition, such a breach may require notification to governmental agencies, the media or individuals pursuant to various federal and state data breach notification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Such actions could result in significant legal and financial exposure and reputational damages that could have a material adverse effect on our business, financial condition, results of operations and prospects.</w:t>
      </w:r>
    </w:p>
    <w:p>
      <w:pPr>
        <w:spacing w:after="0" w:line="98"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a variety of new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72"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studies and clinical trials and from our employees. We are subject to data privacy and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9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7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Personal data privacy remains an evolving landscape at both the domestic and international level, with new regulations coming into effect. For example, the CCPA, which came into effect on January 1, 2020, and was recently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Failure to comply with the CCPA and the CPRA may result in significant civil penalties, injunctive relief, or statutory or actual damages as determined by the CPPA and California Attorney General through its investigative authority. Notably, comparable consumer privacy laws are set to take effect in 2023 in other states including the Virginia Consumer Data Protection Act (effective January 1, 2023), the Colorado Privacy Act and the Connecticut Data Privacy Act (both effective July 1, 2023), and the Utah Consumer Privacy Act (effective December 31, 2023). Compliance with this new privacy legislation add complexity and may require investment in additional resources for compliance programs, thus potentially result in additional costs and expense of resources to maintain compliance.</w:t>
      </w:r>
    </w:p>
    <w:p>
      <w:pPr>
        <w:spacing w:after="0" w:line="200" w:lineRule="exact"/>
        <w:rPr>
          <w:sz w:val="20"/>
          <w:szCs w:val="20"/>
          <w:color w:val="auto"/>
        </w:rPr>
      </w:pPr>
    </w:p>
    <w:p>
      <w:pPr>
        <w:spacing w:after="0" w:line="38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addition, the EU General Data Protection Regulation (EU GDPR) has been in effect since May 2018 in the EEA. The EU GDPR governs the collection, use, disclosure, transfer or other processing of personal data, replacing data protection laws issued by each EU member state based on the Directive 95/46/EC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and other third parties (e.g. CROs) located in the EEA to the United States and other jurisdictions that the European Commission does not recognize as having “adequate” data protection laws. In particular, on July 16, 2020, the Court of Justice of the EU (Court of Justice) in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international transfers which may require us to implement additional safeguards to further enhance the security of data transferred out of the EEA, which could increase our compliance costs, expose us to further regulatory scrutiny and liability, and adversely affect our business.</w:t>
      </w:r>
    </w:p>
    <w:p>
      <w:pPr>
        <w:spacing w:after="0" w:line="9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facilitate a new Trans-Atlantic Data Privacy Framework (TADP Framework) which will act as a successor to the invalidated Privacy Shield. Moreover, in December 2022, the European Commission released a draft adequacy decision for the United States, reflecting its belief that the Executive Order and TADP Framework address the transfer issues raised when Privacy Shield was invalidated. If finalized, the agreement will facilitate the transatlantic flow of personal data and provide additional safeguards (in addition to Standard Contractual Clauses) for companies transferring personal data from the EU to the United States. In the meantime, the European Commission published new versions of the Standard Contractual Clauses in June 2021 which place onerous obligations on the parties and the deadline for the implementation of these Standard Contractual Clauses was December 27, 2022. The EU GDPR imposes substantial fines for breaches and violations (up to the greater of €20 million or 4% of our global turnover). The EU GDPR allows data subjects and consumer associations to lodge complaints with supervisory authorities, seek judicial remedies and obtain compensation for damages resulting from violations of the EU GDPR.</w:t>
      </w:r>
    </w:p>
    <w:p>
      <w:pPr>
        <w:spacing w:after="0" w:line="9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 xml:space="preserve">Further, following the end of the Brexit Transition Period (on December 31, 2020) the EU GDPR has been implemented in the UK (as the UK GDPR)—non-compliance with which may lead to similar compliance and operational costs as the EU GDPR with potential fines of up to £17 million or 4% of global turnover. The UK GDPR sits alongside the UK Data Protection Act 2018 which implements certain derogations in the EU GDPR into UK law. Under the UK GDPR, companies not established in the UK but who process personal information in relation to the offering of goods or services to individuals in the UK, or to monitor their behavior will be subject to the UK GDPR—the requirements of which are largely aligned with those under the EU GDPR but still require specific compliance under UK law that we must monitor and with which we must comply. Further, on November 17, 2022, the UK Information Commissioner’s Office (ICO) published its proposed draft International Transfer Risk Assessment (TRA) and tool which is the UK equivalent of the EDPB Recommendations and provides for general advice on how to satisfy the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requirement to carry out a legal assessment for transfers of personal data subject to the UK GDPR. The ICO has clarified that organizations may either follow the ICO’s TRA or EDPB approach when assessing international data transfers. The UK’s ICO has also recently published: (i) its International Data Transfer Agreement to replace the old Standard Contractual Clauses for transfers to outside the UK; and (ii) a “UK addendum” to the new EU Standard Contractual Clauses which amends the relevant provisions of such clauses to work in a UK context.</w:t>
      </w:r>
    </w:p>
    <w:p>
      <w:pPr>
        <w:spacing w:after="0" w:line="84"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As a company, we are in the process of implementing a GDPR compliance program. This is necessary to ensure we can initiate GDPR-compliant clinical trials in the EU. Failure to do so would mean we either cannot initiate GDPR-compliant clinical trials in the EU or we may face regulatory investigations, significant fines and penalties, reputational damage or be required to change our business practices, all of which could adversely affect our business, financial condition and results of operations.</w:t>
      </w:r>
    </w:p>
    <w:p>
      <w:pPr>
        <w:spacing w:after="0" w:line="8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operating results,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2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We are closely monitoring these provisions and are in the process of analyzing the potential impact to our income taxes and financial position in future years.</w:t>
      </w:r>
    </w:p>
    <w:p>
      <w:pPr>
        <w:spacing w:after="0" w:line="73"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law governing net operating loss carryovers and carrybacks was modified by both the TCJA and by U.S. federal tax legislation named the CARES Act, which was signed into law in March 2020. Net operating losses arising in tax years beginning on or after January 1, 2021, can be carried forward indefinitely, generally cannot be carried back, and can be used to offset no more than 80 percent of taxable income.</w:t>
      </w:r>
    </w:p>
    <w:p>
      <w:pPr>
        <w:spacing w:after="0" w:line="6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U.S. law. The Inflation Reduction Act provides for, among other things, a new U.S. federal one percent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7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November 30, 2022, we had federal and state net operating loss (NOL) carryforwards of approximately $276.3 million and $299.6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94"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9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1"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8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0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40"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19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7"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the UK Bribery Act 2010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6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as well as the possibility of a recession or further economic downturn. Likewise, the capital and credit markets may be adversely affected by the recent conflict between Russia and Ukraine, and the possibility of a wider European or global conflict,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98" w:lineRule="exact"/>
        <w:rPr>
          <w:sz w:val="20"/>
          <w:szCs w:val="20"/>
          <w:color w:val="auto"/>
        </w:rPr>
      </w:pPr>
    </w:p>
    <w:p>
      <w:pPr>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2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68" w:lineRule="exact"/>
        <w:rPr>
          <w:sz w:val="20"/>
          <w:szCs w:val="20"/>
          <w:color w:val="auto"/>
        </w:rPr>
      </w:pPr>
    </w:p>
    <w:p>
      <w:pPr>
        <w:ind w:left="660" w:right="24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drug candidates, DELigase platform, DeTIL or future development programs;</w:t>
      </w:r>
    </w:p>
    <w:p>
      <w:pPr>
        <w:spacing w:after="0" w:line="54"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 or funding support by us or by existing or future collaborators or licensing partners;</w:t>
      </w:r>
    </w:p>
    <w:p>
      <w:pPr>
        <w:spacing w:after="0" w:line="40"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0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40" w:lineRule="exact"/>
        <w:rPr>
          <w:rFonts w:ascii="Times New Roman" w:cs="Times New Roman" w:eastAsia="Times New Roman" w:hAnsi="Times New Roman"/>
          <w:sz w:val="18"/>
          <w:szCs w:val="18"/>
          <w:color w:val="auto"/>
        </w:rPr>
      </w:pPr>
    </w:p>
    <w:p>
      <w:pPr>
        <w:ind w:left="660" w:right="7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receives regulatory approval, the terms of such approval and market acceptance and demand for such drug candidates;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drug candidates or those of our competitors; and</w:t>
      </w:r>
    </w:p>
    <w:p>
      <w:pPr>
        <w:spacing w:after="0" w:line="103"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including increasing interest rates, inflation and the possibility of a recession or further economic downturn.</w:t>
      </w:r>
    </w:p>
    <w:p>
      <w:pPr>
        <w:spacing w:after="0" w:line="6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6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drug candidates, or those of our competitors or our existing or future collaborators;</w:t>
      </w:r>
    </w:p>
    <w:p>
      <w:pPr>
        <w:spacing w:after="0" w:line="10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drug candidates, clinical trials, manufacturing process or sales and marketing terms;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0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drug candidates and products;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any additional capital is raised;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increasingly volatile global economic conditions resulting from the conflict in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such as COVID-19;</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660" w:right="64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increasing interest rates, inflation and the possibility of a recession or further economic downturn.</w:t>
      </w:r>
    </w:p>
    <w:p>
      <w:pPr>
        <w:spacing w:after="0" w:line="5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6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6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up to $450.0 million of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to Piper Sandler for net proceeds of approximately $19.3 million, after deducting offering commissions and expenses paid by us. As of November 30, 2022, we had $130.0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In addition, in July 2022, we entered into separate Securities Purchase Agreements with certain purchasers to issue and sell pre-funded warrants to purchase an aggregate of 6,814,920 shares of our common stock in registered direct offerings for gross proceeds to us of $95.0 million before deducting offering expenses. Such pre-funded warrants are immediately exercisable, have an exercise price of $0.001 and may be exercised at any time after the date of issuance.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51"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As of November 30, 2022, we have issued pre-funded warrants to purchase a total of 6,814,920 shares of our common stock, of which 6,814,920 are outstanding.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pre-funded warrants.</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There is no public trading market for our pre-funded warrants issued in July 2022,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69"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6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68"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86"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69"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200" w:lineRule="exact"/>
        <w:rPr>
          <w:sz w:val="20"/>
          <w:szCs w:val="20"/>
          <w:color w:val="auto"/>
        </w:rPr>
      </w:pPr>
    </w:p>
    <w:p>
      <w:pPr>
        <w:spacing w:after="0" w:line="3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As a public company, we incur and, particularly now that we no longer are an emerging growth company, will further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Moreover, since we ceased to be an “emerging growth company” on November 30, 2021, we may no longer take advantage of certain exemptions from various reporting requirements that are applicable to public companies. This increase in reporting requirements will further increase our compliance burden.</w:t>
      </w:r>
    </w:p>
    <w:p>
      <w:pPr>
        <w:spacing w:after="0" w:line="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5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 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7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reporting on our assessment of the effectiveness of our internal control over financial reporting needs to include disclosure of any material weaknesses identified in our internal control over financial reporting, as well as a statement that our independent registered public accounting firm has audited the effectiveness of our internal control over financial reporting. While we qualify as a non-accelerated filer under SEC rules for fiscal year 2023 and therefore are not required to obtain such an audit for fiscal year 2023, in the event that we qualify as a large accelerated filer or accelerated filer under SEC rules in future years, our independent registered public accounting firm will be required to audit the effectiveness of our internal control over financial reporting pursuant to Section 404(b) of the Sarbanes-Oxley Act (Section 404(b)). Any mandatory or voluntary compliance with Section 404(b) will result in increased costs, expenses, and management resources. Undetected material weaknesses in our internal control over financial reporting could lead to financial statement restatements and require us to incur the expense of remediation. 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200" w:lineRule="exact"/>
        <w:rPr>
          <w:sz w:val="20"/>
          <w:szCs w:val="20"/>
          <w:color w:val="auto"/>
        </w:rPr>
      </w:pPr>
    </w:p>
    <w:p>
      <w:pPr>
        <w:spacing w:after="0" w:line="38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discussed in Part II, Item 9A of this Annual Report on Form 10-K, we previously identified material weaknesses in our internal control over financial reporting related to controls over segregation of duties in our journal entry and account reconciliation processes, and certain information technology general controls.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did not result in any misstatement of our financial statements. During the year ended November 30, 2022, our management identified and implemented changes to our internal control over financial reporting to remediate the deficiencies that led to the material weakness, and, as a result of such changes, our management concluded that the material weaknesses had been remediated and that our internal control over financial reporting was effective as of November 30, 2022.</w:t>
      </w:r>
    </w:p>
    <w:p>
      <w:pPr>
        <w:spacing w:after="0" w:line="9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prevent or avoid potential future material weaknesses. 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Beginning with our Quarterly Report on Form 10-Q for the fiscal period ended May 31, 2022, we requalified as a “smaller reporting company,” meaning that the market value of our stock held by non-affiliates is less than $560.0 million as of May 31, 2022, and our annual revenue is less than $100.0 million during the most recently completed fiscal year. We will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As a smaller reporting company, we may take advantage of many of the same exemptions from disclosure requirements as an emerging growth company,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 and Facilities</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Our principal executive office is located in San Francisco, California, where we lease a total of 77,222 square feet of office and laboratory spaces that we use for our administrative, research and development and other activities. The lease for 19,320 square feet of space expires in June 2024, and the lease for 57,902 square feet of space expires in April 2025. Additionally, we have a sublease for a total of 2,500 square feet of laboratory space in Pittsburgh, Pennsylvania that expires in May 2023. In March 2022, we entered into a new lease for a total of 46,434 square feet of office and laboratory space in The Woodlands, Texas that expires in February 2035. We believe that our existing facilities are suitable and adequate for our current requirements and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consolidated financial statements. Regardless of outcome, litigation can have an adverse impact on us due to defense and settlement costs, diversion of management resources, negative publicity and reputational harm and other factors.</w:t>
      </w:r>
    </w:p>
    <w:p>
      <w:pPr>
        <w:spacing w:after="0" w:line="28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33"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“NRIX” since July 24, 2020. Prior to that date, there was no public trading market for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close of business on January 31, 2023, there were 16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finance the growth and development of our business, and we do not anticipate paying any cash dividends in the foreseeable future. Any future determination regarding the declaration and payment of dividends will fall within the discretion of our Board of Directors, and will depend on various factors, including our operating results, financial condition, and capital requirements, restrictions that may be imposed by applicable law, and other factors deemed relevant by our Board of Directors.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this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July 23, 2020, our registration statement on Form S-1, as amended (File No. 333-239651), was declared effective by the SEC in connection with the initial public offering (IPO) of our common stock. There has been no material change in the planned use of proceeds from our IPO as described in the final prospectus filed with the SEC pursuant to Rule 424(b)(4) under the Securities Act on July 24, 2020.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our equity compensation plans and the securities authorized for issuance thereunder is set forth in Part III, Item 12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Issuers and Affiliated Purchasers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648"/>
        <w:spacing w:after="0" w:line="213"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the discovery, development and commercialization of small molecule and cell therapies based on the modulation of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ten programs under collaboration agreements with Sanofi S.A. (Sanofi) and Gilead Sciences, Inc. (Gilead), within which we retain options for co-development and co-commercialization rights in the United States for up to four drug candidates.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w:t>
      </w:r>
    </w:p>
    <w:p>
      <w:pPr>
        <w:spacing w:after="0" w:line="92" w:lineRule="exact"/>
        <w:rPr>
          <w:sz w:val="20"/>
          <w:szCs w:val="20"/>
          <w:color w:val="auto"/>
        </w:rPr>
      </w:pPr>
    </w:p>
    <w:p>
      <w:pPr>
        <w:jc w:val="both"/>
        <w:ind w:right="180" w:firstLine="648"/>
        <w:spacing w:after="0" w:line="227" w:lineRule="exact"/>
        <w:rPr>
          <w:sz w:val="20"/>
          <w:szCs w:val="20"/>
          <w:color w:val="auto"/>
        </w:rPr>
      </w:pPr>
      <w:r>
        <w:rPr>
          <w:rFonts w:ascii="Times New Roman" w:cs="Times New Roman" w:eastAsia="Times New Roman" w:hAnsi="Times New Roman"/>
          <w:sz w:val="18"/>
          <w:szCs w:val="18"/>
          <w:color w:val="auto"/>
        </w:rPr>
        <w:t>Our portfolio of targeted protein degraders of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orally bioavailable BTK degrader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orally bioavailable BTK degrader for the treatment of relapsed or refractory B-cell malignancies and potentially autoimmune diseases.</w:t>
      </w:r>
    </w:p>
    <w:p>
      <w:pPr>
        <w:spacing w:after="0" w:line="49" w:lineRule="exact"/>
        <w:rPr>
          <w:sz w:val="20"/>
          <w:szCs w:val="20"/>
          <w:color w:val="auto"/>
        </w:rPr>
      </w:pPr>
    </w:p>
    <w:p>
      <w:pPr>
        <w:ind w:right="80" w:firstLine="648"/>
        <w:spacing w:after="0" w:line="221" w:lineRule="exact"/>
        <w:rPr>
          <w:sz w:val="20"/>
          <w:szCs w:val="20"/>
          <w:color w:val="auto"/>
        </w:rPr>
      </w:pPr>
      <w:r>
        <w:rPr>
          <w:rFonts w:ascii="Times New Roman" w:cs="Times New Roman" w:eastAsia="Times New Roman" w:hAnsi="Times New Roman"/>
          <w:sz w:val="18"/>
          <w:szCs w:val="18"/>
          <w:color w:val="auto"/>
        </w:rPr>
        <w:t>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enrolling patients in a Phase 1 trial for patients with relapsed or refractory B-cell malignancies which comprises a Phase 1a dose-escalation study and a Phase 1b cohort expansion study. We have initiated the first of several potential Phase 1b expansion cohorts for patients with relapsed chronic lymphocytic leukemia, and enrollment continues in the Phase 1a dose-escalation portion of the trial for patients with several types of non-Hodgkin lymphoma.</w:t>
      </w:r>
    </w:p>
    <w:p>
      <w:pPr>
        <w:spacing w:after="0" w:line="9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NX-5948: We are currently enrolling patients in the Phase 1a portion of a Phase 1a/1b dose-escalation and cohort expansion study in patients with relapsed or refractory B-cell malignancies.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Elevation</w:t>
      </w:r>
    </w:p>
    <w:p>
      <w:pPr>
        <w:spacing w:after="0" w:line="121"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portfolio of inhibitors of CBL-B, an E3 ligase that regulates the activation of multiple immune cell types including T cells and NK cells, comprises NX-1607, an orally bioavailable CBL-B inhibitor for immuno-oncology indications and NX-0255, for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use to enhance adoptive T-cell therapy including our drug-enhanced tumor infiltrating lymphocyte (TIL) therapy, DeTIL-0255.</w:t>
      </w:r>
    </w:p>
    <w:p>
      <w:pPr>
        <w:spacing w:after="0" w:line="6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NX-1607: We are currently enrolling patients in the Phase 1a portion of a Phase 1a/1b dose-escalation and cohort expansion study in patients with solid tumors and lymphomas. NX-1607 was awarded an Innovative Passport from the UK Medicines and Healthcare products Regulatory Agency to accelerate time to market and facilitate patient access to novel drugs to treat serious and life-threatening diseases.</w:t>
      </w:r>
    </w:p>
    <w:p>
      <w:pPr>
        <w:spacing w:after="0" w:line="61" w:lineRule="exact"/>
        <w:rPr>
          <w:sz w:val="20"/>
          <w:szCs w:val="20"/>
          <w:color w:val="auto"/>
        </w:rPr>
      </w:pPr>
    </w:p>
    <w:p>
      <w:pPr>
        <w:ind w:right="100" w:firstLine="648"/>
        <w:spacing w:after="0" w:line="280" w:lineRule="auto"/>
        <w:rPr>
          <w:sz w:val="20"/>
          <w:szCs w:val="20"/>
          <w:color w:val="auto"/>
        </w:rPr>
      </w:pPr>
      <w:r>
        <w:rPr>
          <w:rFonts w:ascii="Times New Roman" w:cs="Times New Roman" w:eastAsia="Times New Roman" w:hAnsi="Times New Roman"/>
          <w:sz w:val="17"/>
          <w:szCs w:val="17"/>
          <w:color w:val="auto"/>
        </w:rPr>
        <w:t>DeTIL-0255: We completed the safety run-in portion of a Phase 1 trial in patients with advanced gynecologic malignancies, which included three patients with advanced epithelial ovarian cancer who have been dosed with DeTIL-0255 and have cleared the initial safety evaluation. The timing of the expansion of the DeTIL-0255 Phase 1 trial will be established following a determination regarding the potential inclusion of NX-1607 in future cohorts.</w:t>
      </w:r>
    </w:p>
    <w:p>
      <w:pPr>
        <w:spacing w:after="0" w:line="200" w:lineRule="exact"/>
        <w:rPr>
          <w:sz w:val="20"/>
          <w:szCs w:val="20"/>
          <w:color w:val="auto"/>
        </w:rPr>
      </w:pPr>
    </w:p>
    <w:p>
      <w:pPr>
        <w:spacing w:after="0" w:line="34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programs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Beyond our clinical candidates, we are advancing additional wholly owned and partnered preclinical programs within our core therapeutic focus in cancer and selectively in non-oncology therapeutic areas. Our pipeline includes highly validated and classically undruggable targets across our proprietary efforts, academic collaborations and our established strategic collaborations with Sanofi and Gilead.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and License Agreement</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Over time and subject to certain limitations, Sanofi may elect to replace the drug targets with other reserved targets.</w:t>
      </w:r>
    </w:p>
    <w:p>
      <w:pPr>
        <w:spacing w:after="0" w:line="72"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we entered into the Fourth Amendment to the Sanofi Agreement to modify the research plan for a certain target, which had no impact on revenue recognition.</w:t>
      </w:r>
    </w:p>
    <w:p>
      <w:pPr>
        <w:spacing w:after="0" w:line="7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subject to certain conditions and limitations.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7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November 30, 2022, we received payments of $3.0 million for research milestones. As of November 30, 2022,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$15.0 million and $13.2 million during the years ended November 30, 2022 and 2021, respectively. As of November 30, 2022 and 2021, there was $46.2 million and $59.2 million, respectively, of deferred revenue related to payments received by us under the Sanofi Agreement.</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In August 2019 and September 2022, we entered into the First and Second Amendment, respectively, to the Gilead Agreement to clarify certain language of the Gilead Agreement. These amendments had no impact on revenue recognition.</w:t>
      </w:r>
    </w:p>
    <w:p>
      <w:pPr>
        <w:spacing w:after="0" w:line="87"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7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November 30, 2022, we received payments of $34.5 million for research milestones and additional payments. As of November 30, 2022,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7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recognized collaboration revenue from the Gilead Agreement of $23.7 million and $16.6 million during the years ended November 30, 2022 and 2021, respectively. As of November 30, 2022 and 2021, there was $27.4 million and $41.1 million of deferred revenue related to payments received by us under the Gilead Agreement.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and the issuance and sale of common stock and redeemable convertible preferred stock and of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72"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During the years ended November 30, 2022 and 2021, we incurred net losses of $180.4 million and $117.2 million, respectively. As of November 30, 2022, we had an accumulated deficit of $401.3 million. These losses have resulted primarily from costs incurred in connection with research and development activities and general and administrative costs associated with our operations.</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6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November 30, 2022, we had $373.0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87" w:lineRule="exact"/>
        <w:rPr>
          <w:sz w:val="20"/>
          <w:szCs w:val="20"/>
          <w:color w:val="auto"/>
        </w:rPr>
      </w:pPr>
    </w:p>
    <w:p>
      <w:pPr>
        <w:ind w:right="140" w:firstLine="648"/>
        <w:spacing w:after="0" w:line="209" w:lineRule="exact"/>
        <w:rPr>
          <w:sz w:val="20"/>
          <w:szCs w:val="20"/>
          <w:color w:val="auto"/>
        </w:rPr>
      </w:pPr>
      <w:r>
        <w:rPr>
          <w:rFonts w:ascii="Times New Roman" w:cs="Times New Roman" w:eastAsia="Times New Roman" w:hAnsi="Times New Roman"/>
          <w:sz w:val="18"/>
          <w:szCs w:val="18"/>
          <w:color w:val="auto"/>
        </w:rPr>
        <w:t>We are also subject to risks and uncertainties as a result of macroeconomic events and conditions, including inflation, increasing interest rates, increasing financial market volatility and uncertainty, the impact of war or military conflict, including the war in Ukraine, and public health pandemics. In particular, the COVID-19 pandemic, including the resurgence of cases relating to the spread of new variants, continues to impact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on our current operations has been minimal during the early stages of clinical development of our four lead drug candidates, the extent to which the COVID-19 pandemic and other macroeconomic factors, including increasing financial market volatility and uncertainty, will impact our business, financial condition, liquidity, access to capital, and results of operations in the future will depend on future developments that are highly uncertain and cannot be predicted at this time.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from the sale of products and do not expect to generate any revenue from the sale of products in the near future.</w:t>
      </w:r>
    </w:p>
    <w:p>
      <w:pPr>
        <w:spacing w:after="0" w:line="54"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7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6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04" w:lineRule="exact"/>
        <w:rPr>
          <w:sz w:val="20"/>
          <w:szCs w:val="20"/>
          <w:color w:val="auto"/>
        </w:rPr>
      </w:pPr>
    </w:p>
    <w:p>
      <w:pPr>
        <w:ind w:left="980" w:right="600" w:hanging="324"/>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 and</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research and development expenses consist primarily of costs incurred for the development of our drug candidates and may include:</w:t>
      </w:r>
    </w:p>
    <w:p>
      <w:pPr>
        <w:spacing w:after="0" w:line="104" w:lineRule="exact"/>
        <w:rPr>
          <w:sz w:val="20"/>
          <w:szCs w:val="20"/>
          <w:color w:val="auto"/>
        </w:rPr>
      </w:pPr>
    </w:p>
    <w:p>
      <w:pPr>
        <w:ind w:left="980" w:right="20" w:hanging="324"/>
        <w:spacing w:after="0" w:line="282"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clinical trials, discovery programs and preclinical studies;</w:t>
      </w:r>
    </w:p>
    <w:p>
      <w:pPr>
        <w:spacing w:after="0" w:line="40" w:lineRule="exact"/>
        <w:rPr>
          <w:rFonts w:ascii="Times New Roman" w:cs="Times New Roman" w:eastAsia="Times New Roman" w:hAnsi="Times New Roman"/>
          <w:sz w:val="18"/>
          <w:szCs w:val="18"/>
          <w:color w:val="auto"/>
        </w:rPr>
      </w:pPr>
    </w:p>
    <w:p>
      <w:pPr>
        <w:ind w:left="980" w:right="560" w:hanging="324"/>
        <w:spacing w:after="0" w:line="266"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clinical trials and preclinical studies, including fees paid to third parties such as contract manufacturing organizations; and</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0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60" w:firstLine="648"/>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200" w:firstLine="648"/>
        <w:spacing w:after="0" w:line="296" w:lineRule="auto"/>
        <w:rPr>
          <w:sz w:val="20"/>
          <w:szCs w:val="20"/>
          <w:color w:val="auto"/>
        </w:rPr>
      </w:pPr>
      <w:r>
        <w:rPr>
          <w:rFonts w:ascii="Times New Roman" w:cs="Times New Roman" w:eastAsia="Times New Roman" w:hAnsi="Times New Roman"/>
          <w:sz w:val="17"/>
          <w:szCs w:val="17"/>
          <w:color w:val="auto"/>
        </w:rPr>
        <w:t>The provision for income taxes primarily consists of reserves for unrecognized tax benefits and state taxes. We have generated NOLs since inception and have established a full valuation allowance against our deferred tax assets due to the uncertainty surrounding the realization of such assets.</w:t>
      </w:r>
    </w:p>
    <w:p>
      <w:pPr>
        <w:spacing w:after="0" w:line="200" w:lineRule="exact"/>
        <w:rPr>
          <w:sz w:val="20"/>
          <w:szCs w:val="20"/>
          <w:color w:val="auto"/>
        </w:rPr>
      </w:pPr>
    </w:p>
    <w:p>
      <w:pPr>
        <w:spacing w:after="0" w:line="3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Our accounting policies are more fully described in Note 2 of the consolidated financial statements to this Annual Report on Form 10-K. As disclosed in Note 2, the preparation of financial statements in conformity with generally accepted accounting principles requires management to make estimates and assumptions about future events that affect the amounts reported in the financial statements and accompanying notes.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Actual results could differ significantly from those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80" w:firstLine="648"/>
        <w:spacing w:after="0" w:line="296" w:lineRule="auto"/>
        <w:rPr>
          <w:sz w:val="20"/>
          <w:szCs w:val="20"/>
          <w:color w:val="auto"/>
        </w:rPr>
      </w:pPr>
      <w:r>
        <w:rPr>
          <w:rFonts w:ascii="Times New Roman" w:cs="Times New Roman" w:eastAsia="Times New Roman" w:hAnsi="Times New Roman"/>
          <w:sz w:val="17"/>
          <w:szCs w:val="17"/>
          <w:color w:val="auto"/>
        </w:rPr>
        <w:t>We recognize revenue when our customer obtains control of promised goods or services, in an amount that reflects the consideration which we expect to receive in exchange for those goods or services. To recognize revenue from a contract with a customer, we perform the following five steps:</w:t>
      </w:r>
    </w:p>
    <w:p>
      <w:pPr>
        <w:spacing w:after="0" w:line="31"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a performance obligation.</w:t>
      </w:r>
    </w:p>
    <w:p>
      <w:pPr>
        <w:spacing w:after="0" w:line="104" w:lineRule="exact"/>
        <w:rPr>
          <w:sz w:val="20"/>
          <w:szCs w:val="20"/>
          <w:color w:val="auto"/>
        </w:rPr>
      </w:pPr>
    </w:p>
    <w:p>
      <w:pPr>
        <w:jc w:val="both"/>
        <w:ind w:right="480" w:firstLine="648"/>
        <w:spacing w:after="0" w:line="258" w:lineRule="auto"/>
        <w:rPr>
          <w:sz w:val="20"/>
          <w:szCs w:val="20"/>
          <w:color w:val="auto"/>
        </w:rPr>
      </w:pPr>
      <w:r>
        <w:rPr>
          <w:rFonts w:ascii="Times New Roman" w:cs="Times New Roman" w:eastAsia="Times New Roman" w:hAnsi="Times New Roman"/>
          <w:sz w:val="18"/>
          <w:szCs w:val="18"/>
          <w:color w:val="auto"/>
        </w:rPr>
        <w:t>At contract inception, we assess the goods or services promised within each contract, whether each promised good or service is distinct, and determine those that are performance obligations. We then recognize as revenue the amount of the transaction price that is allocated to the respective performance obligation when or as the performance obligation is satisfied.</w:t>
      </w:r>
    </w:p>
    <w:p>
      <w:pPr>
        <w:spacing w:after="0" w:line="6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We enter into research and collaboration agreements under which we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term and the participation of alliance managers and in joint research committees, joint patent committees and joint steering committees. We assess these promises within the context of the agreements to determine the performance obligations.</w:t>
      </w:r>
    </w:p>
    <w:p>
      <w:pPr>
        <w:spacing w:after="0" w:line="85"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Research and collaboration licenses</w:t>
      </w:r>
      <w:r>
        <w:rPr>
          <w:rFonts w:ascii="Times New Roman" w:cs="Times New Roman" w:eastAsia="Times New Roman" w:hAnsi="Times New Roman"/>
          <w:sz w:val="18"/>
          <w:szCs w:val="18"/>
          <w:color w:val="auto"/>
        </w:rPr>
        <w:t>: If a license is determined to be distinct from the other promises identified in the arrangement, we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upfront payments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w:t>
      </w:r>
    </w:p>
    <w:p>
      <w:pPr>
        <w:spacing w:after="0" w:line="69" w:lineRule="exact"/>
        <w:rPr>
          <w:sz w:val="20"/>
          <w:szCs w:val="20"/>
          <w:color w:val="auto"/>
        </w:rPr>
      </w:pPr>
    </w:p>
    <w:p>
      <w:pPr>
        <w:jc w:val="both"/>
        <w:ind w:right="20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research, development or regulatory milestone payments, we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6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7"/>
          <w:szCs w:val="17"/>
          <w:i w:val="1"/>
          <w:iCs w:val="1"/>
          <w:color w:val="auto"/>
        </w:rPr>
        <w:t>Customer options</w:t>
      </w:r>
      <w:r>
        <w:rPr>
          <w:rFonts w:ascii="Times New Roman" w:cs="Times New Roman" w:eastAsia="Times New Roman" w:hAnsi="Times New Roman"/>
          <w:sz w:val="17"/>
          <w:szCs w:val="17"/>
          <w:color w:val="auto"/>
        </w:rPr>
        <w:t>: Customer options, such as options granted to allow a licensee to extend a license or research term, to select additional research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we allocate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For performance obligations satisfied over time, we recognize revenue using the cost-based input method and evaluate the measure of proportional performance each reporting period and, if necessary, adjust the measure of performance and related revenue recognition. To measure the proportional performance, we are required to make our best estimates of forecasted expenditures and development timelines, which are subject to uncertainties associated with pharmaceutical product development. Forecasted total expenditures are driven primarily by the number of full-time employees, and the assumptions over the number of full-time employees require significant management judgement. The number of full-time employees may change based on the progress and timing of our product development, and may be influenced by resource allocation decisions on internal programs and overall constraint on resources. The model is highly sensitive to changes in resources assigned over the research term. Forecasted total expenditures also include other direct costs related to product development, including third-party contract costs, and may also require management’s estimate of costs and market conditions that may impact costs.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November 30, 2022 and 2021</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for the years ended November 30, 2022 and 2021 are summarized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w:t>
            </w:r>
          </w:p>
        </w:tc>
        <w:tc>
          <w:tcPr>
            <w:tcW w:w="0" w:type="dxa"/>
            <w:vAlign w:val="bottom"/>
          </w:tcPr>
          <w:p>
            <w:pPr>
              <w:spacing w:after="0"/>
              <w:rPr>
                <w:sz w:val="1"/>
                <w:szCs w:val="1"/>
                <w:color w:val="auto"/>
              </w:rPr>
            </w:pPr>
          </w:p>
        </w:tc>
      </w:tr>
      <w:tr>
        <w:trPr>
          <w:trHeight w:val="243"/>
        </w:trPr>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74,858</w:t>
            </w:r>
          </w:p>
        </w:tc>
        <w:tc>
          <w:tcPr>
            <w:tcW w:w="0" w:type="dxa"/>
            <w:vAlign w:val="bottom"/>
          </w:tcPr>
          <w:p>
            <w:pPr>
              <w:spacing w:after="0"/>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6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collaboration revenue for the years ended November 30, 2022 and 2021 is summarized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Gilead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Sanofi</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Our collaboration revenue increased by $8.9 million during the year ended November 30, 2022 compared to the year ended November 30, 2021 primarily due to increased effort resulting in a higher percentage of completion of performance obligations under our collaborations with Gilead and Sanofi in the current period. The increases were also due to additions to the transaction price from the achievement of research milestones totaling $10.0 million from our collaboration with Gilead and $3.0 million from our collaboration with Sanofi that resulted in higher revenue recognized in each period and impacted the cumulative catch up in revenue for activities satisfied in previous periods. The increases were partially offset by increased overall forecasted costs for our collaboration with Sanofi primarily due to the target substitution in July 2022. The substitutions increased the overall forecasted costs and extended the research term of those targets, which offset the increases in revenue due to increased effort and resulted in less revenue recognized in the current period.</w:t>
      </w: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for the years ended November 30, 2022 and 2021 are summarized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contract research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Preclinical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manufacturing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and other costs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0" w:type="dxa"/>
            <w:vAlign w:val="bottom"/>
          </w:tcPr>
          <w:p>
            <w:pPr>
              <w:spacing w:after="0"/>
              <w:rPr>
                <w:sz w:val="1"/>
                <w:szCs w:val="1"/>
                <w:color w:val="auto"/>
              </w:rPr>
            </w:pPr>
          </w:p>
        </w:tc>
      </w:tr>
      <w:tr>
        <w:trPr>
          <w:trHeight w:val="26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68,063</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 increased by $68.1 million during the year ended November 30, 2022 compared to the year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2021. There was an increase in compensation and related personnel costs and in non-cash stock-based compensation expense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$25.8 million and $8.8 million, respectively, that were primarily attributable to higher headcount. The increase in non-cash stock-based compensation</w:t>
      </w:r>
    </w:p>
    <w:p>
      <w:pPr>
        <w:spacing w:after="0" w:line="234" w:lineRule="auto"/>
        <w:rPr>
          <w:sz w:val="20"/>
          <w:szCs w:val="20"/>
          <w:color w:val="auto"/>
        </w:rPr>
      </w:pPr>
      <w:r>
        <w:rPr>
          <w:rFonts w:ascii="Times New Roman" w:cs="Times New Roman" w:eastAsia="Times New Roman" w:hAnsi="Times New Roman"/>
          <w:sz w:val="18"/>
          <w:szCs w:val="18"/>
          <w:color w:val="auto"/>
        </w:rPr>
        <w:t>expense was also attributable to the issuance of restricted stock units (RSUs) and incentive stock options. There was also an increase in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clinical costs of $11.0 million primarily due to the ramping up of our clinical trial programs and ongoing patient enrollment, an increase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supplies and contract research costs of $10.1 million to support our programs and an increase in preclinical activities of $3.2 million. There was also an</w:t>
      </w:r>
    </w:p>
    <w:p>
      <w:pPr>
        <w:spacing w:after="0"/>
        <w:rPr>
          <w:sz w:val="20"/>
          <w:szCs w:val="20"/>
          <w:color w:val="auto"/>
        </w:rPr>
      </w:pPr>
      <w:r>
        <w:rPr>
          <w:rFonts w:ascii="Times New Roman" w:cs="Times New Roman" w:eastAsia="Times New Roman" w:hAnsi="Times New Roman"/>
          <w:sz w:val="18"/>
          <w:szCs w:val="18"/>
          <w:color w:val="auto"/>
        </w:rPr>
        <w:t>increase in facility and other costs of $9.2 million primarily due to the expansion of leased premises and additional investments in information technology.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Our general and administrative expenses increased by $6.8 million during the year ended November 30, 2022, compared to the year ended November 30, 2021. There was an increase of $1.1 million in compensation related expenses and an increase of $3.6 million in non-cash stock-based compensation expense, both of which were primarily attributable to higher headcount. The increase in non-cash stock-based compensation expense was also attributable to the issuance of RSUs and incentive stock options. There was also an increase of $1.4 million primarily attributable to higher public relations, legal and software costs, offset by a decrease in accounting costs, and an increase of $0.7 million in facility and other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interest and other income, net increased by $2.7 million during the year ended November 30, 2022, compared to the year ended November 30, 2021, primarily attributable to higher interest rates earning higher interest income on our deposits, money market funds and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Our provision for income taxes decreased by $0.1 million during the year ended November 30, 2022, compared to the year ended November 30, 2021. There was no provision for income taxes for the year ended November 30, 2022. The provision for income taxes for the year ended November 30, 2021 was due to state taxes offset by a federal income tax refund.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82"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In June 2022, we issued and sold 2,000,000 shares of common stock under the Equity Distribution Agreement at a price of $10.0001 per share of common stock for net proceeds of approximately $19.3 million after deducting offering commissions and expenses paid by us (the June 2022 ATM Offering). As of November 30, 2022, we had $130.0 million of common stock remaining available for sale under the Equity Distribution Agreement.</w:t>
      </w:r>
    </w:p>
    <w:p>
      <w:pPr>
        <w:spacing w:after="0" w:line="45" w:lineRule="exact"/>
        <w:rPr>
          <w:sz w:val="20"/>
          <w:szCs w:val="20"/>
          <w:color w:val="auto"/>
        </w:rPr>
      </w:pPr>
    </w:p>
    <w:p>
      <w:pPr>
        <w:ind w:right="80" w:firstLine="648"/>
        <w:spacing w:after="0" w:line="215" w:lineRule="exact"/>
        <w:rPr>
          <w:sz w:val="20"/>
          <w:szCs w:val="20"/>
          <w:color w:val="auto"/>
        </w:rPr>
      </w:pPr>
      <w:r>
        <w:rPr>
          <w:rFonts w:ascii="Times New Roman" w:cs="Times New Roman" w:eastAsia="Times New Roman" w:hAnsi="Times New Roman"/>
          <w:sz w:val="18"/>
          <w:szCs w:val="18"/>
          <w:color w:val="auto"/>
        </w:rPr>
        <w:t>In July 2022, we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our common stock in registered direct offerings (RDOs) at a price of $13.939 per pre-funded warrant. Net proceeds from the RDOs were approximately $94.8 million, after deducting offering expenses of $0.2 million. The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 As of November 30, 2022, all of the pre-funded warrants remained available for exercise.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November 30, 2022, our operations have primarily been funded through the net proceeds from equity offerings of $650.5 million and proceeds from collaborations of $312.5 million. We do not have any products approved for sale, and we have not generated any revenue from product sales. As of November 30, 2022, we had $373.0 million in cash, cash equivalents and marketable securities.</w:t>
      </w:r>
    </w:p>
    <w:p>
      <w:pPr>
        <w:spacing w:after="0" w:line="82" w:lineRule="exact"/>
        <w:rPr>
          <w:sz w:val="20"/>
          <w:szCs w:val="20"/>
          <w:color w:val="auto"/>
        </w:rPr>
      </w:pPr>
    </w:p>
    <w:p>
      <w:pPr>
        <w:ind w:right="20" w:firstLine="648"/>
        <w:spacing w:after="0" w:line="210" w:lineRule="exact"/>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are sufficient to meet our cash requirements and continue operating activities, including the clinical trials of our drug candidates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7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the long term, our ability to support our working capital and capital expenditure requirements will depend on many factors, including the following:</w:t>
      </w:r>
    </w:p>
    <w:p>
      <w:pPr>
        <w:spacing w:after="0" w:line="11" w:lineRule="exact"/>
        <w:rPr>
          <w:sz w:val="20"/>
          <w:szCs w:val="20"/>
          <w:color w:val="auto"/>
        </w:rPr>
      </w:pPr>
    </w:p>
    <w:p>
      <w:pPr>
        <w:ind w:left="660" w:right="120" w:hanging="328"/>
        <w:spacing w:after="0" w:line="232" w:lineRule="exact"/>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clinical trials for our lead drug candidates NX-2127, NX-1607,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DeTIL-0255, and any future clinical development of such drug candidates;</w:t>
      </w:r>
    </w:p>
    <w:p>
      <w:pPr>
        <w:spacing w:after="0" w:line="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0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30, 2022, our material cash requirements include the following contractual and other obligations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35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58"/>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4"/>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360" w:type="dxa"/>
            <w:vAlign w:val="bottom"/>
          </w:tcPr>
          <w:p>
            <w:pPr>
              <w:spacing w:after="0"/>
              <w:rPr>
                <w:sz w:val="17"/>
                <w:szCs w:val="17"/>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5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46,708</w:t>
            </w:r>
          </w:p>
        </w:tc>
      </w:tr>
      <w:tr>
        <w:trPr>
          <w:trHeight w:val="26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46,708</w:t>
            </w:r>
          </w:p>
        </w:tc>
      </w:tr>
      <w:tr>
        <w:trPr>
          <w:trHeight w:val="20"/>
        </w:trPr>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normal course of business we enter into agreements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61" w:lineRule="exact"/>
        <w:rPr>
          <w:sz w:val="20"/>
          <w:szCs w:val="20"/>
          <w:color w:val="auto"/>
        </w:rPr>
      </w:pPr>
    </w:p>
    <w:p>
      <w:pPr>
        <w:ind w:right="260" w:firstLine="648"/>
        <w:spacing w:after="0" w:line="280"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for the years ended November 30, 2022 and 2021 are summarized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153,882</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Net cash used in operating activities was $159.8 million for the year ended November 30, 2022 and consisted of our net loss of $180.4 million and an increase in net assets of $19.0 million, offset by non-cash adjustments of $39.6 million. The increase in net assets consisted primarily of a decrease in deferred revenue of $26.6 million as we increased effort in our programs and recognized revenue, a decrease in operating lease liabilities of $4.9 million due to payments made on operating leases and an increase in prepaid expenses and other assets of $1.1 million primarily related to increased prepaid clinical and contract manufacturing costs and software license costs, offset by an increase in accrued expenses and other liabilities of $7.5 million primarily related to the accrual of contract research, laboratory supplies and annual incentive compensation and a decrease in accounts receivable of $6.0 million related to payments received under the Gilead Agreement. Non-cash adjustments primarily consisted of stock-based compensation expenses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 million, amortization of operating lease right-of-use assets of $5.5 million and depreciation and amortization expenses of $5.3 million.</w:t>
      </w:r>
    </w:p>
    <w:p>
      <w:pPr>
        <w:spacing w:after="0" w:line="200" w:lineRule="exact"/>
        <w:rPr>
          <w:sz w:val="20"/>
          <w:szCs w:val="20"/>
          <w:color w:val="auto"/>
        </w:rPr>
      </w:pPr>
    </w:p>
    <w:p>
      <w:pPr>
        <w:spacing w:after="0" w:line="38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Net cash used in operating activities was $84.4 million for the year ended November 30, 2021 and consisted of a decrease in net assets of $9.1 million and non-cash adjustments of $23.7 million, offset by our net loss of $117.2 million. The decrease in net assets consisted primarily of an increase in deferred revenue of $14.3 million primarily related to proceeds received pursuant to the Sanofi Agreement and the Gilead Agreement, an increase in accrued expenses and other liabilities of $6.2 million primarily related to an increase in accrued compensation from higher incentive compensation and an increase in accrued contract research and lab supplies due to the growth in clinical development for our lead drug candidates and a decrease in income tax receivable of $3.6 million related to the collection of the NOL carryback claims as a result of the CARES Act. The decrease in net assets was offset by an increase in accounts receivable of $6.0 million related to a Gilead research milestone, an increase in prepaid expenses and other assets of $5.4 million primarily related to an increase in prepaid clinical costs and a decrease in operating lease liabilities of $5.1 million due to payments made on operating leases. Non-cash adjustments primarily consisted of stock-based compensation expenses of $15.8 million, amortization of operating lease right-of-use assets of $3.3 million and depreciation and amortization expenses of $2.8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$27.2 million for the year ended November 30, 2022 and consisted of the maturity of marketable securities of $278.8 million, offset by the purchase of marketable securities of $239.4 million and purchases of property and equipment of $12.2 million.</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was $108.3 million for the year ended November 30, 2021 and consisted of the purchase of investments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$348.5 million and purchases of property and equipment of $5.7 million, offset by the maturity of investments of $238.9 million and the sale of investments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$7.0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firstLine="648"/>
        <w:spacing w:after="0" w:line="296" w:lineRule="auto"/>
        <w:rPr>
          <w:sz w:val="20"/>
          <w:szCs w:val="20"/>
          <w:color w:val="auto"/>
        </w:rPr>
      </w:pPr>
      <w:r>
        <w:rPr>
          <w:rFonts w:ascii="Times New Roman" w:cs="Times New Roman" w:eastAsia="Times New Roman" w:hAnsi="Times New Roman"/>
          <w:sz w:val="17"/>
          <w:szCs w:val="17"/>
          <w:color w:val="auto"/>
        </w:rPr>
        <w:t>Net cash provided by financing activities was $117.2 million for the year ended November 30, 2022 and consisted primarily of net proceeds from the issuance of pre-funded warrants in the RDOs of $94.8 million and from the issuance of common stock in the June 2022 ATM Offering of $19.4 million.</w:t>
      </w:r>
    </w:p>
    <w:p>
      <w:pPr>
        <w:spacing w:after="0" w:line="4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$153.9 million for the year ended November 30, 2021 and consisted primarily of proceeds from the issuance of common stock from the follow-on offering in March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Segments</w:t>
      </w:r>
    </w:p>
    <w:p>
      <w:pPr>
        <w:spacing w:after="0" w:line="12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currently operate in a single business segment. See additional information in our financial statements contained in Part II, Item 8 of this Annual Report on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Table of Content</w:t>
            </w:r>
          </w:p>
        </w:tc>
        <w:tc>
          <w:tcPr>
            <w:tcW w:w="8020" w:type="dxa"/>
            <w:vAlign w:val="bottom"/>
            <w:gridSpan w:val="8"/>
          </w:tcPr>
          <w:p>
            <w:pPr>
              <w:spacing w:after="0"/>
              <w:rPr>
                <w:sz w:val="17"/>
                <w:szCs w:val="17"/>
                <w:color w:val="auto"/>
              </w:rPr>
            </w:pPr>
          </w:p>
        </w:tc>
        <w:tc>
          <w:tcPr>
            <w:tcW w:w="2000" w:type="dxa"/>
            <w:vAlign w:val="bottom"/>
          </w:tcPr>
          <w:p>
            <w:pPr>
              <w:spacing w:after="0"/>
              <w:rPr>
                <w:sz w:val="17"/>
                <w:szCs w:val="17"/>
                <w:color w:val="auto"/>
              </w:rPr>
            </w:pPr>
          </w:p>
        </w:tc>
      </w:tr>
      <w:tr>
        <w:trPr>
          <w:trHeight w:val="939"/>
        </w:trPr>
        <w:tc>
          <w:tcPr>
            <w:tcW w:w="20" w:type="dxa"/>
            <w:vAlign w:val="bottom"/>
          </w:tcPr>
          <w:p>
            <w:pPr>
              <w:spacing w:after="0"/>
              <w:rPr>
                <w:sz w:val="24"/>
                <w:szCs w:val="24"/>
                <w:color w:val="auto"/>
              </w:rPr>
            </w:pPr>
          </w:p>
        </w:tc>
        <w:tc>
          <w:tcPr>
            <w:tcW w:w="9220" w:type="dxa"/>
            <w:vAlign w:val="bottom"/>
            <w:gridSpan w:val="9"/>
          </w:tcPr>
          <w:p>
            <w:pPr>
              <w:ind w:left="6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STATEMENTS</w:t>
            </w:r>
          </w:p>
        </w:tc>
        <w:tc>
          <w:tcPr>
            <w:tcW w:w="20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6"/>
          </w:tcPr>
          <w:p>
            <w:pPr>
              <w:spacing w:after="0"/>
              <w:rPr>
                <w:sz w:val="21"/>
                <w:szCs w:val="21"/>
                <w:color w:val="auto"/>
              </w:rPr>
            </w:pPr>
          </w:p>
        </w:tc>
        <w:tc>
          <w:tcPr>
            <w:tcW w:w="50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20" w:type="dxa"/>
            <w:vAlign w:val="bottom"/>
          </w:tcPr>
          <w:p>
            <w:pPr>
              <w:spacing w:after="0"/>
              <w:rPr>
                <w:sz w:val="21"/>
                <w:szCs w:val="21"/>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6"/>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0"/>
        </w:trPr>
        <w:tc>
          <w:tcPr>
            <w:tcW w:w="20" w:type="dxa"/>
            <w:vAlign w:val="bottom"/>
          </w:tcPr>
          <w:p>
            <w:pPr>
              <w:spacing w:after="0"/>
              <w:rPr>
                <w:sz w:val="21"/>
                <w:szCs w:val="21"/>
                <w:color w:val="auto"/>
              </w:rPr>
            </w:pP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5660" w:type="dxa"/>
            <w:vAlign w:val="bottom"/>
            <w:gridSpan w:val="2"/>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50"/>
        </w:trPr>
        <w:tc>
          <w:tcPr>
            <w:tcW w:w="20" w:type="dxa"/>
            <w:vAlign w:val="bottom"/>
          </w:tcPr>
          <w:p>
            <w:pPr>
              <w:spacing w:after="0"/>
              <w:rPr>
                <w:sz w:val="21"/>
                <w:szCs w:val="21"/>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340" w:type="dxa"/>
            <w:vAlign w:val="bottom"/>
            <w:gridSpan w:val="5"/>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60" w:type="dxa"/>
            <w:vAlign w:val="bottom"/>
            <w:gridSpan w:val="4"/>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952"/>
        </w:trPr>
        <w:tc>
          <w:tcPr>
            <w:tcW w:w="9240" w:type="dxa"/>
            <w:vAlign w:val="bottom"/>
            <w:gridSpan w:val="10"/>
          </w:tcPr>
          <w:p>
            <w:pPr>
              <w:jc w:val="right"/>
              <w:ind w:right="3070"/>
              <w:spacing w:after="0"/>
              <w:rPr>
                <w:sz w:val="20"/>
                <w:szCs w:val="20"/>
                <w:color w:val="auto"/>
              </w:rPr>
            </w:pPr>
            <w:r>
              <w:rPr>
                <w:rFonts w:ascii="Times New Roman" w:cs="Times New Roman" w:eastAsia="Times New Roman" w:hAnsi="Times New Roman"/>
                <w:sz w:val="18"/>
                <w:szCs w:val="18"/>
                <w:color w:val="auto"/>
              </w:rPr>
              <w:t>117</w:t>
            </w:r>
          </w:p>
        </w:tc>
        <w:tc>
          <w:tcPr>
            <w:tcW w:w="20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Nurix Therapeutics,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Nurix Therapeutics, Inc. and its subsidiaries (the “Company”) as of November 30, 2022 and 2021,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November 30, 2022 and 2021,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will require substantial additional funding to support its continuing operations and pursue its long-term business plan. Management’s plans in regard to this matter are described in Note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Estimated Costs of Internal Full-Time Employees (FTEs)</w:t>
      </w:r>
    </w:p>
    <w:p>
      <w:pPr>
        <w:spacing w:after="0" w:line="11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Company’s consolidated revenue was $38.6 million for the year ended November 30, 2022 and was generated from the Company’s collaboration agreements. During the contract term, management uses a cost-based input method to recognize revenue based on the actual costs incurred as a percentage of total estimated costs as the Company completes its performance obligation under the contract. Costs consist primarily of internal FTE and third-party contract costs related to the collaboration agreements.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 estimated costs of internal FTEs is a critical audit matter are (i) the high degree of auditor judgment and subjectivity in performing procedures relating to the estimated costs of internal FTEs due to the significant judgment by management when determining the estimate and (ii) the significant audit effort in evaluating the significant assumption related to the number of estimated FTEs.</w:t>
      </w:r>
    </w:p>
    <w:p>
      <w:pPr>
        <w:spacing w:after="0" w:line="69"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evaluating and testing management’s process for determining the estimated costs of internal FTEs, which included evaluating the reasonableness of the significant assumption related to the number of estimated FTEs, by (i) performing a comparison of management’s estimated costs of internal FTEs to the actual internal FTE costs; (ii) testing the completeness and accuracy of the data used by management in the estimate; (iii) evaluating management’s timely identification of changes in estimated costs of internal FTEs; and (iv) evaluating whether the estimate and assumption were consistent with evidence obtained in other areas of the audit.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0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80,506</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215,214</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r>
      <w:tr>
        <w:trPr>
          <w:trHeight w:val="237"/>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318,449</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311,118</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137,189</w:t>
            </w: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w:t>
            </w: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63"/>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416,759</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476,771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41,212</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w:t>
            </w: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59,022</w:t>
            </w:r>
          </w:p>
        </w:tc>
      </w:tr>
      <w:tr>
        <w:trPr>
          <w:trHeight w:val="237"/>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113,063</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134,469</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as of November 30, 2022 and 2021; 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shares issued and outstanding as of November 30, 2022 and 2021</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as of November 30, 2022 and 2021;</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47,172,299 and 44,664,371 shares issued and outstanding as of November 30, 2022 and 2021,</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709,220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563,757</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(401,252)</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(220,892)</w:t>
            </w:r>
          </w:p>
        </w:tc>
      </w:tr>
      <w:tr>
        <w:trPr>
          <w:trHeight w:val="236"/>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303,696</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342,302</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416,759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476,771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w:t>
            </w:r>
          </w:p>
        </w:tc>
      </w:tr>
      <w:tr>
        <w:trPr>
          <w:trHeight w:val="24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116,434</w:t>
            </w:r>
          </w:p>
        </w:tc>
      </w:tr>
      <w:tr>
        <w:trPr>
          <w:trHeight w:val="24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w:t>
            </w:r>
          </w:p>
        </w:tc>
      </w:tr>
      <w:tr>
        <w:trPr>
          <w:trHeight w:val="27"/>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147,636</w:t>
            </w:r>
          </w:p>
        </w:tc>
      </w:tr>
      <w:tr>
        <w:trPr>
          <w:trHeight w:val="237"/>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(117,886)</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7"/>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(117,063)</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6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(117,194)</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48,607,990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42,895,383</w:t>
            </w:r>
          </w:p>
        </w:tc>
      </w:tr>
      <w:tr>
        <w:trPr>
          <w:trHeight w:val="21"/>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(117,194)</w:t>
            </w:r>
          </w:p>
        </w:tc>
      </w:tr>
      <w:tr>
        <w:trPr>
          <w:trHeight w:val="24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available-for-sale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6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(184,071)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(117,889)</w:t>
            </w:r>
          </w:p>
        </w:tc>
      </w:tr>
      <w:tr>
        <w:trPr>
          <w:trHeight w:val="21"/>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ectPr>
          <w:pgSz w:w="11900" w:h="16838" w:orient="portrait"/>
          <w:cols w:equalWidth="0" w:num="1">
            <w:col w:w="11220"/>
          </w:cols>
          <w:pgMar w:left="320" w:top="121" w:right="359" w:bottom="1440" w:gutter="0" w:footer="0" w:header="0"/>
        </w:sect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64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6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November 30, 2020</w:t>
            </w: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96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38,864,872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equity offering, net of offering costs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$643</w:t>
            </w: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of unvested early exercised stock</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 on available-for-sale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marketable securities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November 30, 2021</w:t>
            </w: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6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44,664,371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pre-funded warrants, net of</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issuance costs of $234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in "at the market"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financing, net of issuance costs of $672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 on available-for-sale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marketable securities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96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November 30, 2022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47,172,299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-3230880</wp:posOffset>
            </wp:positionV>
            <wp:extent cx="711517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-2828290</wp:posOffset>
            </wp:positionV>
            <wp:extent cx="711517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-2536825</wp:posOffset>
            </wp:positionV>
            <wp:extent cx="711517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-2133600</wp:posOffset>
            </wp:positionV>
            <wp:extent cx="711517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-1833880</wp:posOffset>
            </wp:positionV>
            <wp:extent cx="7115175"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-1319530</wp:posOffset>
            </wp:positionV>
            <wp:extent cx="711517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-1028065</wp:posOffset>
            </wp:positionV>
            <wp:extent cx="711517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-736600</wp:posOffset>
            </wp:positionV>
            <wp:extent cx="711517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-333375</wp:posOffset>
            </wp:positionV>
            <wp:extent cx="7115175"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-3745230</wp:posOffset>
            </wp:positionV>
            <wp:extent cx="7115175"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393,841</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(103,698)</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290,269</w:t>
            </w:r>
          </w:p>
        </w:tc>
        <w:tc>
          <w:tcPr>
            <w:tcW w:w="0" w:type="dxa"/>
            <w:vAlign w:val="bottom"/>
          </w:tcPr>
          <w:p>
            <w:pPr>
              <w:spacing w:after="0"/>
              <w:rPr>
                <w:sz w:val="1"/>
                <w:szCs w:val="1"/>
                <w:color w:val="auto"/>
              </w:rPr>
            </w:pPr>
          </w:p>
        </w:tc>
      </w:tr>
      <w:tr>
        <w:trPr>
          <w:trHeight w:val="567"/>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150,152</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150,157</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1,665</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2,060</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15,800</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15,800</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(117,194)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(117,194)</w:t>
            </w:r>
          </w:p>
        </w:tc>
        <w:tc>
          <w:tcPr>
            <w:tcW w:w="0" w:type="dxa"/>
            <w:vAlign w:val="bottom"/>
          </w:tcPr>
          <w:p>
            <w:pPr>
              <w:spacing w:after="0"/>
              <w:rPr>
                <w:sz w:val="1"/>
                <w:szCs w:val="1"/>
                <w:color w:val="auto"/>
              </w:rPr>
            </w:pPr>
          </w:p>
        </w:tc>
      </w:tr>
      <w:tr>
        <w:trPr>
          <w:trHeight w:val="37"/>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563,757</w:t>
            </w: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(220,892)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342,302</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94,759</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94,759</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19,326</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19,328</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1,078</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1,955</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28,200</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28,200</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(180,360)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(180,360)</w:t>
            </w:r>
          </w:p>
        </w:tc>
        <w:tc>
          <w:tcPr>
            <w:tcW w:w="0" w:type="dxa"/>
            <w:vAlign w:val="bottom"/>
          </w:tcPr>
          <w:p>
            <w:pPr>
              <w:spacing w:after="0"/>
              <w:rPr>
                <w:sz w:val="1"/>
                <w:szCs w:val="1"/>
                <w:color w:val="auto"/>
              </w:rPr>
            </w:pPr>
          </w:p>
        </w:tc>
      </w:tr>
      <w:tr>
        <w:trPr>
          <w:trHeight w:val="37"/>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709,220</w:t>
            </w: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(401,252)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303,696</w:t>
            </w:r>
          </w:p>
        </w:tc>
        <w:tc>
          <w:tcPr>
            <w:tcW w:w="0" w:type="dxa"/>
            <w:vAlign w:val="bottom"/>
          </w:tcPr>
          <w:p>
            <w:pPr>
              <w:spacing w:after="0"/>
              <w:rPr>
                <w:sz w:val="1"/>
                <w:szCs w:val="1"/>
                <w:color w:val="auto"/>
              </w:rPr>
            </w:pPr>
          </w:p>
        </w:tc>
      </w:tr>
      <w:tr>
        <w:trPr>
          <w:trHeight w:val="37"/>
        </w:trPr>
        <w:tc>
          <w:tcPr>
            <w:tcW w:w="1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-33655</wp:posOffset>
            </wp:positionV>
            <wp:extent cx="8229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-7620</wp:posOffset>
            </wp:positionV>
            <wp:extent cx="8229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-187960</wp:posOffset>
            </wp:positionV>
            <wp:extent cx="8229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-1988185</wp:posOffset>
            </wp:positionV>
            <wp:extent cx="8229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820" w:space="240"/>
            <w:col w:w="5160"/>
          </w:cols>
          <w:pgMar w:left="320" w:top="121" w:right="359" w:bottom="1440" w:gutter="0" w:footer="0" w:header="0"/>
          <w:type w:val="continuous"/>
        </w:sect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8040" w:type="dxa"/>
            <w:vAlign w:val="bottom"/>
          </w:tcPr>
          <w:p>
            <w:pPr>
              <w:spacing w:after="0"/>
              <w:rPr>
                <w:sz w:val="14"/>
                <w:szCs w:val="14"/>
                <w:color w:val="auto"/>
              </w:rPr>
            </w:pPr>
          </w:p>
        </w:tc>
        <w:tc>
          <w:tcPr>
            <w:tcW w:w="2460" w:type="dxa"/>
            <w:vAlign w:val="bottom"/>
            <w:gridSpan w:val="4"/>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Year Ended November 30,</w:t>
            </w:r>
          </w:p>
        </w:tc>
        <w:tc>
          <w:tcPr>
            <w:tcW w:w="600" w:type="dxa"/>
            <w:vAlign w:val="bottom"/>
          </w:tcPr>
          <w:p>
            <w:pPr>
              <w:spacing w:after="0"/>
              <w:rPr>
                <w:sz w:val="14"/>
                <w:szCs w:val="14"/>
                <w:color w:val="auto"/>
              </w:rPr>
            </w:pPr>
          </w:p>
        </w:tc>
      </w:tr>
      <w:tr>
        <w:trPr>
          <w:trHeight w:val="29"/>
        </w:trPr>
        <w:tc>
          <w:tcPr>
            <w:tcW w:w="8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67"/>
        </w:trPr>
        <w:tc>
          <w:tcPr>
            <w:tcW w:w="80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0" w:type="dxa"/>
            <w:vAlign w:val="bottom"/>
          </w:tcPr>
          <w:p>
            <w:pPr>
              <w:spacing w:after="0"/>
              <w:rPr>
                <w:sz w:val="14"/>
                <w:szCs w:val="14"/>
                <w:color w:val="auto"/>
              </w:rPr>
            </w:pPr>
          </w:p>
        </w:tc>
      </w:tr>
      <w:tr>
        <w:trPr>
          <w:trHeight w:val="29"/>
        </w:trPr>
        <w:tc>
          <w:tcPr>
            <w:tcW w:w="8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(180,360)</w:t>
            </w:r>
          </w:p>
        </w:tc>
        <w:tc>
          <w:tcPr>
            <w:tcW w:w="100" w:type="dxa"/>
            <w:vAlign w:val="bottom"/>
          </w:tcPr>
          <w:p>
            <w:pPr>
              <w:spacing w:after="0"/>
              <w:rPr>
                <w:sz w:val="16"/>
                <w:szCs w:val="16"/>
                <w:color w:val="auto"/>
              </w:rPr>
            </w:pP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(117,194)</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1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0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28,131</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w:t>
            </w: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amortization of premium on marketable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0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0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1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tax receivable</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0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w:t>
            </w: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0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(26,627)</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14,250</w:t>
            </w:r>
          </w:p>
        </w:tc>
      </w:tr>
      <w:tr>
        <w:trPr>
          <w:trHeight w:val="193"/>
        </w:trPr>
        <w:tc>
          <w:tcPr>
            <w:tcW w:w="8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(5,144)</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2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w:t>
            </w:r>
          </w:p>
        </w:tc>
      </w:tr>
      <w:tr>
        <w:trPr>
          <w:trHeight w:val="186"/>
        </w:trPr>
        <w:tc>
          <w:tcPr>
            <w:tcW w:w="8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(159,807)</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(84,365)</w:t>
            </w:r>
          </w:p>
        </w:tc>
      </w:tr>
      <w:tr>
        <w:trPr>
          <w:trHeight w:val="37"/>
        </w:trPr>
        <w:tc>
          <w:tcPr>
            <w:tcW w:w="80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9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(239,366)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(348,497)</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1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of marketable securities</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w:t>
            </w: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278,808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238,913</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3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(5,661)</w:t>
            </w:r>
          </w:p>
        </w:tc>
      </w:tr>
      <w:tr>
        <w:trPr>
          <w:trHeight w:val="186"/>
        </w:trPr>
        <w:tc>
          <w:tcPr>
            <w:tcW w:w="8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(108,251)</w:t>
            </w:r>
          </w:p>
        </w:tc>
      </w:tr>
      <w:tr>
        <w:trPr>
          <w:trHeight w:val="37"/>
        </w:trPr>
        <w:tc>
          <w:tcPr>
            <w:tcW w:w="80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9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issuances of pre-funded warrants, net of issuance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1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issuances of common stock in equity financing, net of issuance costs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150,157</w:t>
            </w: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1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under employee stock purchase plan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unvested early exercised stock options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80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23"/>
        </w:trPr>
        <w:tc>
          <w:tcPr>
            <w:tcW w:w="8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117,192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153,882</w:t>
            </w:r>
          </w:p>
        </w:tc>
      </w:tr>
      <w:tr>
        <w:trPr>
          <w:trHeight w:val="186"/>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(38,734)</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3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119,526</w:t>
            </w: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65,375</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80,792</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8"/>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Supplementary disclosures of cash flow information: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r>
      <w:tr>
        <w:trPr>
          <w:trHeight w:val="225"/>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225"/>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Additions to property and equipment included in accounts payable and accrued expenses and other liabilities</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stock-based compensation related to internal-use software development</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issuance costs recognized related to equity financing</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74"/>
        </w:trPr>
        <w:tc>
          <w:tcPr>
            <w:tcW w:w="8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gridSpan w:val="3"/>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As of November 30,</w:t>
            </w:r>
          </w:p>
        </w:tc>
        <w:tc>
          <w:tcPr>
            <w:tcW w:w="600" w:type="dxa"/>
            <w:vAlign w:val="bottom"/>
          </w:tcPr>
          <w:p>
            <w:pPr>
              <w:spacing w:after="0"/>
              <w:rPr>
                <w:sz w:val="23"/>
                <w:szCs w:val="23"/>
                <w:color w:val="auto"/>
              </w:rPr>
            </w:pPr>
          </w:p>
        </w:tc>
      </w:tr>
      <w:tr>
        <w:trPr>
          <w:trHeight w:val="30"/>
        </w:trPr>
        <w:tc>
          <w:tcPr>
            <w:tcW w:w="8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66"/>
        </w:trPr>
        <w:tc>
          <w:tcPr>
            <w:tcW w:w="80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0" w:type="dxa"/>
            <w:vAlign w:val="bottom"/>
          </w:tcPr>
          <w:p>
            <w:pPr>
              <w:spacing w:after="0"/>
              <w:rPr>
                <w:sz w:val="14"/>
                <w:szCs w:val="14"/>
                <w:color w:val="auto"/>
              </w:rPr>
            </w:pPr>
          </w:p>
        </w:tc>
      </w:tr>
      <w:tr>
        <w:trPr>
          <w:trHeight w:val="30"/>
        </w:trPr>
        <w:tc>
          <w:tcPr>
            <w:tcW w:w="8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64,474</w:t>
            </w:r>
          </w:p>
        </w:tc>
        <w:tc>
          <w:tcPr>
            <w:tcW w:w="100" w:type="dxa"/>
            <w:vAlign w:val="bottom"/>
          </w:tcPr>
          <w:p>
            <w:pPr>
              <w:spacing w:after="0"/>
              <w:rPr>
                <w:sz w:val="16"/>
                <w:szCs w:val="16"/>
                <w:color w:val="auto"/>
              </w:rPr>
            </w:pP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80,506</w:t>
            </w:r>
          </w:p>
        </w:tc>
      </w:tr>
      <w:tr>
        <w:trPr>
          <w:trHeight w:val="37"/>
        </w:trPr>
        <w:tc>
          <w:tcPr>
            <w:tcW w:w="8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30"/>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218"/>
        </w:trPr>
        <w:tc>
          <w:tcPr>
            <w:tcW w:w="8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8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65,375</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80,792</w:t>
            </w:r>
          </w:p>
        </w:tc>
      </w:tr>
      <w:tr>
        <w:trPr>
          <w:trHeight w:val="26"/>
        </w:trPr>
        <w:tc>
          <w:tcPr>
            <w:tcW w:w="8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small molecule and cell therapies based on the modulation of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ten programs under collaboration agreements with Sanofi S.A. (Sanofi) and Gilead Sciences, Inc. (Gilead), within which the Company retains options for co-development and co-commercialization rights in the United States for up to four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Net proceeds from the IPO were $218.1 million, after deducting underwriting discounts and commissions of $16.7 million and expenses of $3.6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2021, the Company filed a shelf registration statement on Form S-3 with the Securities and Exchange Commission (SEC) which was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in February 2023. This shelf registration statement, which includes a base prospectus, allows the Company at any time to offer and sell up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 million of the Company’s registered common stock, preferred stock, debt securities, warrants, subscriptions rights and or units or any combination</w:t>
      </w:r>
    </w:p>
    <w:p>
      <w:pPr>
        <w:spacing w:after="0" w:line="234" w:lineRule="auto"/>
        <w:rPr>
          <w:sz w:val="20"/>
          <w:szCs w:val="20"/>
          <w:color w:val="auto"/>
        </w:rPr>
      </w:pPr>
      <w:r>
        <w:rPr>
          <w:rFonts w:ascii="Times New Roman" w:cs="Times New Roman" w:eastAsia="Times New Roman" w:hAnsi="Times New Roman"/>
          <w:sz w:val="18"/>
          <w:szCs w:val="18"/>
          <w:color w:val="auto"/>
        </w:rPr>
        <w:t>of securities described in the prospectus in one or more offerings. In addition, in August 2021, the Company entered into an Equity Distribution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Piper Sandler &amp; Co. (Piper Sandler) pursuant to which, from time to time, the Company may offer and sell through Piper Sandler up to $150.0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common stock registered under the shelf registration statement pursuant to one or more “at the market” offerings.</w:t>
      </w:r>
    </w:p>
    <w:p>
      <w:pPr>
        <w:spacing w:after="0" w:line="85"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In June 2022, the Company issued and sold 2,000,000 shares of common stock under the Equity Distribution Agreement at a price of $10.0001 per share of common stock for net proceeds of approximately $19.3 million, after deducting offering commissions and expenses paid by the Company. As of November 30, 2022, the Company had $130.0 million of common stock remaining available for sale under the Equity Distribution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92" w:lineRule="exact"/>
        <w:rPr>
          <w:sz w:val="20"/>
          <w:szCs w:val="20"/>
          <w:color w:val="auto"/>
        </w:rPr>
      </w:pPr>
    </w:p>
    <w:p>
      <w:pPr>
        <w:ind w:right="180" w:firstLine="648"/>
        <w:spacing w:after="0" w:line="218" w:lineRule="exact"/>
        <w:rPr>
          <w:sz w:val="20"/>
          <w:szCs w:val="20"/>
          <w:color w:val="auto"/>
        </w:rPr>
      </w:pPr>
      <w:r>
        <w:rPr>
          <w:rFonts w:ascii="Times New Roman" w:cs="Times New Roman" w:eastAsia="Times New Roman" w:hAnsi="Times New Roman"/>
          <w:sz w:val="18"/>
          <w:szCs w:val="18"/>
          <w:color w:val="auto"/>
        </w:rPr>
        <w:t>In July 2022, the Company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the Company’s common stock in registered direct offerings (RDOs) at a price of $13.939 per pre-funded warrant. Net proceeds from the RDOs were approximately $94.8 million, after deducting offering expenses of $0.2 million. Refer to Note 7 for more information regarding the pre-funded warrants issued in the RDOs.</w:t>
      </w:r>
    </w:p>
    <w:p>
      <w:pPr>
        <w:spacing w:after="0" w:line="200" w:lineRule="exact"/>
        <w:rPr>
          <w:sz w:val="20"/>
          <w:szCs w:val="20"/>
          <w:color w:val="auto"/>
        </w:rPr>
      </w:pPr>
    </w:p>
    <w:p>
      <w:pPr>
        <w:spacing w:after="0" w:line="3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of November 30, 2022, the Company had cash, cash equivalents and short-term marketable securities of $309.1 million, working capital of $247.8 million and an accumulated deficit of $401.3 million. 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spacing w:after="0" w:line="9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Management believes that its cash, cash equivalents and short-term marketable securities are sufficient to continue operating activities for at least 12 months following the issuance date of these consolidated financial statements. Future capital requirements will depend on many factors, including the timing and extent of spending on research and development and payments the Company may receive under its collaboration agreements with Sanofi and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U.S. generally accepted accounting principles (U.S. GAAP) and include the accounts of the Company and its wholly owned subsidiaries, including DeCART Therapeutics Inc., which was legally dissolved in July 2022. All intercompany balances and transactions have been eliminated in consolidation. Certain prior year amounts have been reclassified for consistency with the current year cash flow presentation. The reclassification did not impact total cash flow from operating, investing or financing activities.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73"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Moreover, the Company is subject to risks and uncertainties as a result of the current COVID-19 pandemic and increasing financial market volatility and uncertainty. The COVID-19 pandemic, including the resurgence of cases relating to the spread of new variants, continues to impact worldwide economic activity and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and increasing financial market volatility and uncertainty will impact the Company’s business will depend on future developments that are highly uncertain and cannot be predicted at this time.</w:t>
      </w:r>
    </w:p>
    <w:p>
      <w:pPr>
        <w:spacing w:after="0" w:line="72" w:lineRule="exact"/>
        <w:rPr>
          <w:sz w:val="20"/>
          <w:szCs w:val="20"/>
          <w:color w:val="auto"/>
        </w:rPr>
      </w:pPr>
    </w:p>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and the increasing financial market volatility and uncertainty may directly or indirectly impact the Company’s financial statements is highly uncertain and subject to change. Management considered the potential impact of the COVID-19 pandemic on its estimates and assumptions and there was not a material impact to the Company’s consolidated financial statements as of and for the year ended November 30, 2022; however, actual results could differ from those estimates and there may be changes to management’s estimates in future periods.</w:t>
      </w:r>
    </w:p>
    <w:p>
      <w:pPr>
        <w:spacing w:after="0" w:line="7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Operating segments are defined as components of an enterprise where separate financial information is evaluated regularly by the chief operating decision maker (CODM) in deciding how to allocate resources and assess performance. The Company’s CODM is the Chief Executive Officer, who reviews consolidated financial information on a company-wide basis for purposes of allocating resources and assessing financial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considers all highly liquid marketable securities with a maturity of three months or less when purchased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which consist of money market funds, are stated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Company had $0.9 million and $0.3 million of restricted cash recorded as a non-current asset as of November 30, 2022 and 2021, respectively. Restricted cash as of November 30, 2022 consisted of $0.1 million that serves as collateral for a business credit card account and $0.8 million for letters of credit required under operating leases. Restricted cash as of November 30, 2021 consisted of $0.1 million that serves as collateral for a business credit card account and $0.2 million for a letter of credit required under an operating lease. These balances are included within the cash, cash equivalents and restricted cash balance in the accompanying consolidated statements of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equivalents, accounts payable and accrued liabilities included in the Company’s consolidated financial statements approximate their fair value due to the nature of the financial instruments. Refer to Note 5 for more information regarding the fair value of the Company’s marketable securities.</w:t>
      </w: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Marketable securities consist of money market funds, U.S. Treasuries, corporate debt securities, U.S. government agency securities, corporate commercial paper, foreign government securities and municipal securities. The Company’s marketable securities are classified as available-for-sale and carried at estimated fair values and reported in cash equivalents, short-term marketable securities or long-term marketable securities. Management determines the appropriate classification of the marketable securities at the time they are acquired and evaluates the appropriateness of such classifications at each consolidated balance sheet date. Marketable securities with contractual maturities greater than 12 months are considered long-term marketable securities.</w:t>
      </w:r>
    </w:p>
    <w:p>
      <w:pPr>
        <w:spacing w:after="0" w:line="72"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The Company regularly reviews its marketable securities for declines in estimated fair value below amortized cost. The factors considered in determining whether a credit loss exists include the creditworthiness of the security issuers, the number of marketable securities in an unrealized loss position, the severity and duration of the unrealized losses, and whether it is more likely than not that the Company will be required to sell the marketable securities before the recovery of their amortized cost basis. The cost of marketable securities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as interest and other income, net in the consolidated statements of operations, and an allowance for credit loss is recorded on the consolidated balance sheet. In circumstances when the decline in fair value is non-credit related, the difference is reported in accumulated other comprehensive income (loss), net of tax as a separate component of stockholders’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Major improvements are capitalized, while maintenance and repairs are expensed when incurred. Depreciation is computed using the straight-line method over the estimated useful lives of the assets. The useful life of laboratory equipment, computer equipment, furniture and fixtures and software is generally three years. Tenant improvements are depreciated over the shorter of the lease term or the estimated useful life of the improvements. When assets are retired or disposed of, the cost together with related accumulated depreciation is removed from the Company’s accounts and the resulting gain or loss is reflected in the Company’s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Lease right-of-use (ROU) assets, current lease liabilities and long-term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the ROU asset and the lease liability are reevaluated upon a lease modification. The Company determines its incremental borrowing rate based on the rate of interest that the Company would have to pay to borrow on a collateralized basis over a similar term, an amount equal to the lease payments in a similar economic environment. Lease terms may include options to extend or terminate the lease when the Company is reasonably certain that the option will be exercised. Lease expense for operating leases is recognized on a straight-line basis over the lease term. The Company does not have any finance leases.</w:t>
      </w:r>
    </w:p>
    <w:p>
      <w:pPr>
        <w:spacing w:after="0" w:line="7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short-term leases. A short-term lease is a lease that, at the commencement date, has a lease term of 12 months or less and does not include an option to purchase the underlying asset that the lessee is reasonably certain to exercise.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121"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Company capitalizes qualifying costs incurred during the application development stage related to software developed for internal-use and amortizes them over the estimated useful life of three years. Amortization of such costs begins when the project is substantially complete and ready for its intended use. Capitalized software development costs are classified as property and equipment, net on the consolidated balance sheet. The Company expenses costs incurred related to the planning and post-implementation phases of development as incurred.</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November 30,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Company capitalizes within other assets certain legal, accounting and other third-party fees that are directly related to the Company’s in-process equity financings, including the IPO, until such financings are consummated. After consummation of an equity financing, these costs are recorded in stockholder’s equity as a reduction of additional paid-in capital generated as a result of the offering. Should a planned equity financing be abandoned, terminated or significantly delayed, the deferred offering costs are immediately written off to operating expenses. As of both November 30, 2022 and 2021, there was $0.5 million of deferred offering costs included in other assets on the consolidated balance sheet.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82"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04" w:lineRule="exact"/>
        <w:rPr>
          <w:sz w:val="20"/>
          <w:szCs w:val="20"/>
          <w:color w:val="auto"/>
        </w:rPr>
      </w:pPr>
    </w:p>
    <w:p>
      <w:pPr>
        <w:jc w:val="both"/>
        <w:ind w:right="520" w:firstLine="648"/>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6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Research and collaboration licenses</w:t>
      </w:r>
      <w:r>
        <w:rPr>
          <w:rFonts w:ascii="Times New Roman" w:cs="Times New Roman" w:eastAsia="Times New Roman" w:hAnsi="Times New Roman"/>
          <w:sz w:val="18"/>
          <w:szCs w:val="18"/>
          <w:color w:val="auto"/>
        </w:rPr>
        <w:t>: If a license is determined to be distinct from the other promises identified in the arrangement,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73"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research, development, or regulatory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Sales-based milestones and royalties</w:t>
      </w:r>
      <w:r>
        <w:rPr>
          <w:rFonts w:ascii="Times New Roman" w:cs="Times New Roman" w:eastAsia="Times New Roman" w:hAnsi="Times New Roman"/>
          <w:sz w:val="18"/>
          <w:szCs w:val="18"/>
          <w:color w:val="auto"/>
        </w:rPr>
        <w:t>: For arrangements that include sales-based milestone or royalty payments based on the level of sales,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6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Customer options</w:t>
      </w:r>
      <w:r>
        <w:rPr>
          <w:rFonts w:ascii="Times New Roman" w:cs="Times New Roman" w:eastAsia="Times New Roman" w:hAnsi="Times New Roman"/>
          <w:sz w:val="18"/>
          <w:szCs w:val="18"/>
          <w:color w:val="auto"/>
        </w:rPr>
        <w:t>: Customer options, such as options granted to allow a licensee to extend a license or research term, to select additional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7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Deferred revenue, which is a contract liability, represents amounts received by the Company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revenue was derived from customers located in the United States during the years ended November 30, 2022 and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Research and development costs include, but are not limited to, payroll and personnel expenses, laboratory supplies, preclinical study costs, clinical trial costs, compound manufacturing costs, consulting costs and allocated overhead, including rent, equipment, depreciation and utilities.</w:t>
      </w:r>
    </w:p>
    <w:p>
      <w:pPr>
        <w:spacing w:after="0" w:line="6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 records accrued expenses for estimated costs of research and development activities conducted by third-party service providers, which include preclinical studies and clinical trials and contract manufacturing activities. The Company records the estimated costs of research and development activities based upon the estimated amount of services provided but not yet invoiced and includes these costs in accrued expenses and other current liabilities on the consolidated balance sheet.</w:t>
      </w:r>
    </w:p>
    <w:p>
      <w:pPr>
        <w:spacing w:after="0" w:line="83"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The Company estimates the amount of work completed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the Company adjusts its accrued estimates. The Company’s accrued expenses are dependent, in part, upon the receipt of timely and accurate reporting from clinical research organizations and other third-party service providers. The Company records advance payments to service providers as prepaid assets, which are expensed as the contracted services are performed.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 Company accounts for stock-based compensation using a fair value-based method, which requires the recognition of compensation expense for costs related to all stock-based payments including stock options, restricted stock units (RSUs) and purchase rights under the Company’s Employee Stock Purchase Plan (ESPP). The Company estimates the fair value of stock options and purchase rights granted under the ESPP on the date of grant using the Black-Scholes option pricing model, which is impacted by the fair value of the Company’s common stock, as well as changes in assumptions regarding a number of highly complex and subjective variables. The model requires management to make a number of assumptions including expected volatility, expected term, risk-free interest rate and expected dividend yield. Prior to its IPO, the fair value of the Company’s common stock was determined by the Company’s board of directors with assistance from management and an independent third-party valuation firm, using significant judgment and several factors including important developments in the Company’s operations, sales of redeemable convertible preferred stock and the lack of liquidity of the common stock. Subsequent to the IPO, the Company determines the fair value of stock options, RSUs and purchase rights under the ESPP using the market closing price of the Company’s common stock on the date of grant.</w:t>
      </w:r>
    </w:p>
    <w:p>
      <w:pPr>
        <w:spacing w:after="0" w:line="200" w:lineRule="exact"/>
        <w:rPr>
          <w:sz w:val="20"/>
          <w:szCs w:val="20"/>
          <w:color w:val="auto"/>
        </w:rPr>
      </w:pPr>
    </w:p>
    <w:p>
      <w:pPr>
        <w:spacing w:after="0" w:line="38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For stock-based payments with service conditions only, the Company uses the straight-line method to allocate compensation cost to reporting periods over the requisite service period, which is generally the vesting period. Stock-based compensation expense for non-employee stock-based awards is also measured based on the grant date fair value with the estimated fair value expensed over the period for which the non-employee is required to provide service in exchange for the award. For stock-based payments with performance conditions, the Company evaluates the probability of achieving performance conditions at each reporting date. The Company begins to recognize compensation cost using an accelerated attribution method when it is deemed probable that the performance condition will be met. The Company accounts for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in management’s estimate, it is more likely than not, that the deferred tax assets will not be recovered.</w:t>
      </w:r>
    </w:p>
    <w:p>
      <w:pPr>
        <w:spacing w:after="0" w:line="69"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Financial statement effects of uncertain tax positions are recognized when it is more likely than not, based on the technical merits of the position, that it will be sustained upon examination. It is the Company’s policy to include penalties and interest expense related to income taxes as a component of the provision for income taxes.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40" w:firstLine="648"/>
        <w:spacing w:after="0" w:line="280" w:lineRule="auto"/>
        <w:rPr>
          <w:sz w:val="20"/>
          <w:szCs w:val="20"/>
          <w:color w:val="auto"/>
        </w:rPr>
      </w:pPr>
      <w:r>
        <w:rPr>
          <w:rFonts w:ascii="Times New Roman" w:cs="Times New Roman" w:eastAsia="Times New Roman" w:hAnsi="Times New Roman"/>
          <w:sz w:val="17"/>
          <w:szCs w:val="17"/>
          <w:color w:val="auto"/>
        </w:rPr>
        <w:t>Comprehensive loss represents the net loss for the period and other comprehensive income (loss). Other comprehensive income (loss) reflects certain gains and losses that are recorded as a component of stockholders’ equity (deficit) and are not reflected in the consolidated statements of operations. The Company’s other comprehensive income (loss) consists of changes in unrealized gains and losses on available-for-sale marketable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(including non-voting common stock and pre-funded warrants) outstanding during the period, without consideration for all other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is calculated by dividing the net loss by the weighted-average number of common stock and potentially dilutive securities outstanding for the period. For purposes of the diluted net loss per share calculation, options to purchase common stock, options early exercised subject to vesting, RSUs and shares expected to be purchased under the ESPP are considered to be potentially dilutive securities. Diluted net loss per share is the same as basic net loss per share, since the effects of potentially dilutive securities are antidilutive given the net loss for each period presented.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92" w:lineRule="exact"/>
        <w:rPr>
          <w:sz w:val="20"/>
          <w:szCs w:val="20"/>
          <w:color w:val="auto"/>
        </w:rPr>
      </w:pPr>
    </w:p>
    <w:p>
      <w:pPr>
        <w:ind w:firstLine="648"/>
        <w:spacing w:after="0" w:line="215" w:lineRule="exact"/>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 Update (ASU) No. 2019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740)—Simplifying the Accounting for Income Taxes </w:t>
      </w:r>
      <w:r>
        <w:rPr>
          <w:rFonts w:ascii="Times New Roman" w:cs="Times New Roman" w:eastAsia="Times New Roman" w:hAnsi="Times New Roman"/>
          <w:sz w:val="18"/>
          <w:szCs w:val="18"/>
          <w:color w:val="auto"/>
        </w:rPr>
        <w:t>(ASU 2019-12), which is intended to simplify accounting for income taxes and eliminate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from Topic 740 related to the approach for intraperiod tax allocation, the methodology for calculating income taxes in an interim period and the recognition of deferred tax liabilities for outside basis differences. ASU 2019-12 also requires the amount of tax that is based on income to be accounted for under Topic 740 as an income-based tax, with any incremental amount accounted for as a non-income-based tax recognized entirely in the period incurred. The Company adopted ASU 2019-12 as of December 1, 2021 using the modified retrospective method, and recognized an immaterial non-income-based tax within operating expenses in the current period. The adoption had no other impact on the Company’s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In August 2019 and September 2022, the Company entered into the First Amendment and the Second Amendment, respectively, to the Gilead Agreement to clarify certain language of the Gilead Agreement. These amendments had no impact on revenue recognition.</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72" w:lineRule="exact"/>
        <w:rPr>
          <w:sz w:val="20"/>
          <w:szCs w:val="20"/>
          <w:color w:val="auto"/>
        </w:rPr>
      </w:pPr>
    </w:p>
    <w:p>
      <w:pPr>
        <w:ind w:right="200" w:firstLine="648"/>
        <w:spacing w:after="0" w:line="243"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9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Upon signing the Gilead Agreement, Gilead paid the Company an upfront payment of $45.0 million plus $3.0 million in additional fees. In addition, from the signing of the Gilead Agreement to November 30, 2022, the Company has received payments of $34.5 million for research milestones and additional payments. As of November 30, 2022, the Company is eligible to receive up to approximately $2.3 billion in total additional payments, including up to $667.5 million upon the achievement of specified development milestones, up to $1.5 billion upon the achievement of specified sales milestones, subject to reduction for any product for which the Company exercises its option to co-develop and co-promote, and up to $136.8 million in certain additional fees related to target licensing, reservation and selection and research term extensions.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9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Gilead Agreement: (1) the research licenses, (2) the research services, including selection campaign research services for certain replacement targets and (3) the obligation to share information during the research term and to participate in the joint research committee and joint steering committee. The Company determined that the research licenses are not capable of being distinct due to the specialized nature of the research services to be provided by the Company, and, accordingly, this promise was combined with the research services and participation in the joint research committee as one single performance obligation. The Company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200" w:lineRule="exact"/>
        <w:rPr>
          <w:sz w:val="20"/>
          <w:szCs w:val="20"/>
          <w:color w:val="auto"/>
        </w:rPr>
      </w:pPr>
    </w:p>
    <w:p>
      <w:pPr>
        <w:spacing w:after="0" w:line="3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milestones and additional fees were considered variable consideration, which were not included in the transaction price based on the most likely amount method as of November 30, 2022. The Company will re-evaluate the transaction price in each reporting period and as uncertain events are resolved or other changes in circumstances occur. The Company determined that the transaction price at the inception of the Gilead Agreement consists of the upfront payment of $45.0 million and $3.0 million in additional fees. Upon the achievement of research milestones and fees added related to target reservations, $34.5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 The contract term was determined to be the five-year initial research term which represents the estimated timing of completion of the identified deliverables. Additionally, the Company considered the impact of Gilead terminating the Gilead Agreement prior to the completion of the research services during the initial five-year research term and determined that there were significant economic costs to Gilead for doing so, and as such, did not adjust the contract term.</w:t>
      </w:r>
    </w:p>
    <w:p>
      <w:pPr>
        <w:spacing w:after="0" w:line="9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For the year ended November 30, 2022, the Company recognized collaboration revenue related to the Gilead Agreement of $23.7 million, of which $18.4 million was included in deferred revenue as of November 30, 2021, and $4.0 million was related to performance obligations satisfied in previous periods. For the year ended November 30, 2021, the Company recognized collaboration revenue related to the Gilead Agreement of $16.6 million, of which $11.1 million was included in deferred revenue as of November 30, 2020, and $3.1 million was related to performance obligations satisfied in previous periods. As of November 30, 2022, deferred revenue related to the Gilead Agreement was $27.4 million, of which $18.2 million was current. As of November 30, 2021, deferred revenue related to the Gilead Agreement was $41.1 million, of which $19.9 million was current. Additionally, as of November 30, 2021, $6.0 million was included in accounts receivable which represents the billed revenue related to the research milestone recognized in November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w:t>
      </w:r>
    </w:p>
    <w:p>
      <w:pPr>
        <w:spacing w:after="0" w:line="69"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In January 2021, the Company and Sanofi entered into the First Amendment to the Sanofi Agreement to modify the research term on all targets (the First Sanofi Amendment). Over time and subject to certain limitations, Sanofi may elect to replace the drug targets with other reserved targets. In December 2021, the Company and Sanofi entered into the Second Amendment to the Sanofi Agreement to extend the substitution deadline on certain targets. In July 2022, the Company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the Company entered into the Fourth Amendment to the Sanofi Agreement to modify the research plan for a certain target, which had no impact on revenue recognition.</w:t>
      </w:r>
    </w:p>
    <w:p>
      <w:pPr>
        <w:spacing w:after="0" w:line="78"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up to two targets, one of which must be selected from a list of targets designated at the execution of the Sanofi Agreement and one of which must be selected from targets identified by Sanofi in the future.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9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November 30, 2022, the Company has received payments of $3.0 million for research milestones. As of November 30, 2022, the Company is eligible to receive up to approximately $2.5 billion in total payments, including payments of up to $496.0 million upon the achievement of specified development milestones, up to $625.0 million upon the achievement of specified regulatory milestones and up to $1.3 billion upon the achievement of certain sales milestones, as well as up to $126.5 million in certain additional fees related to target licensing and reservation. In addition, the Company is eligible to receive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9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the expiration of (i)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Sanofi Agreement.</w:t>
      </w:r>
    </w:p>
    <w:p>
      <w:pPr>
        <w:spacing w:after="0" w:line="7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are not capable of being distinct due to the specialized nature of the research services to be provided by the Company, and, accordingly, this promise was combined with the research services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87"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Milestone and additional fees were considered variable consideration, which were not included in the transaction price based on the most likely amount method as of November 30, 2022. The Company will re-evaluate the transaction price in each reporting period and as uncertain events are resolved or other changes in circumstances occur. At the inception of the Sanofi Agreement, the Company determined that the transaction price consists of the upfront payment of $55.0 million. To account for the material right related to the two additional targets, instead of determining the standalone selling price for the option directly, the Company applied the practical alternative to allocating the transaction price by determining the consideration that it expects to receive in exchange for the research activities that it expects to provide on the two additional targets for a total of five targets. The practical alternative can be applied as the research activities for the two additional targets are similar to the research activities for the initial three targets. Consequently, for the purpose of applying the practical alternative to estimating the standalone selling price of the material right, an expected consideration of $77.0 million was used for revenue recognition allocation, which represents the $55.0 million paid upfront for the three initial drug targets, and the $22.0 million for the additional consideration related to two additional targets which was included as part of applying the practical alternative, and for which Sanofi subsequently exercised its option to expand the collaboration to include. Subsequently, upon the achievement of research milestones, $4.0 million in variable consideration was added to the transaction price, which includes $1.0 million added during the three months ended November 30, 2022,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w:t>
      </w:r>
    </w:p>
    <w:p>
      <w:pPr>
        <w:spacing w:after="0" w:line="200" w:lineRule="exact"/>
        <w:rPr>
          <w:sz w:val="20"/>
          <w:szCs w:val="20"/>
          <w:color w:val="auto"/>
        </w:rPr>
      </w:pPr>
    </w:p>
    <w:p>
      <w:pPr>
        <w:spacing w:after="0" w:line="37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Company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the Company’s measure of progress toward complete satisfaction of the performance obligation was recognized as an adjustment to revenue at the date of the contract modification on a cumulative catch-up basis.</w:t>
      </w:r>
    </w:p>
    <w:p>
      <w:pPr>
        <w:spacing w:after="0" w:line="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For the year ended November 30, 2022, the Company recognized collaboration revenue related to the Sanofi Agreement of $15.0 million, of which $14.0 million was included in deferred revenue as of November 30, 2021, and $0.6 million was related to performance obligations satisfied in previous periods. For the year ended November 30, 2021, the Company recognized collaboration revenue related to the Sanofi Agreement of $13.2 million, of which $13.0 million was included in deferred revenue as of November 30, 2020, and $0.1 million was related to performance obligations satisfied in previous periods. As of November 30, 2022, deferred revenue related to the Sanofi Agreement was $46.2 million, of which $19.4 million was current and includes $1.0 million in contract assets representing the unbilled amount related to the research milestone recognized in November 2022. As of November 30, 2021, deferred revenue related to the Sanofi Agreement was $59.2 million, of which $21.3 million was current.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For the years ended November 30, 2022 and 2021, depreciation and amortization expense was $5.3 million and $2.8 million, respectively, which includes amortization expense related to capitalized internal-use software of $1.2 million and $0.8 million, respectively. All long-lived assets are maintained in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64"/>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22,428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440" w:firstLine="648"/>
        <w:spacing w:after="0" w:line="246"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104" w:lineRule="exact"/>
        <w:rPr>
          <w:sz w:val="20"/>
          <w:szCs w:val="20"/>
          <w:color w:val="auto"/>
        </w:rPr>
      </w:pPr>
    </w:p>
    <w:p>
      <w:pPr>
        <w:jc w:val="both"/>
        <w:ind w:right="380"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61" w:lineRule="exact"/>
        <w:rPr>
          <w:sz w:val="20"/>
          <w:szCs w:val="20"/>
          <w:color w:val="auto"/>
        </w:rPr>
      </w:pPr>
    </w:p>
    <w:p>
      <w:pPr>
        <w:ind w:right="20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tables present the Company’s investments, which consist of cash equivalents and available-for-sale marketable securities, that are measured at fair value on a recurring basis as of November 30, 2022 and 2021 (in thousands):</w:t>
      </w:r>
    </w:p>
    <w:tbl>
      <w:tblPr>
        <w:tblLayout w:type="fixed"/>
        <w:tblInd w:w="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2022</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59,452</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74,202</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79,747</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74,896</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government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54,923</w:t>
            </w: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59,452</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59,452</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244,667</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non-current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2021</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73,438</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46,546</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121,495</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73,969</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r>
      <w:tr>
        <w:trPr>
          <w:trHeight w:val="237"/>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425,841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73,438</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215,214</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non-current</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137,189</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As of November 30, 2022 and 2021, the accrued interest receivable related to the Company’s marketable securities was $1.1 million and $0.9 million, respectively, and was included in prepaid expenses and other current assets on the consolidated balance sheet. Long-term marketable securities held by the Company generally mature within two years from the balance sheet date.</w:t>
      </w:r>
    </w:p>
    <w:p>
      <w:pPr>
        <w:spacing w:after="0" w:line="8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54"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The Company classifies its marketable securities in corporate debt securities, U.S. government agency securities, corporate commercial paper, foreign government securities and municipal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years ended November 30, 2022 and 2021.</w:t>
      </w:r>
    </w:p>
    <w:p>
      <w:pPr>
        <w:spacing w:after="0" w:line="8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November 30, 2022 and 2021, the unrealized losses for available-for-sale marketable securities were non-credit related, and the Company does not intend to sell the securities that were in an unrealized loss position, nor will it be required to sell those securities before recovery of their amortized cost basis, which may be maturity. As of November 30, 2022 and 2021, no allowance for credit losses for the Company’s marketable securities was recorded. During the years ended November 30, 2022 and 2021, the Company did not recognize any impairment losses related to marketable securities.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November 30, 2022, the Company was not a party to any material legal proceedings.</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consolidated financial statements as management believes such liability is immaterial.</w:t>
      </w:r>
    </w:p>
    <w:p>
      <w:pPr>
        <w:spacing w:after="0" w:line="73" w:lineRule="exact"/>
        <w:rPr>
          <w:sz w:val="20"/>
          <w:szCs w:val="20"/>
          <w:color w:val="auto"/>
        </w:rPr>
      </w:pPr>
    </w:p>
    <w:p>
      <w:pPr>
        <w:ind w:right="360" w:firstLine="648"/>
        <w:spacing w:after="0" w:line="247"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leases office and laboratory facilities totaling approximately 57,902 square feet within the same building in San Francisco,</w:t>
      </w:r>
    </w:p>
    <w:p>
      <w:pPr>
        <w:spacing w:after="0" w:line="2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California under several lease agreements. The terms of these lease agreements expire on April 30, 2025. The Company has an option to renew these leases for an additional two years, which has not been included in the lease term used to calculate the right-of-use asset and lease liability as it is not reasonably certain that the Company will exercise this option. The Company is required to pay base rent plus the tenant’s proportionate share of operating expenses as defined in the lease agreement.</w:t>
      </w:r>
    </w:p>
    <w:p>
      <w:pPr>
        <w:spacing w:after="0" w:line="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the lease of approximately 19,320 square feet of office space in a different building in San Francisco, California. The lease commenced on December 1, 2021 and will expire on June 30, 2024, unless terminated earlier. The Company is required to pay base rent plus the tenant’s proportionate share of operating expenses as defined in the lease agreement.</w:t>
      </w:r>
    </w:p>
    <w:p>
      <w:pPr>
        <w:spacing w:after="0" w:line="6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leased premises were subject to additional variable lease payments related to landlord-owned improvements which were not estimable at lease inception. The right-of-use assets recognized in exchange for lease obligations for these additional variable lease payments were $1.2 million and</w:t>
      </w:r>
    </w:p>
    <w:p>
      <w:pPr>
        <w:spacing w:after="0"/>
        <w:rPr>
          <w:sz w:val="20"/>
          <w:szCs w:val="20"/>
          <w:color w:val="auto"/>
        </w:rPr>
      </w:pPr>
      <w:r>
        <w:rPr>
          <w:rFonts w:ascii="Times New Roman" w:cs="Times New Roman" w:eastAsia="Times New Roman" w:hAnsi="Times New Roman"/>
          <w:sz w:val="18"/>
          <w:szCs w:val="18"/>
          <w:color w:val="auto"/>
        </w:rPr>
        <w:t>$0.3 million for the years ended November 30, 2022 and 2021, respectively.</w:t>
      </w:r>
    </w:p>
    <w:p>
      <w:pPr>
        <w:spacing w:after="0" w:line="8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the lease of approximately 46,434 square feet of office space in The Woodlands, Texas, for a research and development laboratory and related uses. The Company obtained access to the premise on August 1, 2022 to commence construction of landlord-owned improvements, and the lease is expected to commence in fiscal year 2023 when the underlying assets become available for use and will expire on March 1, 2035, unless terminated earlier. The Company has an option to renew for two additional terms of five years each, and it is not reasonably certain that the Company will exercise this option. The minimum rent payable by the Company under the lease will be approximately $205,000 per month, beginning on March 1, 2023, which amount will increase by 3% per year over the term of the lease; provided that, for the period between March 1, 2023 and February 29, 2024, the minimum rent payable by the Company under the lease will be approximately $154,000 per month. The Company will also be responsible for the payment of the tenant’s proportionate share of operating expenses as defined in the lease agreement.</w:t>
      </w:r>
    </w:p>
    <w:p>
      <w:pPr>
        <w:spacing w:after="0" w:line="92"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Operating lease expenses, excluding additional rent charges for utilities, maintenance and real estate taxes, were $5.9 million and $3.8 million for the years ended November 30, 2022 and 2021, respectively. Short-term lease expense was not material for all periods presented. As of November 30, 2022, the weighted average remaining lease term was 2.2 years and the weighted average discount rate was 2.98%.</w:t>
      </w: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flows from operating leases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Right-of-use assets recognized in exchange for lease obligations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lease agreement as of November 30, 2022 were as follows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0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November 30,</w:t>
            </w:r>
          </w:p>
        </w:tc>
        <w:tc>
          <w:tcPr>
            <w:tcW w:w="260" w:type="dxa"/>
            <w:vAlign w:val="bottom"/>
          </w:tcPr>
          <w:p>
            <w:pPr>
              <w:spacing w:after="0"/>
              <w:rPr>
                <w:sz w:val="17"/>
                <w:szCs w:val="17"/>
                <w:color w:val="auto"/>
              </w:rPr>
            </w:pPr>
          </w:p>
        </w:tc>
        <w:tc>
          <w:tcPr>
            <w:tcW w:w="12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 to 2035</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46,708</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undiscounted lease payments related to the lease in The Woodlands, Texas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(34,314)</w:t>
            </w:r>
          </w:p>
        </w:tc>
      </w:tr>
      <w:tr>
        <w:trPr>
          <w:trHeight w:val="264"/>
        </w:trPr>
        <w:tc>
          <w:tcPr>
            <w:tcW w:w="9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11,964</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500,000,000 shares of common stock, $0.001 par value per share, as of November 30, 2022 and 2021. Holders of common stock are entitled to dividends when and if declared by the Company’s board of directors, subject to the prior rights of the holders of shares of preferred stock. The holder of each share of common stock is entitled to one vote. As of November 30, 2022, no dividends have been declared.</w:t>
      </w:r>
    </w:p>
    <w:p>
      <w:pPr>
        <w:spacing w:after="0" w:line="8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July 2022, the Company issued pre-funded warrants to purchase an aggregate of 6,814,920 shares of the Company’s common stock in RDOs at a price of $13.939 per pre-funded warrant. The pre-funded warrants were immediately exercisable,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November 30, 2022, all of the pre-funded warrants remained available for exercise.</w:t>
      </w:r>
    </w:p>
    <w:p>
      <w:pPr>
        <w:spacing w:after="0" w:line="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reserved for future issuance, on an as-if converted basis, as of November 30, 2022 and 2021,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8,256,957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5,878,552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stock option grants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2,562,570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1,015,184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6,814,920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18,016,515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9,476,306</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w:t>
      </w:r>
    </w:p>
    <w:p>
      <w:pPr>
        <w:spacing w:after="0" w:line="6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Under the Stock Plans, the Company generally grants stock-based awards with service-based vesting conditions only. Options granted typically vest under various different vesting terms over a four-year period and expire ten years from the date of grant.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 RSUs issued typically vest under various different vesting terms over a two- to four-year period.</w:t>
      </w:r>
    </w:p>
    <w:p>
      <w:pPr>
        <w:spacing w:after="0" w:line="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Following the effectiveness of the 2020 Plan on July 22, 2020, the Company ceased making grants under the 2012 Plan. However, the 2012 Plan continues to govern the terms and conditions of the outstanding awards granted under it. Shares of common stock subject to awards granted under the 2012 Plan that cease to be subject to such awards by forfeiture or otherwise will be available for issuance under the 2020 Plan.</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30, 2022, there were 834,291 shares of common stock reserved for future issuance pursuant to the 2020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Stock Plans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2"/>
        </w:trPr>
        <w:tc>
          <w:tcPr>
            <w:tcW w:w="50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9"/>
        </w:trPr>
        <w:tc>
          <w:tcPr>
            <w:tcW w:w="50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5"/>
                <w:szCs w:val="15"/>
                <w:color w:val="auto"/>
              </w:rPr>
            </w:pPr>
          </w:p>
        </w:tc>
        <w:tc>
          <w:tcPr>
            <w:tcW w:w="1280" w:type="dxa"/>
            <w:vAlign w:val="bottom"/>
          </w:tcPr>
          <w:p>
            <w:pPr>
              <w:jc w:val="center"/>
              <w:ind w:right="119"/>
              <w:spacing w:after="0" w:line="179" w:lineRule="exact"/>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8"/>
                <w:szCs w:val="18"/>
                <w:b w:val="1"/>
                <w:bCs w:val="1"/>
                <w:color w:val="auto"/>
                <w:w w:val="95"/>
                <w:vertAlign w:val="superscript"/>
              </w:rPr>
              <w:t>(1)</w:t>
            </w:r>
          </w:p>
        </w:tc>
      </w:tr>
      <w:tr>
        <w:trPr>
          <w:trHeight w:val="190"/>
        </w:trPr>
        <w:tc>
          <w:tcPr>
            <w:tcW w:w="50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5,878,552</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65,692</w:t>
            </w: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3,239,906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8,256,957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44"/>
        </w:trPr>
        <w:tc>
          <w:tcPr>
            <w:tcW w:w="5020" w:type="dxa"/>
            <w:vAlign w:val="bottom"/>
          </w:tcPr>
          <w:p>
            <w:pPr>
              <w:ind w:left="20"/>
              <w:spacing w:after="0" w:line="244" w:lineRule="exact"/>
              <w:rPr>
                <w:sz w:val="20"/>
                <w:szCs w:val="20"/>
                <w:color w:val="auto"/>
              </w:rPr>
            </w:pPr>
            <w:r>
              <w:rPr>
                <w:rFonts w:ascii="Times New Roman" w:cs="Times New Roman" w:eastAsia="Times New Roman" w:hAnsi="Times New Roman"/>
                <w:sz w:val="18"/>
                <w:szCs w:val="18"/>
                <w:color w:val="auto"/>
              </w:rPr>
              <w:t>Options vested and expected to vest as of November 30, 2022</w:t>
            </w:r>
            <w:r>
              <w:rPr>
                <w:rFonts w:ascii="Times New Roman" w:cs="Times New Roman" w:eastAsia="Times New Roman" w:hAnsi="Times New Roman"/>
                <w:sz w:val="23"/>
                <w:szCs w:val="23"/>
                <w:color w:val="auto"/>
                <w:vertAlign w:val="superscript"/>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8,279,203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November 30, 2022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3,629,383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w:t>
            </w:r>
          </w:p>
        </w:tc>
      </w:tr>
      <w:tr>
        <w:trPr>
          <w:trHeight w:val="301"/>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32" w:lineRule="exact"/>
        <w:rPr>
          <w:sz w:val="20"/>
          <w:szCs w:val="20"/>
          <w:color w:val="auto"/>
        </w:rPr>
      </w:pPr>
    </w:p>
    <w:p>
      <w:pPr>
        <w:ind w:left="360" w:right="100" w:hanging="334"/>
        <w:spacing w:after="0" w:line="222" w:lineRule="exact"/>
        <w:tabs>
          <w:tab w:leader="none" w:pos="36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values were calculated as the pre-tax difference between the exercise price of stock options and the quoted market price of the Company’s common stock on November 30, 2022 for all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stock options. The total intrinsic value of stock options exercised during the years ended November 30, 2022 and 2021 was $4.5 million and $15.9 million, respectively.</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w:t>
      </w:r>
    </w:p>
    <w:p>
      <w:pPr>
        <w:jc w:val="both"/>
        <w:ind w:left="360" w:right="100"/>
        <w:spacing w:after="0" w:line="252" w:lineRule="auto"/>
        <w:rPr>
          <w:sz w:val="20"/>
          <w:szCs w:val="20"/>
          <w:color w:val="auto"/>
        </w:rPr>
      </w:pPr>
      <w:r>
        <w:rPr>
          <w:rFonts w:ascii="Times New Roman" w:cs="Times New Roman" w:eastAsia="Times New Roman" w:hAnsi="Times New Roman"/>
          <w:sz w:val="18"/>
          <w:szCs w:val="18"/>
          <w:color w:val="auto"/>
        </w:rPr>
        <w:t>Certain stock options granted by the Company prior to the date of IPO are exercisable at the date of grant, with unvested shares subject to repurchase by the Company in the event of the voluntary or involuntary termination of employment of the stockholder. Such exercises are recorded as a liability in the consolidated balance sheet and reclassified into equity as the options vest. As of November 30, 2022, a total of 22,246 shares of common stock were subject to repurchase by the Company at the lower of (i) the fair value of such shares on the date of repurchase, or (ii) the original exercise price of such shares. The corresponding exercise value of $0.2 million as of November 30, 2022 is recorded as a stock-based compensation liability.</w:t>
      </w:r>
    </w:p>
    <w:p>
      <w:pPr>
        <w:spacing w:after="0" w:line="203" w:lineRule="exact"/>
        <w:rPr>
          <w:sz w:val="20"/>
          <w:szCs w:val="20"/>
          <w:color w:val="auto"/>
        </w:rPr>
      </w:pPr>
    </w:p>
    <w:p>
      <w:pPr>
        <w:ind w:right="460" w:firstLine="648"/>
        <w:spacing w:after="0" w:line="262" w:lineRule="auto"/>
        <w:rPr>
          <w:sz w:val="20"/>
          <w:szCs w:val="20"/>
          <w:color w:val="auto"/>
        </w:rPr>
      </w:pPr>
      <w:r>
        <w:rPr>
          <w:rFonts w:ascii="Times New Roman" w:cs="Times New Roman" w:eastAsia="Times New Roman" w:hAnsi="Times New Roman"/>
          <w:sz w:val="18"/>
          <w:szCs w:val="18"/>
          <w:color w:val="auto"/>
        </w:rPr>
        <w:t>The fair value of options granted during the years ended November 30, 2022 and 2021 was estimated using the Black-Scholes option pricing model on the grant date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960" w:type="dxa"/>
            <w:vAlign w:val="bottom"/>
          </w:tcPr>
          <w:p>
            <w:pPr>
              <w:spacing w:after="0"/>
              <w:rPr>
                <w:sz w:val="16"/>
                <w:szCs w:val="16"/>
                <w:color w:val="auto"/>
              </w:rPr>
            </w:pPr>
          </w:p>
        </w:tc>
      </w:tr>
      <w:tr>
        <w:trPr>
          <w:trHeight w:val="37"/>
        </w:trPr>
        <w:tc>
          <w:tcPr>
            <w:tcW w:w="7500" w:type="dxa"/>
            <w:vAlign w:val="bottom"/>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1820" w:type="dxa"/>
            <w:vAlign w:val="bottom"/>
            <w:gridSpan w:val="2"/>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2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5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- 6.12</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- 74%</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- 79%</w:t>
            </w:r>
          </w:p>
        </w:tc>
      </w:tr>
      <w:tr>
        <w:trPr>
          <w:trHeight w:val="27"/>
        </w:trPr>
        <w:tc>
          <w:tcPr>
            <w:tcW w:w="7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- 1.24%</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gridSpan w:val="2"/>
          </w:tcPr>
          <w:p>
            <w:pPr>
              <w:jc w:val="right"/>
              <w:ind w:right="695"/>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8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11" w:lineRule="exact"/>
        <w:rPr>
          <w:sz w:val="20"/>
          <w:szCs w:val="20"/>
          <w:color w:val="auto"/>
        </w:rPr>
      </w:pPr>
    </w:p>
    <w:p>
      <w:pPr>
        <w:ind w:right="120" w:firstLine="648"/>
        <w:spacing w:after="0" w:line="264" w:lineRule="auto"/>
        <w:rPr>
          <w:sz w:val="20"/>
          <w:szCs w:val="20"/>
          <w:color w:val="auto"/>
        </w:rPr>
      </w:pPr>
      <w:r>
        <w:rPr>
          <w:rFonts w:ascii="Times New Roman" w:cs="Times New Roman" w:eastAsia="Times New Roman" w:hAnsi="Times New Roman"/>
          <w:sz w:val="17"/>
          <w:szCs w:val="17"/>
          <w:color w:val="auto"/>
        </w:rPr>
        <w:t>The expected term represents the weighted-average period the stock-based payments are expected to remain outstanding. The expected term assumption for stock options was determined using the simplified method for “plain-vanilla” options. The expected stock price volatility assumption was determined by examining the historical volatilities for industry peers, as the Company does not have sufficient trading history for its common stock. The risk-free rate assumption is based on the U.S. Treasury instruments. The expected dividend assumption is based on the Company’s history and expectation of dividend payouts. The expected dividend yield is 0% as the Company has not paid and does not anticipate paying dividends on its common stock.</w:t>
      </w:r>
    </w:p>
    <w:p>
      <w:pPr>
        <w:spacing w:after="0" w:line="7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November 30, 2022 and 2021, the weighted-average grant date fair value of options granted was $11.80 and $21.15 per share, respectively.</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activity under the Stock Plans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RSUs 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 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784,824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November 30, 2022 and 2021, the weighted-average grant date fair value of RSUs granted was $19.11 and $27.42 per share, respectively, and the total fair value of RSUs vested was $0.9 million and zero,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Under the Company’s 2020 Employee Stock Purchase Plan (the ESPP), eligible employees are entitled to purchase shares of common stock at a discount with accumulated payroll deductions. The purchase price for shares of common stock purchased under the ESPP will be 85% of the lesser of the fair market value of the Company’s common stock on (i) the first trading day of the applicable offering period or (ii) the last trading day of each purchase period in the applicable offering period.</w:t>
      </w:r>
    </w:p>
    <w:p>
      <w:pPr>
        <w:spacing w:after="0" w:line="6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November 30, 2022, the Company issued 136,304 shares pursuant to the ESPP at a weighted-average price of $14.34 per share. As of November 30, 2022, there were 1,325,523 shares of common stock reserved for issuance pursuant to the ESPP.</w:t>
      </w:r>
    </w:p>
    <w:p>
      <w:pPr>
        <w:spacing w:after="0" w:line="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ESPP granted during the years ended November 30, 2022 and 2021 was estimated using the Black-Scholes option pricing model on the grant date using the following assumptions: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80" w:type="dxa"/>
            <w:vAlign w:val="bottom"/>
            <w:gridSpan w:val="6"/>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580" w:type="dxa"/>
            <w:vAlign w:val="bottom"/>
          </w:tcPr>
          <w:p>
            <w:pPr>
              <w:spacing w:after="0"/>
              <w:rPr>
                <w:sz w:val="16"/>
                <w:szCs w:val="16"/>
                <w:color w:val="auto"/>
              </w:rPr>
            </w:pPr>
          </w:p>
        </w:tc>
      </w:tr>
      <w:tr>
        <w:trPr>
          <w:trHeight w:val="37"/>
        </w:trPr>
        <w:tc>
          <w:tcPr>
            <w:tcW w:w="75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158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r>
      <w:tr>
        <w:trPr>
          <w:trHeight w:val="37"/>
        </w:trPr>
        <w:tc>
          <w:tcPr>
            <w:tcW w:w="75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tcBorders>
              <w:bottom w:val="single" w:sz="8" w:color="CCEEFF"/>
            </w:tcBorders>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7"/>
              </w:rPr>
              <w:t>0.5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7"/>
              </w:rPr>
              <w:t>0.5</w:t>
            </w: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w w:val="99"/>
              </w:rPr>
              <w:t>70% - 101%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rPr>
              <w:t>60% - 75%</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Borders>
              <w:bottom w:val="single" w:sz="8" w:color="CCEEFF"/>
            </w:tcBorders>
            <w:gridSpan w:val="2"/>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9"/>
              </w:rPr>
              <w:t>0.67% - 3.12%</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0.05% - 0.06%</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w w:val="99"/>
              </w:rPr>
              <w:t>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9"/>
              </w:rPr>
              <w:t>0%</w:t>
            </w:r>
          </w:p>
        </w:tc>
        <w:tc>
          <w:tcPr>
            <w:tcW w:w="580" w:type="dxa"/>
            <w:vAlign w:val="bottom"/>
          </w:tcPr>
          <w:p>
            <w:pPr>
              <w:spacing w:after="0"/>
              <w:rPr>
                <w:sz w:val="21"/>
                <w:szCs w:val="21"/>
                <w:color w:val="auto"/>
              </w:rPr>
            </w:pPr>
          </w:p>
        </w:tc>
      </w:tr>
      <w:tr>
        <w:trPr>
          <w:trHeight w:val="540"/>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6"/>
        </w:trPr>
        <w:tc>
          <w:tcPr>
            <w:tcW w:w="10660" w:type="dxa"/>
            <w:vAlign w:val="bottom"/>
            <w:gridSpan w:val="8"/>
          </w:tcPr>
          <w:p>
            <w:pPr>
              <w:jc w:val="right"/>
              <w:ind w:right="55"/>
              <w:spacing w:after="0"/>
              <w:rPr>
                <w:sz w:val="20"/>
                <w:szCs w:val="20"/>
                <w:color w:val="auto"/>
              </w:rPr>
            </w:pPr>
            <w:r>
              <w:rPr>
                <w:rFonts w:ascii="Times New Roman" w:cs="Times New Roman" w:eastAsia="Times New Roman" w:hAnsi="Times New Roman"/>
                <w:sz w:val="18"/>
                <w:szCs w:val="18"/>
                <w:color w:val="auto"/>
              </w:rPr>
              <w:t>Stock-based compensation expense related to the Stock Plans and the ESPP that is included in the Company’s consolidated statements of</w:t>
            </w:r>
          </w:p>
        </w:tc>
        <w:tc>
          <w:tcPr>
            <w:tcW w:w="580" w:type="dxa"/>
            <w:vAlign w:val="bottom"/>
          </w:tcPr>
          <w:p>
            <w:pPr>
              <w:spacing w:after="0"/>
              <w:rPr>
                <w:sz w:val="24"/>
                <w:szCs w:val="24"/>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operations is as follows (in thousands):</w:t>
            </w: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6"/>
        </w:trPr>
        <w:tc>
          <w:tcPr>
            <w:tcW w:w="7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80" w:type="dxa"/>
            <w:vAlign w:val="bottom"/>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580" w:type="dxa"/>
            <w:vAlign w:val="bottom"/>
          </w:tcPr>
          <w:p>
            <w:pPr>
              <w:spacing w:after="0"/>
              <w:rPr>
                <w:sz w:val="17"/>
                <w:szCs w:val="17"/>
                <w:color w:val="auto"/>
              </w:rPr>
            </w:pPr>
          </w:p>
        </w:tc>
      </w:tr>
      <w:tr>
        <w:trPr>
          <w:trHeight w:val="37"/>
        </w:trPr>
        <w:tc>
          <w:tcPr>
            <w:tcW w:w="7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r>
      <w:tr>
        <w:trPr>
          <w:trHeight w:val="37"/>
        </w:trPr>
        <w:tc>
          <w:tcPr>
            <w:tcW w:w="75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16,808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11,323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r>
      <w:tr>
        <w:trPr>
          <w:trHeight w:val="27"/>
        </w:trPr>
        <w:tc>
          <w:tcPr>
            <w:tcW w:w="75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4"/>
        </w:trPr>
        <w:tc>
          <w:tcPr>
            <w:tcW w:w="7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58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28,131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15,800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November 30, 2022 and 2021, capitalized stock-based compensation related to internal-use software development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$69,000 and zero, respectively. As of November 30, 2022, the total compensation cost related to stock-based awards not yet recognized was $79.3 million,</w:t>
      </w:r>
    </w:p>
    <w:p>
      <w:pPr>
        <w:spacing w:after="0"/>
        <w:rPr>
          <w:sz w:val="20"/>
          <w:szCs w:val="20"/>
          <w:color w:val="auto"/>
        </w:rPr>
      </w:pPr>
      <w:r>
        <w:rPr>
          <w:rFonts w:ascii="Times New Roman" w:cs="Times New Roman" w:eastAsia="Times New Roman" w:hAnsi="Times New Roman"/>
          <w:sz w:val="18"/>
          <w:szCs w:val="18"/>
          <w:color w:val="auto"/>
        </w:rPr>
        <w:t>which is expected to be amortized on a straight-line basis over the weighted-average remaining vesting period of approximately 2.73 years.</w:t>
      </w:r>
    </w:p>
    <w:p>
      <w:pPr>
        <w:spacing w:after="0" w:line="200" w:lineRule="exact"/>
        <w:rPr>
          <w:sz w:val="20"/>
          <w:szCs w:val="20"/>
          <w:color w:val="auto"/>
        </w:rPr>
      </w:pPr>
    </w:p>
    <w:p>
      <w:pPr>
        <w:spacing w:after="0" w:line="38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$0.9 million and $0.7 million during the years ended November 30, 2022 and 2021, respectively.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November 30, 2022, the Company did not record any current income tax benefit or provision, and for the year ended November 30, 2021, the Company recorded a current income tax provision of $0.1 million primarily due to state taxes offset by a federal income tax refund. The Company had generated net operating losses (NOLs) since inception and has established a valuation allowance against its deferred tax assets due to the uncertainty surrounding the realization of such assets.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before provision for income taxes includes the following component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(117,063)</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(117,063)</w:t>
            </w:r>
          </w:p>
        </w:tc>
        <w:tc>
          <w:tcPr>
            <w:tcW w:w="0" w:type="dxa"/>
            <w:vAlign w:val="bottom"/>
          </w:tcPr>
          <w:p>
            <w:pPr>
              <w:spacing w:after="0"/>
              <w:rPr>
                <w:sz w:val="1"/>
                <w:szCs w:val="1"/>
                <w:color w:val="auto"/>
              </w:rPr>
            </w:pPr>
          </w:p>
        </w:tc>
      </w:tr>
      <w:tr>
        <w:trPr>
          <w:trHeight w:val="27"/>
        </w:trPr>
        <w:tc>
          <w:tcPr>
            <w:tcW w:w="81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8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6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effective tax rate differs from the federal statutory rate as follows: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rate</w:t>
            </w:r>
          </w:p>
        </w:tc>
        <w:tc>
          <w:tcPr>
            <w:tcW w:w="260" w:type="dxa"/>
            <w:vAlign w:val="bottom"/>
          </w:tcPr>
          <w:p>
            <w:pPr>
              <w:spacing w:after="0"/>
              <w:rPr>
                <w:sz w:val="21"/>
                <w:szCs w:val="21"/>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1"/>
                <w:szCs w:val="21"/>
                <w:color w:val="auto"/>
              </w:rPr>
            </w:pP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3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4"/>
                <w:szCs w:val="24"/>
                <w:color w:val="auto"/>
              </w:rPr>
            </w:pPr>
          </w:p>
        </w:tc>
        <w:tc>
          <w:tcPr>
            <w:tcW w:w="132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deferred tax assets for federal and state income taxes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r>
      <w:tr>
        <w:trPr>
          <w:trHeight w:val="237"/>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86,843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(83,517)</w:t>
            </w:r>
          </w:p>
        </w:tc>
      </w:tr>
      <w:tr>
        <w:trPr>
          <w:trHeight w:val="237"/>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18"/>
          <w:szCs w:val="18"/>
          <w:color w:val="auto"/>
        </w:rPr>
        <w:t>Realization of the deferred tax assets is dependent upon future taxable income, the amount, if any, and timing of which are uncertain. The Company has established a valuation allowance to offset deferred tax assets as of November 30, 2022 and 2021 due to the uncertainty of realizing future tax benefits from its NOL carryforwards and other deferred tax assets. The valuation allowance increased by $54.8 million during the year ended November 30, 2022, primarily related to an increase on the deferred tax asset for research and development (R&amp;D) credits and NOL carryforwards. The valuation allowance increased by $36.1 million during the year ended November 30, 2021, primarily due to an increase on the deferred tax asset for deferred revenue, R&amp;D credits and NOL carryforwards.</w:t>
      </w:r>
    </w:p>
    <w:p>
      <w:pPr>
        <w:spacing w:after="0" w:line="8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November 30, 2022, the Company had NOL carryforwards available to reduce future taxable income, if any, for federal and state income tax purposes of $276.3 million and $299.6 million, respectively. Federal NOL carryforwards generated for tax years beginning before December 31, 2017 can be carried forward 20 years and begin expiring in 2029. Federal NOL carryforwards of $272.9 million for tax years beginning after December 31, 2017 can be carried forward indefinitely.</w:t>
      </w:r>
    </w:p>
    <w:p>
      <w:pPr>
        <w:spacing w:after="0" w:line="6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State NOL carryforwards begin expiring in 2029. As of November 30, 2022, the Company had federal and state research credit carryforwards of $22.1 million and $15.2 million, respectively. If not utilized, the federal credit carryforwards will begin expiring in 2032 and the state credits carry forward indefinitely.</w:t>
      </w:r>
    </w:p>
    <w:p>
      <w:pPr>
        <w:spacing w:after="0" w:line="6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Internal Revenue Code of 1986, as amended (IRC), Section 382 places a limitation on the utilization of NOL and tax credit carryforwards in the event of certain cumulative changes in the ownership interest of significant stockholders over a three-year period in excess of 50 percentage points. The Company has identified two ownership changes that have triggered a limitation on pre-change NOLs under Section 382. A majority of the Company’s pre-change NOLs remain available within the carryforward period provided by the IRC, subject to availability of taxable income. As a result of the ownership changes, the Company has determined that approximately $0.4 million of NOLs will expire unutilized, and as such, these NOLs are not reflected in the Company’s deferred tax asset balance.</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7"/>
          <w:szCs w:val="17"/>
          <w:color w:val="auto"/>
        </w:rPr>
        <w:t>The Company has recorded a liability related to uncertain tax positions in the financial statements. It is the Company’s policy to include penalties and interest expense related to income taxes as a component for the provision for income taxes. The Company has unrecognized tax benefits of $10.3 million as of November 30, 2022, all of which are offset by a full valuation allowance. There are no tax benefits included in the balance of unrecognized tax benefits that, if recognized, would affect the effective tax rate. There are no interest and penalties accrued as of November 30, 2022. A reconciliation of the beginning and ending amounts of unrecognized income tax benefits during the years ended November 30, 2022 and 2021 is as follows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Years ended November 30,</w:t>
            </w:r>
          </w:p>
        </w:tc>
        <w:tc>
          <w:tcPr>
            <w:tcW w:w="5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based on tax positions related to prior period</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Additions based on tax positions related to current period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10,261</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in various states. In February 2018 the Internal Revenue Service (IRS) commenced an examination of the Company’s U.S. income tax return for the tax years ending in 2016, 2017, 2018 and 2019. All tax issues under examination were effectively settled during the year ended November 30, 2021. As a result, the Company removed the associated unrecognized tax benefit reserves and decreased its R&amp;D credit carryforward by $1.3 million. The Company continues to maintain an unrecognized tax benefit related to federal R&amp;D credits generated in years not covered by the examination.</w:t>
      </w:r>
    </w:p>
    <w:p>
      <w:pPr>
        <w:spacing w:after="0" w:line="69" w:lineRule="exact"/>
        <w:rPr>
          <w:sz w:val="20"/>
          <w:szCs w:val="20"/>
          <w:color w:val="auto"/>
        </w:rPr>
      </w:pPr>
    </w:p>
    <w:p>
      <w:pPr>
        <w:jc w:val="both"/>
        <w:ind w:right="140" w:firstLine="648"/>
        <w:spacing w:after="0" w:line="246" w:lineRule="auto"/>
        <w:rPr>
          <w:sz w:val="20"/>
          <w:szCs w:val="20"/>
          <w:color w:val="auto"/>
        </w:rPr>
      </w:pPr>
      <w:r>
        <w:rPr>
          <w:rFonts w:ascii="Times New Roman" w:cs="Times New Roman" w:eastAsia="Times New Roman" w:hAnsi="Times New Roman"/>
          <w:sz w:val="18"/>
          <w:szCs w:val="18"/>
          <w:color w:val="auto"/>
        </w:rPr>
        <w:t>Additionally, in January 2019 the California Franchise Tax Board (FTB) initiated an examination of the Company’s California tax return for the tax years ending in 2015, 2016, 2017 and 2018. During the year ended November 30, 2021, the FTB issued proposed audit assessments related to revenue sourcing and R&amp;D credits. The Company does not agree with the FTB assessments and intends to challenge the assessments. Pursuant to a measurement analysis, the Company has not recorded an unrecognized tax benefit related to the FTB’s sourcing position. The Company maintains an unrecognized tax benefit related to its California R&amp;D credits for all years.</w:t>
      </w:r>
    </w:p>
    <w:p>
      <w:pPr>
        <w:spacing w:after="0" w:line="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tax years will remain open for examination by the federal and state authorities for three and four years, respectively, from the date of the utilization of any NOLs.</w:t>
      </w:r>
    </w:p>
    <w:p>
      <w:pPr>
        <w:spacing w:after="0" w:line="54"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(CARES Act) was enacted in response to the COVID-19 pandemic. The CARES Act, among other things, allows NOLs incurred in taxable years 2018, 2019 and 2020 to be carried back to each of the five preceding taxable years to generate a refund of previously paid income taxes. The fiscal 2020 tax benefit was primarily due to the carryback of NOLs to prior taxable years as allowed under the CARES Act. In fiscal 2020, the Company filed refund claims of $19.6 million to carryback NOLs generated in fiscal years ended November 30, 2018 and 2019. These refund claims were approved by Congressional Joint Committee on Taxation during the year ended November 30, 2021. As of November 30, 2021, the Company had received the full amount of these refund claims.</w:t>
      </w:r>
    </w:p>
    <w:p>
      <w:pPr>
        <w:spacing w:after="0" w:line="7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In August 2022, the U.S. Inflation Reduction Act (the Act) was enacted into law. The Act includes various tax provisions, including an excise tax on stock repurchases, expanded tax credits for clean energy incentives and a corporate alternative minimum tax that generally applies to U.S. corporations with adjusted financial statement income in excess of $1.0 billion. The Company does not expect the Act to have a material impact on its financial statements.</w:t>
      </w:r>
    </w:p>
    <w:p>
      <w:pPr>
        <w:spacing w:after="0" w:line="8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 December 2017, the Tax Cuts and Jobs Act (TCJA) was signed into law, significantly reforming the Internal Revenue Code of 1986, as amended (IRC). The TCJA contained certain provisions that went into effect on January 1, 2022, including a provision impacting Section 174 of the IRC whereby for tax years beginning on or after January 1, 2022, taxpayers are required to capitalize and amortize, rather than deduct, research and experimental (R&amp;E) expenses. The R&amp;E expenses under Section 174 must be amortized over five years for research performed in the U.S. and 15 years for research performed outside the U.S. The provisions of Section 174 are not applicable to the financial statements as of and for the year ended November 30, 2022. The Company is closely monitoring these provisions and is in the process of analyzing the potential impact to its income taxes and financial position in future years.</w:t>
      </w: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Weighted-average number of shares outstanding, basic and diluted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48,607,990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42,895,383</w:t>
            </w: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right="180" w:hanging="334"/>
        <w:spacing w:after="0" w:line="229" w:lineRule="auto"/>
        <w:tabs>
          <w:tab w:leader="none" w:pos="36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shares underlying the pre-funded warrants to purchase an aggregate of 6,814,920 shares of the Company’s common stock have been included in the calculation of the weighted-average number of shares outstanding, basic and diluted, for the year ended November 30, 2022.</w:t>
      </w:r>
    </w:p>
    <w:p>
      <w:pPr>
        <w:spacing w:after="0" w:line="21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Years ended November 30,</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8,256,957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5,878,552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early exercised subject to vesting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50,882</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9,187,221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6,008,228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Company’s Chief Financial Officer is a trustee for the multiple employer welfare association that facilitates the acquisition and administration of the Company’s healthcare plans. Expenses related to the healthcare plan premiums were $4.0 million and $2.6 million for the years ended November 30, 2022 and 2021, respectively. As of November 30, 2022 and 2021, the amount recorded in accounts payable and accrued expenses and other current liabilities in connection with this healthcare plan provider was not material.</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(CEO) and our Chief Financial Officer (CFO),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November 30, 2022. Based on their evaluation, the CEO and CFO have concluded that our disclosure controls and procedures were effective as of November 30, 2022.</w:t>
      </w:r>
    </w:p>
    <w:p>
      <w:pPr>
        <w:spacing w:after="0" w:line="8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CEO and our CFO, to allow timely decisions regarding required disclosure.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safeguards into the process to reduce, though not eliminate, this risk.</w:t>
      </w:r>
    </w:p>
    <w:p>
      <w:pPr>
        <w:spacing w:after="0" w:line="72" w:lineRule="exact"/>
        <w:rPr>
          <w:sz w:val="20"/>
          <w:szCs w:val="20"/>
          <w:color w:val="auto"/>
        </w:rPr>
      </w:pPr>
    </w:p>
    <w:p>
      <w:pPr>
        <w:ind w:right="520" w:firstLine="648"/>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CEO and CFO, we conducted an evaluation of the effectiveness of our internal control over financial reporting as of November 30, 2022 based on the framework in “Internal Control — Integrated Framework” (2013) issued by the Committee of Sponsoring Organizations of the Treadway Commission. Based on this evaluation, our management concluded that our internal control over financial reporting was effective as of November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Prior Material Weaknesses in Internal Control over Financial Reporting</w:t>
      </w:r>
    </w:p>
    <w:p>
      <w:pPr>
        <w:spacing w:after="0" w:line="11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previously identified and disclosed in Item 9A of our Annual Report on Form 10-K for the period ended November 30, 2021, as well as in our Quarterly Reports on Form 10-Q for each interim period in fiscal year 2022, that material weaknesses in our internal control over financial reporting existed related to the following:</w:t>
      </w:r>
    </w:p>
    <w:p>
      <w:pPr>
        <w:spacing w:after="0" w:line="75" w:lineRule="exact"/>
        <w:rPr>
          <w:sz w:val="20"/>
          <w:szCs w:val="20"/>
          <w:color w:val="auto"/>
        </w:rPr>
      </w:pPr>
    </w:p>
    <w:p>
      <w:pPr>
        <w:ind w:left="660" w:right="80" w:hanging="328"/>
        <w:spacing w:after="0" w:line="242" w:lineRule="auto"/>
        <w:tabs>
          <w:tab w:leader="none" w:pos="648" w:val="left"/>
        </w:tabs>
        <w:numPr>
          <w:ilvl w:val="0"/>
          <w:numId w:val="55"/>
        </w:numPr>
        <w:rPr>
          <w:rFonts w:ascii="Arial" w:cs="Arial" w:eastAsia="Arial" w:hAnsi="Arial"/>
          <w:sz w:val="20"/>
          <w:szCs w:val="20"/>
          <w:color w:val="auto"/>
        </w:rPr>
      </w:pPr>
      <w:r>
        <w:rPr>
          <w:rFonts w:ascii="Times New Roman" w:cs="Times New Roman" w:eastAsia="Times New Roman" w:hAnsi="Times New Roman"/>
          <w:sz w:val="18"/>
          <w:szCs w:val="18"/>
          <w:color w:val="auto"/>
        </w:rPr>
        <w:t>We did not design and maintain effective controls over certain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appropriate personnel, and (b) program change management controls to ensure that IT program and data changes affecting financial IT applications and underlying accounting records are identified, tested, authorized and implemented appropriately. These IT deficiencies did not result in any misstatements to the financial statements.</w:t>
      </w:r>
    </w:p>
    <w:p>
      <w:pPr>
        <w:spacing w:after="0" w:line="101" w:lineRule="exact"/>
        <w:rPr>
          <w:rFonts w:ascii="Arial" w:cs="Arial" w:eastAsia="Arial" w:hAnsi="Arial"/>
          <w:sz w:val="20"/>
          <w:szCs w:val="20"/>
          <w:color w:val="auto"/>
        </w:rPr>
      </w:pPr>
    </w:p>
    <w:p>
      <w:pPr>
        <w:ind w:left="660" w:right="80" w:hanging="328"/>
        <w:spacing w:after="0" w:line="255" w:lineRule="auto"/>
        <w:tabs>
          <w:tab w:leader="none" w:pos="648" w:val="left"/>
        </w:tabs>
        <w:numPr>
          <w:ilvl w:val="0"/>
          <w:numId w:val="55"/>
        </w:numPr>
        <w:rPr>
          <w:rFonts w:ascii="Arial" w:cs="Arial" w:eastAsia="Arial" w:hAnsi="Arial"/>
          <w:sz w:val="20"/>
          <w:szCs w:val="20"/>
          <w:color w:val="auto"/>
        </w:rPr>
      </w:pPr>
      <w:r>
        <w:rPr>
          <w:rFonts w:ascii="Times New Roman" w:cs="Times New Roman" w:eastAsia="Times New Roman" w:hAnsi="Times New Roman"/>
          <w:sz w:val="18"/>
          <w:szCs w:val="18"/>
          <w:color w:val="auto"/>
        </w:rPr>
        <w:t>We did not design and maintain effective segregation of duty controls over the review and approval of account reconciliations and manual journal entries. This material weakness did not result in any misstatements to the financial statements.</w:t>
      </w:r>
    </w:p>
    <w:p>
      <w:pPr>
        <w:spacing w:after="0" w:line="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November 30, 2022, management took steps to remediate the material weaknesses by successfully implementing IT general controls, formalizing documentation of IT policies and procedures and ensuring the ongoing operating effectiveness of IT general controls to support effective IT dependent controls and our ability to maintain segregation of duties in relation to account reconciliations and manual journal entries.</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Management has determined that these controls were designed and have operated effectively for a sufficient period of time and concluded that the material weaknesses have been remediated as of November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November 30, 2022 that have materially affected, or are reasonably likely to materially affect, our internal control over financial reporting.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definitive proxy statement for our 2023 Annual Meeting of Stockholders (Proxy Statement) to be filed with the SEC within 120 days after the end of the fiscal year covered by this Annual Report on Form 10-K, and is incorporated herein by reference.</w:t>
      </w:r>
    </w:p>
    <w:p>
      <w:pPr>
        <w:spacing w:after="0" w:line="6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www.nurixtx.com.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sz w:val="20"/>
          <w:szCs w:val="20"/>
          <w:color w:val="auto"/>
        </w:rPr>
      </w:pPr>
    </w:p>
    <w:p>
      <w:pPr>
        <w:ind w:left="1940" w:hanging="636"/>
        <w:spacing w:after="0"/>
        <w:tabs>
          <w:tab w:leader="none" w:pos="1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0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filed as part of this Annual Report on Form 10-K are listed in the “Index to Financial Statements” under Part II, Item 8 of this Annual Report on Form 10-K.</w:t>
      </w:r>
    </w:p>
    <w:p>
      <w:pPr>
        <w:spacing w:after="0" w:line="68" w:lineRule="exact"/>
        <w:rPr>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Financial statement schedules have been omitted in this Annual Report on Form 10-K because they are not applicable, not required under the instructions, or the information requested is set forth in the financial statements or related notes thereto.</w:t>
      </w:r>
    </w:p>
    <w:p>
      <w:pPr>
        <w:spacing w:after="0" w:line="68" w:lineRule="exact"/>
        <w:rPr>
          <w:sz w:val="20"/>
          <w:szCs w:val="20"/>
          <w:color w:val="auto"/>
        </w:rPr>
      </w:pPr>
    </w:p>
    <w:p>
      <w:pPr>
        <w:ind w:left="1940" w:hanging="636"/>
        <w:spacing w:after="0"/>
        <w:tabs>
          <w:tab w:leader="none" w:pos="1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exhibits filed with this Annual Report on Form 10-K incorporated herein by reference (numbered in accordance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601 of Regulation S-K):</w:t>
      </w:r>
    </w:p>
    <w:p>
      <w:pPr>
        <w:spacing w:after="0" w:line="200" w:lineRule="exact"/>
        <w:rPr>
          <w:sz w:val="20"/>
          <w:szCs w:val="20"/>
          <w:color w:val="auto"/>
        </w:rPr>
      </w:pPr>
    </w:p>
    <w:p>
      <w:pPr>
        <w:spacing w:after="0" w:line="38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25"/>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Restated Certificate of Incorporation</w:t>
              </w:r>
            </w:hyperlink>
          </w:p>
        </w:tc>
        <w:tc>
          <w:tcPr>
            <w:tcW w:w="1100" w:type="dxa"/>
            <w:vAlign w:val="bottom"/>
            <w:gridSpan w:val="20"/>
          </w:tcPr>
          <w:p>
            <w:pPr>
              <w:spacing w:after="0"/>
              <w:rPr>
                <w:sz w:val="20"/>
                <w:szCs w:val="20"/>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9"/>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Amended and Restated Bylaws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9"/>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Common Stock Certificate</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Amended and Restated Investor Rights Agreement,</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dated March 9, 2020, by and among the Registrant</w:t>
              </w:r>
            </w:hyperlink>
          </w:p>
        </w:tc>
        <w:tc>
          <w:tcPr>
            <w:tcW w:w="10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9"/>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and certain of its stockholders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Description of Registrant’s Securities</w:t>
            </w: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Form of Pre-funded Warrant</w:t>
              </w:r>
            </w:hyperlink>
          </w:p>
        </w:tc>
        <w:tc>
          <w:tcPr>
            <w:tcW w:w="640" w:type="dxa"/>
            <w:vAlign w:val="bottom"/>
            <w:tcBorders>
              <w:top w:val="single" w:sz="8" w:color="0000FF"/>
            </w:tcBorders>
            <w:gridSpan w:val="5"/>
          </w:tcPr>
          <w:p>
            <w:pPr>
              <w:spacing w:after="0"/>
              <w:rPr>
                <w:sz w:val="24"/>
                <w:szCs w:val="24"/>
                <w:color w:val="auto"/>
              </w:rPr>
            </w:pPr>
          </w:p>
        </w:tc>
        <w:tc>
          <w:tcPr>
            <w:tcW w:w="1060" w:type="dxa"/>
            <w:vAlign w:val="bottom"/>
            <w:gridSpan w:val="19"/>
          </w:tcPr>
          <w:p>
            <w:pPr>
              <w:spacing w:after="0"/>
              <w:rPr>
                <w:sz w:val="24"/>
                <w:szCs w:val="24"/>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9"/>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Indemnity Agreement</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2012 Equity Incentive Plan, as amended, and forms</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9"/>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of award agreements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2020 Equity Incentive Plan and forms of award</w:t>
              </w:r>
            </w:hyperlink>
          </w:p>
        </w:tc>
        <w:tc>
          <w:tcPr>
            <w:tcW w:w="320" w:type="dxa"/>
            <w:vAlign w:val="bottom"/>
            <w:gridSpan w:val="10"/>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9"/>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agreements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2020 Employee Stock Purchase Plan and forms of</w:t>
              </w:r>
            </w:hyperlink>
          </w:p>
        </w:tc>
        <w:tc>
          <w:tcPr>
            <w:tcW w:w="12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award agreements</w:t>
              </w:r>
            </w:hyperlink>
          </w:p>
        </w:tc>
        <w:tc>
          <w:tcPr>
            <w:tcW w:w="2440" w:type="dxa"/>
            <w:vAlign w:val="bottom"/>
            <w:gridSpan w:val="26"/>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and between the Registrant and Arthur T. Sands</w:t>
              </w:r>
            </w:hyperlink>
          </w:p>
        </w:tc>
        <w:tc>
          <w:tcPr>
            <w:tcW w:w="300" w:type="dxa"/>
            <w:vAlign w:val="bottom"/>
            <w:gridSpan w:val="9"/>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Letter Agreement, dated June 15, 2020, by and</w:t>
              </w:r>
            </w:hyperlink>
          </w:p>
        </w:tc>
        <w:tc>
          <w:tcPr>
            <w:tcW w:w="360" w:type="dxa"/>
            <w:vAlign w:val="bottom"/>
            <w:gridSpan w:val="1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9"/>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between the Registrant and Arthur T. Sands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and between the Registrant and Gwenn Hansen</w:t>
              </w:r>
            </w:hyperlink>
          </w:p>
        </w:tc>
        <w:tc>
          <w:tcPr>
            <w:tcW w:w="340" w:type="dxa"/>
            <w:vAlign w:val="bottom"/>
            <w:gridSpan w:val="11"/>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9"/>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and between the Registrant and Christine Ring</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40" w:type="dxa"/>
            <w:vAlign w:val="bottom"/>
            <w:gridSpan w:val="11"/>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and between the Registrant and Hans van Houte</w:t>
              </w:r>
            </w:hyperlink>
          </w:p>
        </w:tc>
        <w:tc>
          <w:tcPr>
            <w:tcW w:w="280" w:type="dxa"/>
            <w:vAlign w:val="bottom"/>
            <w:gridSpan w:val="8"/>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Employment Agreement, dated June 10, 2021, by</w:t>
              </w:r>
            </w:hyperlink>
          </w:p>
        </w:tc>
        <w:tc>
          <w:tcPr>
            <w:tcW w:w="16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and between the Registrant and Stefani Wolff</w:t>
              </w:r>
            </w:hyperlink>
          </w:p>
        </w:tc>
        <w:tc>
          <w:tcPr>
            <w:tcW w:w="480" w:type="dxa"/>
            <w:vAlign w:val="bottom"/>
            <w:gridSpan w:val="15"/>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Executive Severance and Change in Control Plan,</w:t>
              </w:r>
            </w:hyperlink>
          </w:p>
        </w:tc>
        <w:tc>
          <w:tcPr>
            <w:tcW w:w="16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as amended and restated on January 19, 2022, and</w:t>
              </w:r>
            </w:hyperlink>
          </w:p>
        </w:tc>
        <w:tc>
          <w:tcPr>
            <w:tcW w:w="14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form of Participation Agreement thereunder</w:t>
              </w:r>
            </w:hyperlink>
          </w:p>
        </w:tc>
        <w:tc>
          <w:tcPr>
            <w:tcW w:w="580" w:type="dxa"/>
            <w:vAlign w:val="bottom"/>
            <w:gridSpan w:val="17"/>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Lease Agreement, dated as of March 24, 2014,</w:t>
              </w:r>
            </w:hyperlink>
          </w:p>
        </w:tc>
        <w:tc>
          <w:tcPr>
            <w:tcW w:w="380" w:type="dxa"/>
            <w:vAlign w:val="bottom"/>
            <w:gridSpan w:val="1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between ARE-San Francisco No. 26, LLC and the</w:t>
              </w:r>
            </w:hyperlink>
          </w:p>
        </w:tc>
        <w:tc>
          <w:tcPr>
            <w:tcW w:w="12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9"/>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Registrant</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Lease Agreement, dated as of June 21, 2021,</w:t>
              </w:r>
            </w:hyperlink>
          </w:p>
        </w:tc>
        <w:tc>
          <w:tcPr>
            <w:tcW w:w="520" w:type="dxa"/>
            <w:vAlign w:val="bottom"/>
            <w:gridSpan w:val="1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between ARE-San Francisco No. 19 LLC and the</w:t>
              </w:r>
            </w:hyperlink>
          </w:p>
        </w:tc>
        <w:tc>
          <w:tcPr>
            <w:tcW w:w="18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9"/>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Registrant</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40" w:type="dxa"/>
            <w:vAlign w:val="bottom"/>
          </w:tcPr>
          <w:p>
            <w:pPr>
              <w:spacing w:after="0"/>
              <w:rPr>
                <w:sz w:val="16"/>
                <w:szCs w:val="16"/>
                <w:color w:val="auto"/>
              </w:rPr>
            </w:pPr>
          </w:p>
        </w:tc>
      </w:tr>
      <w:tr>
        <w:trPr>
          <w:trHeight w:val="418"/>
        </w:trPr>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77"/>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8"/>
              </w:rPr>
              <w:t>October 14, 2020</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July 2,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July 8, 2022</w:t>
            </w:r>
          </w:p>
        </w:tc>
      </w:tr>
      <w:tr>
        <w:trPr>
          <w:trHeight w:val="324"/>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324"/>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16, 2021</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October 14, 2021</w:t>
            </w:r>
          </w:p>
        </w:tc>
      </w:tr>
      <w:tr>
        <w:trPr>
          <w:trHeight w:val="54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756"/>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756"/>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October 14,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Furnished</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24130</wp:posOffset>
            </wp:positionV>
            <wp:extent cx="6515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4980" w:space="100"/>
            <w:col w:w="5040" w:space="280"/>
            <w:col w:w="620"/>
          </w:cols>
          <w:pgMar w:left="320" w:top="121" w:right="5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898"/>
        </w:trPr>
        <w:tc>
          <w:tcPr>
            <w:tcW w:w="12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32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Lease Agreement, dated as of March 1, 2022,</w:t>
              </w:r>
            </w:hyperlink>
          </w:p>
        </w:tc>
        <w:tc>
          <w:tcPr>
            <w:tcW w:w="620" w:type="dxa"/>
            <w:vAlign w:val="bottom"/>
            <w:gridSpan w:val="14"/>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April 8, 2022</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between 880 Technology Forest Pl, LLC and the</w:t>
              </w:r>
            </w:hyperlink>
          </w:p>
        </w:tc>
        <w:tc>
          <w:tcPr>
            <w:tcW w:w="38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3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Collaboration, Option and License Agreement,</w:t>
              </w:r>
            </w:hyperlink>
          </w:p>
        </w:tc>
        <w:tc>
          <w:tcPr>
            <w:tcW w:w="520" w:type="dxa"/>
            <w:vAlign w:val="bottom"/>
            <w:gridSpan w:val="11"/>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dated June 10, 2019, by and between the 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and Gilead Sciences, Inc., as amended</w:t>
              </w:r>
            </w:hyperlink>
          </w:p>
        </w:tc>
        <w:tc>
          <w:tcPr>
            <w:tcW w:w="940" w:type="dxa"/>
            <w:vAlign w:val="bottom"/>
            <w:tcBorders>
              <w:top w:val="single" w:sz="8" w:color="0000FF"/>
            </w:tcBorders>
            <w:gridSpan w:val="17"/>
          </w:tcPr>
          <w:p>
            <w:pPr>
              <w:spacing w:after="0"/>
              <w:rPr>
                <w:sz w:val="17"/>
                <w:szCs w:val="17"/>
                <w:color w:val="auto"/>
              </w:rPr>
            </w:pPr>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33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First Amendment to Collaboration, Option and</w:t>
              </w:r>
            </w:hyperlink>
          </w:p>
        </w:tc>
        <w:tc>
          <w:tcPr>
            <w:tcW w:w="520" w:type="dxa"/>
            <w:vAlign w:val="bottom"/>
            <w:gridSpan w:val="11"/>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License Agreement, dated August 13, 2019, by and</w:t>
              </w:r>
            </w:hyperlink>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between the Registrant and Gilead Sciences, Inc.</w:t>
              </w:r>
            </w:hyperlink>
          </w:p>
        </w:tc>
        <w:tc>
          <w:tcPr>
            <w:tcW w:w="38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5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Second Amendment to Collaboration, Option and</w:t>
              </w:r>
            </w:hyperlink>
          </w:p>
        </w:tc>
        <w:tc>
          <w:tcPr>
            <w:tcW w:w="320" w:type="dxa"/>
            <w:vAlign w:val="bottom"/>
            <w:gridSpan w:val="6"/>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License Agreement, dated September 9, 2022, by</w:t>
              </w:r>
            </w:hyperlink>
          </w:p>
        </w:tc>
        <w:tc>
          <w:tcPr>
            <w:tcW w:w="34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and between the Registrant and Gilead Sciences,</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31">
              <w:r>
                <w:rPr>
                  <w:rFonts w:ascii="Times New Roman" w:cs="Times New Roman" w:eastAsia="Times New Roman" w:hAnsi="Times New Roman"/>
                  <w:sz w:val="18"/>
                  <w:szCs w:val="18"/>
                  <w:color w:val="0000FF"/>
                  <w:w w:val="94"/>
                </w:rPr>
                <w:t>Inc.</w:t>
              </w:r>
            </w:hyperlink>
          </w:p>
        </w:tc>
        <w:tc>
          <w:tcPr>
            <w:tcW w:w="3240" w:type="dxa"/>
            <w:vAlign w:val="bottom"/>
            <w:tcBorders>
              <w:top w:val="single" w:sz="8" w:color="0000FF"/>
            </w:tcBorders>
            <w:gridSpan w:val="19"/>
          </w:tcPr>
          <w:p>
            <w:pPr>
              <w:spacing w:after="0"/>
              <w:rPr>
                <w:sz w:val="17"/>
                <w:szCs w:val="17"/>
                <w:color w:val="auto"/>
              </w:rPr>
            </w:pPr>
          </w:p>
        </w:tc>
        <w:tc>
          <w:tcPr>
            <w:tcW w:w="38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900" w:type="dxa"/>
            <w:vAlign w:val="bottom"/>
            <w:gridSpan w:val="28"/>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Collaboration and License Agreement, dated</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December 19, 2019, by and between the 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and Genzyme Corporation</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First Amendment to Collaboration and License</w:t>
              </w:r>
            </w:hyperlink>
          </w:p>
        </w:tc>
        <w:tc>
          <w:tcPr>
            <w:tcW w:w="500" w:type="dxa"/>
            <w:vAlign w:val="bottom"/>
            <w:gridSpan w:val="10"/>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February 16, 2021</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Agreement, dated January 6, 2021, by and between</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the Registrant and Genzyme Corporation</w:t>
              </w:r>
            </w:hyperlink>
          </w:p>
        </w:tc>
        <w:tc>
          <w:tcPr>
            <w:tcW w:w="720" w:type="dxa"/>
            <w:vAlign w:val="bottom"/>
            <w:tcBorders>
              <w:top w:val="single" w:sz="8" w:color="0000FF"/>
            </w:tcBorders>
            <w:gridSpan w:val="14"/>
          </w:tcPr>
          <w:p>
            <w:pPr>
              <w:spacing w:after="0"/>
              <w:rPr>
                <w:sz w:val="17"/>
                <w:szCs w:val="17"/>
                <w:color w:val="auto"/>
              </w:rPr>
            </w:pPr>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Second Amendment to Collaboration and License</w:t>
              </w:r>
            </w:hyperlink>
          </w:p>
        </w:tc>
        <w:tc>
          <w:tcPr>
            <w:tcW w:w="300" w:type="dxa"/>
            <w:vAlign w:val="bottom"/>
            <w:gridSpan w:val="5"/>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Agreement, dated December 16, 2021, by and</w:t>
              </w:r>
            </w:hyperlink>
          </w:p>
        </w:tc>
        <w:tc>
          <w:tcPr>
            <w:tcW w:w="58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between the Registrant and Genzyme Corporation</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600" w:type="dxa"/>
            <w:vAlign w:val="bottom"/>
            <w:tcBorders>
              <w:top w:val="single" w:sz="8" w:color="0000FF"/>
            </w:tcBorders>
            <w:gridSpan w:val="23"/>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Third Amendment to Collaboration and License</w:t>
              </w:r>
            </w:hyperlink>
          </w:p>
        </w:tc>
        <w:tc>
          <w:tcPr>
            <w:tcW w:w="300" w:type="dxa"/>
            <w:vAlign w:val="bottom"/>
            <w:gridSpan w:val="5"/>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Agreement, dated July 7, 2022, by and between the</w:t>
              </w:r>
            </w:hyperlink>
          </w:p>
        </w:tc>
        <w:tc>
          <w:tcPr>
            <w:tcW w:w="20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Registrant and Genzyme Corporation</w:t>
              </w:r>
            </w:hyperlink>
          </w:p>
        </w:tc>
        <w:tc>
          <w:tcPr>
            <w:tcW w:w="1200" w:type="dxa"/>
            <w:vAlign w:val="bottom"/>
            <w:gridSpan w:val="20"/>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900" w:type="dxa"/>
            <w:vAlign w:val="bottom"/>
            <w:gridSpan w:val="28"/>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Fourth Amendment to Collaboration and License</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Agreement, dated August 11, 2022, by and between</w:t>
              </w:r>
            </w:hyperlink>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the Registrant and Genzyme Corporation</w:t>
              </w:r>
            </w:hyperlink>
          </w:p>
        </w:tc>
        <w:tc>
          <w:tcPr>
            <w:tcW w:w="94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4"/>
                <w:szCs w:val="24"/>
                <w:color w:val="auto"/>
              </w:rPr>
            </w:pPr>
          </w:p>
        </w:tc>
        <w:tc>
          <w:tcPr>
            <w:tcW w:w="3900" w:type="dxa"/>
            <w:vAlign w:val="bottom"/>
            <w:gridSpan w:val="28"/>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Equity Distribution Agreement, dated August 4,</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333-258448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2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August 4, 2021</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2021, by and between the Registrant and Piper</w:t>
              </w:r>
            </w:hyperlink>
          </w:p>
        </w:tc>
        <w:tc>
          <w:tcPr>
            <w:tcW w:w="100" w:type="dxa"/>
            <w:vAlign w:val="bottom"/>
            <w:tcBorders>
              <w:top w:val="single" w:sz="8" w:color="0000FF"/>
            </w:tcBorders>
            <w:gridSpan w:val="3"/>
          </w:tcPr>
          <w:p>
            <w:pPr>
              <w:spacing w:after="0"/>
              <w:rPr>
                <w:sz w:val="17"/>
                <w:szCs w:val="17"/>
                <w:color w:val="auto"/>
              </w:rPr>
            </w:pPr>
          </w:p>
        </w:tc>
        <w:tc>
          <w:tcPr>
            <w:tcW w:w="44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Sandler &amp; Co</w:t>
              </w:r>
              <w:r>
                <w:rPr>
                  <w:rFonts w:ascii="Times New Roman" w:cs="Times New Roman" w:eastAsia="Times New Roman" w:hAnsi="Times New Roman"/>
                  <w:sz w:val="18"/>
                  <w:szCs w:val="18"/>
                  <w:color w:val="000000"/>
                </w:rPr>
                <w: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4"/>
                <w:szCs w:val="24"/>
                <w:color w:val="auto"/>
              </w:rPr>
            </w:pPr>
          </w:p>
        </w:tc>
        <w:tc>
          <w:tcPr>
            <w:tcW w:w="3900" w:type="dxa"/>
            <w:vAlign w:val="bottom"/>
            <w:gridSpan w:val="28"/>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Subsidiaries of the Registrant</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3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w:t>
            </w:r>
          </w:p>
        </w:tc>
        <w:tc>
          <w:tcPr>
            <w:tcW w:w="860" w:type="dxa"/>
            <w:vAlign w:val="bottom"/>
            <w:gridSpan w:val="17"/>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266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24"/>
                <w:szCs w:val="24"/>
                <w:color w:val="auto"/>
              </w:rPr>
            </w:pPr>
          </w:p>
        </w:tc>
        <w:tc>
          <w:tcPr>
            <w:tcW w:w="3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Power of Attorney (reference is made to the</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 page hereto)</w:t>
            </w:r>
          </w:p>
        </w:tc>
        <w:tc>
          <w:tcPr>
            <w:tcW w:w="1620" w:type="dxa"/>
            <w:vAlign w:val="bottom"/>
            <w:tcBorders>
              <w:top w:val="single" w:sz="8" w:color="0000FF"/>
            </w:tcBorders>
            <w:gridSpan w:val="8"/>
          </w:tcPr>
          <w:p>
            <w:pPr>
              <w:spacing w:after="0"/>
              <w:rPr>
                <w:sz w:val="17"/>
                <w:szCs w:val="17"/>
                <w:color w:val="auto"/>
              </w:rPr>
            </w:pPr>
          </w:p>
        </w:tc>
        <w:tc>
          <w:tcPr>
            <w:tcW w:w="68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3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12"/>
            <w:shd w:val="clear" w:color="auto" w:fill="0000FF"/>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FF"/>
        </w:rPr>
        <w:t>the Securities Exchange Act of 1934, as Adopted</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FF"/>
        </w:rPr>
        <w:t>of 2002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8" w:right="77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844"/>
        </w:trPr>
        <w:tc>
          <w:tcPr>
            <w:tcW w:w="12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Officer Pursuant to Rules 13a-14(a) and 15d-14(a)</w:t>
            </w:r>
          </w:p>
        </w:tc>
        <w:tc>
          <w:tcPr>
            <w:tcW w:w="60" w:type="dxa"/>
            <w:vAlign w:val="bottom"/>
            <w:tcBorders>
              <w:top w:val="single" w:sz="8" w:color="0000FF"/>
            </w:tcBorders>
            <w:gridSpan w:val="2"/>
          </w:tcPr>
          <w:p>
            <w:pPr>
              <w:spacing w:after="0"/>
              <w:rPr>
                <w:sz w:val="17"/>
                <w:szCs w:val="17"/>
                <w:color w:val="auto"/>
              </w:rPr>
            </w:pPr>
          </w:p>
        </w:tc>
        <w:tc>
          <w:tcPr>
            <w:tcW w:w="28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30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w:t>
            </w:r>
          </w:p>
        </w:tc>
        <w:tc>
          <w:tcPr>
            <w:tcW w:w="2960" w:type="dxa"/>
            <w:vAlign w:val="bottom"/>
            <w:gridSpan w:val="4"/>
          </w:tcPr>
          <w:p>
            <w:pPr>
              <w:spacing w:after="0"/>
              <w:rPr>
                <w:sz w:val="17"/>
                <w:szCs w:val="17"/>
                <w:color w:val="auto"/>
              </w:rPr>
            </w:pPr>
          </w:p>
        </w:tc>
        <w:tc>
          <w:tcPr>
            <w:tcW w:w="30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0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Financial and Accounting Officer</w:t>
            </w:r>
          </w:p>
        </w:tc>
        <w:tc>
          <w:tcPr>
            <w:tcW w:w="300" w:type="dxa"/>
            <w:vAlign w:val="bottom"/>
            <w:tcBorders>
              <w:top w:val="single" w:sz="8" w:color="0000FF"/>
            </w:tcBorders>
            <w:gridSpan w:val="2"/>
          </w:tcPr>
          <w:p>
            <w:pPr>
              <w:spacing w:after="0"/>
              <w:rPr>
                <w:sz w:val="17"/>
                <w:szCs w:val="17"/>
                <w:color w:val="auto"/>
              </w:rPr>
            </w:pPr>
          </w:p>
        </w:tc>
        <w:tc>
          <w:tcPr>
            <w:tcW w:w="3140" w:type="dxa"/>
            <w:vAlign w:val="bottom"/>
            <w:gridSpan w:val="6"/>
          </w:tcPr>
          <w:p>
            <w:pPr>
              <w:spacing w:after="0"/>
              <w:rPr>
                <w:sz w:val="17"/>
                <w:szCs w:val="17"/>
                <w:color w:val="auto"/>
              </w:rPr>
            </w:pPr>
          </w:p>
        </w:tc>
        <w:tc>
          <w:tcPr>
            <w:tcW w:w="30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30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w:t>
            </w:r>
          </w:p>
        </w:tc>
        <w:tc>
          <w:tcPr>
            <w:tcW w:w="2880" w:type="dxa"/>
            <w:vAlign w:val="bottom"/>
            <w:gridSpan w:val="2"/>
          </w:tcPr>
          <w:p>
            <w:pPr>
              <w:spacing w:after="0"/>
              <w:rPr>
                <w:sz w:val="17"/>
                <w:szCs w:val="17"/>
                <w:color w:val="auto"/>
              </w:rPr>
            </w:pPr>
          </w:p>
        </w:tc>
        <w:tc>
          <w:tcPr>
            <w:tcW w:w="30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6000" w:type="dxa"/>
            <w:vAlign w:val="bottom"/>
            <w:gridSpan w:val="10"/>
          </w:tcPr>
          <w:p>
            <w:pPr>
              <w:spacing w:after="0"/>
              <w:rPr>
                <w:sz w:val="17"/>
                <w:szCs w:val="17"/>
                <w:color w:val="auto"/>
              </w:rPr>
            </w:pPr>
          </w:p>
        </w:tc>
        <w:tc>
          <w:tcPr>
            <w:tcW w:w="3000" w:type="dxa"/>
            <w:vAlign w:val="bottom"/>
          </w:tcPr>
          <w:p>
            <w:pPr>
              <w:spacing w:after="0"/>
              <w:rPr>
                <w:sz w:val="17"/>
                <w:szCs w:val="17"/>
                <w:color w:val="auto"/>
              </w:rPr>
            </w:pPr>
          </w:p>
        </w:tc>
      </w:tr>
      <w:tr>
        <w:trPr>
          <w:trHeight w:val="32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30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300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3000" w:type="dxa"/>
            <w:vAlign w:val="bottom"/>
          </w:tcPr>
          <w:p>
            <w:pPr>
              <w:spacing w:after="0"/>
              <w:rPr>
                <w:sz w:val="20"/>
                <w:szCs w:val="20"/>
                <w:color w:val="auto"/>
              </w:rPr>
            </w:pPr>
          </w:p>
        </w:tc>
      </w:tr>
      <w:tr>
        <w:trPr>
          <w:trHeight w:val="30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3000" w:type="dxa"/>
            <w:vAlign w:val="bottom"/>
          </w:tcPr>
          <w:p>
            <w:pPr>
              <w:spacing w:after="0"/>
              <w:rPr>
                <w:sz w:val="20"/>
                <w:szCs w:val="20"/>
                <w:color w:val="auto"/>
              </w:rPr>
            </w:pPr>
          </w:p>
        </w:tc>
      </w:tr>
      <w:tr>
        <w:trPr>
          <w:trHeight w:val="30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000" w:type="dxa"/>
            <w:vAlign w:val="bottom"/>
          </w:tcPr>
          <w:p>
            <w:pPr>
              <w:spacing w:after="0"/>
              <w:rPr>
                <w:sz w:val="20"/>
                <w:szCs w:val="20"/>
                <w:color w:val="auto"/>
              </w:rPr>
            </w:pPr>
          </w:p>
        </w:tc>
      </w:tr>
      <w:tr>
        <w:trPr>
          <w:trHeight w:val="30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000" w:type="dxa"/>
            <w:vAlign w:val="bottom"/>
          </w:tcPr>
          <w:p>
            <w:pPr>
              <w:spacing w:after="0"/>
              <w:rPr>
                <w:sz w:val="20"/>
                <w:szCs w:val="20"/>
                <w:color w:val="auto"/>
              </w:rPr>
            </w:pPr>
          </w:p>
        </w:tc>
      </w:tr>
      <w:tr>
        <w:trPr>
          <w:trHeight w:val="30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3000" w:type="dxa"/>
            <w:vAlign w:val="bottom"/>
          </w:tcPr>
          <w:p>
            <w:pPr>
              <w:spacing w:after="0"/>
              <w:rPr>
                <w:sz w:val="20"/>
                <w:szCs w:val="20"/>
                <w:color w:val="auto"/>
              </w:rPr>
            </w:pPr>
          </w:p>
        </w:tc>
      </w:tr>
      <w:tr>
        <w:trPr>
          <w:trHeight w:val="30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000" w:type="dxa"/>
            <w:vAlign w:val="bottom"/>
          </w:tcPr>
          <w:p>
            <w:pPr>
              <w:spacing w:after="0"/>
              <w:rPr>
                <w:sz w:val="20"/>
                <w:szCs w:val="20"/>
                <w:color w:val="auto"/>
              </w:rPr>
            </w:pPr>
          </w:p>
        </w:tc>
      </w:tr>
      <w:tr>
        <w:trPr>
          <w:trHeight w:val="306"/>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300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and included in Exhibit 101)</w:t>
            </w:r>
          </w:p>
        </w:tc>
        <w:tc>
          <w:tcPr>
            <w:tcW w:w="3000" w:type="dxa"/>
            <w:vAlign w:val="bottom"/>
          </w:tcPr>
          <w:p>
            <w:pPr>
              <w:spacing w:after="0"/>
              <w:rPr>
                <w:sz w:val="20"/>
                <w:szCs w:val="20"/>
                <w:color w:val="auto"/>
              </w:rPr>
            </w:pPr>
          </w:p>
        </w:tc>
      </w:tr>
    </w:tbl>
    <w:p>
      <w:pPr>
        <w:spacing w:after="0" w:line="88" w:lineRule="exact"/>
        <w:rPr>
          <w:sz w:val="20"/>
          <w:szCs w:val="20"/>
          <w:color w:val="auto"/>
        </w:rPr>
      </w:pPr>
    </w:p>
    <w:p>
      <w:pPr>
        <w:ind w:left="1240" w:hanging="1214"/>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Indicates a management or compensatory plan or arrangement in which directors or executive officers are eligible to participate.</w:t>
      </w:r>
    </w:p>
    <w:p>
      <w:pPr>
        <w:spacing w:after="0" w:line="117" w:lineRule="exact"/>
        <w:rPr>
          <w:sz w:val="20"/>
          <w:szCs w:val="20"/>
          <w:color w:val="auto"/>
        </w:rPr>
      </w:pPr>
    </w:p>
    <w:p>
      <w:pPr>
        <w:ind w:left="1240" w:hanging="1214"/>
        <w:spacing w:after="0"/>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Registrant has omitted portions of the exhibit as permitted under Item 601(b)(10) of Regulation S-K.</w:t>
      </w:r>
    </w:p>
    <w:p>
      <w:pPr>
        <w:spacing w:after="0" w:line="117" w:lineRule="exact"/>
        <w:rPr>
          <w:sz w:val="20"/>
          <w:szCs w:val="20"/>
          <w:color w:val="auto"/>
        </w:rPr>
      </w:pPr>
    </w:p>
    <w:p>
      <w:pPr>
        <w:ind w:left="1240" w:hanging="1214"/>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Registrant has omitted certain schedules pursuant to Item 601(a)(5) of Regulation S-K.</w:t>
      </w:r>
    </w:p>
    <w:p>
      <w:pPr>
        <w:spacing w:after="0" w:line="117" w:lineRule="exact"/>
        <w:rPr>
          <w:sz w:val="20"/>
          <w:szCs w:val="20"/>
          <w:color w:val="auto"/>
        </w:rPr>
      </w:pPr>
    </w:p>
    <w:p>
      <w:pPr>
        <w:jc w:val="both"/>
        <w:ind w:left="1240" w:right="20" w:hanging="1214"/>
        <w:spacing w:after="0" w:line="267"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certifications furnished in Exhibits 32.1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8" w:right="7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21" w:lineRule="exact"/>
        <w:rPr>
          <w:sz w:val="20"/>
          <w:szCs w:val="20"/>
          <w:color w:val="auto"/>
        </w:rPr>
      </w:pPr>
    </w:p>
    <w:p>
      <w:pPr>
        <w:ind w:left="40"/>
        <w:spacing w:after="0"/>
        <w:tabs>
          <w:tab w:leader="none" w:pos="5400" w:val="left"/>
          <w:tab w:leader="none" w:pos="7740" w:val="left"/>
        </w:tabs>
        <w:rPr>
          <w:sz w:val="20"/>
          <w:szCs w:val="20"/>
          <w:color w:val="auto"/>
        </w:rPr>
      </w:pPr>
      <w:r>
        <w:rPr>
          <w:rFonts w:ascii="Times New Roman" w:cs="Times New Roman" w:eastAsia="Times New Roman" w:hAnsi="Times New Roman"/>
          <w:sz w:val="18"/>
          <w:szCs w:val="18"/>
          <w:color w:val="auto"/>
        </w:rPr>
        <w:t>Date: February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34290</wp:posOffset>
            </wp:positionV>
            <wp:extent cx="34118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Arthur T. Sands, M.D., Ph.D.</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Director</w:t>
      </w:r>
    </w:p>
    <w:p>
      <w:pPr>
        <w:spacing w:after="0" w:line="2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Arthur T. Sands and Hans van Houte,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w:t>
      </w:r>
    </w:p>
    <w:p>
      <w:pPr>
        <w:sectPr>
          <w:pgSz w:w="11900" w:h="16838" w:orient="portrait"/>
          <w:cols w:equalWidth="0" w:num="1">
            <w:col w:w="11160"/>
          </w:cols>
          <w:pgMar w:left="320" w:top="121" w:right="41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Registrant in the capacities and on the dates indicated.</w:t>
      </w:r>
    </w:p>
    <w:p>
      <w:pPr>
        <w:spacing w:after="0" w:line="25" w:lineRule="exact"/>
        <w:rPr>
          <w:sz w:val="20"/>
          <w:szCs w:val="20"/>
          <w:color w:val="auto"/>
        </w:rPr>
      </w:pPr>
    </w:p>
    <w:p>
      <w:pPr>
        <w:ind w:left="166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4006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w:t>
            </w:r>
            <w:r>
              <w:rPr>
                <w:rFonts w:ascii="Times New Roman" w:cs="Times New Roman" w:eastAsia="Times New Roman" w:hAnsi="Times New Roman"/>
                <w:sz w:val="14"/>
                <w:szCs w:val="14"/>
                <w:color w:val="auto"/>
                <w:w w:val="99"/>
              </w:rPr>
              <w:t>RTHUR</w:t>
            </w:r>
            <w:r>
              <w:rPr>
                <w:rFonts w:ascii="Times New Roman" w:cs="Times New Roman" w:eastAsia="Times New Roman" w:hAnsi="Times New Roman"/>
                <w:sz w:val="18"/>
                <w:szCs w:val="18"/>
                <w:color w:val="auto"/>
                <w:w w:val="99"/>
              </w:rPr>
              <w:t xml:space="preserve"> T. S</w:t>
            </w:r>
            <w:r>
              <w:rPr>
                <w:rFonts w:ascii="Times New Roman" w:cs="Times New Roman" w:eastAsia="Times New Roman" w:hAnsi="Times New Roman"/>
                <w:sz w:val="14"/>
                <w:szCs w:val="14"/>
                <w:color w:val="auto"/>
                <w:w w:val="99"/>
              </w:rPr>
              <w:t>ANDS</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36"/>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Arthur T. Sands, M.D., Ph.D.</w:t>
            </w:r>
          </w:p>
        </w:tc>
        <w:tc>
          <w:tcPr>
            <w:tcW w:w="4180" w:type="dxa"/>
            <w:vAlign w:val="bottom"/>
          </w:tcPr>
          <w:p>
            <w:pPr>
              <w:jc w:val="center"/>
              <w:ind w:left="67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44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Hans van Houte</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L. L</w:t>
            </w:r>
            <w:r>
              <w:rPr>
                <w:rFonts w:ascii="Times New Roman" w:cs="Times New Roman" w:eastAsia="Times New Roman" w:hAnsi="Times New Roman"/>
                <w:sz w:val="14"/>
                <w:szCs w:val="14"/>
                <w:color w:val="auto"/>
              </w:rPr>
              <w:t>ACEY</w:t>
            </w:r>
          </w:p>
        </w:tc>
        <w:tc>
          <w:tcPr>
            <w:tcW w:w="4180" w:type="dxa"/>
            <w:vAlign w:val="bottom"/>
            <w:vMerge w:val="restart"/>
          </w:tcPr>
          <w:p>
            <w:pPr>
              <w:jc w:val="center"/>
              <w:ind w:left="67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David L. Lacey, M.D.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w:t>
            </w:r>
            <w:r>
              <w:rPr>
                <w:rFonts w:ascii="Times New Roman" w:cs="Times New Roman" w:eastAsia="Times New Roman" w:hAnsi="Times New Roman"/>
                <w:sz w:val="14"/>
                <w:szCs w:val="14"/>
                <w:color w:val="auto"/>
                <w:w w:val="99"/>
              </w:rPr>
              <w:t>ULIA</w:t>
            </w:r>
            <w:r>
              <w:rPr>
                <w:rFonts w:ascii="Times New Roman" w:cs="Times New Roman" w:eastAsia="Times New Roman" w:hAnsi="Times New Roman"/>
                <w:sz w:val="18"/>
                <w:szCs w:val="18"/>
                <w:color w:val="auto"/>
                <w:w w:val="99"/>
              </w:rPr>
              <w:t xml:space="preserve"> P. G</w:t>
            </w:r>
            <w:r>
              <w:rPr>
                <w:rFonts w:ascii="Times New Roman" w:cs="Times New Roman" w:eastAsia="Times New Roman" w:hAnsi="Times New Roman"/>
                <w:sz w:val="14"/>
                <w:szCs w:val="14"/>
                <w:color w:val="auto"/>
                <w:w w:val="99"/>
              </w:rPr>
              <w:t>REGORY</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Julia P. Gregory</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4"/>
                <w:szCs w:val="14"/>
                <w:color w:val="auto"/>
              </w:rPr>
              <w:t>ORI</w:t>
            </w:r>
            <w:r>
              <w:rPr>
                <w:rFonts w:ascii="Times New Roman" w:cs="Times New Roman" w:eastAsia="Times New Roman" w:hAnsi="Times New Roman"/>
                <w:sz w:val="18"/>
                <w:szCs w:val="18"/>
                <w:color w:val="auto"/>
              </w:rPr>
              <w:t xml:space="preserve"> A. K</w:t>
            </w:r>
            <w:r>
              <w:rPr>
                <w:rFonts w:ascii="Times New Roman" w:cs="Times New Roman" w:eastAsia="Times New Roman" w:hAnsi="Times New Roman"/>
                <w:sz w:val="14"/>
                <w:szCs w:val="14"/>
                <w:color w:val="auto"/>
              </w:rPr>
              <w:t>UNKEL</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Lori A. Kunkel, M.D.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UDITH</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4"/>
                <w:szCs w:val="14"/>
                <w:color w:val="auto"/>
              </w:rPr>
              <w:t>EINSDORF</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Judith A. Reinsdorf, J.D.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DWARD</w:t>
            </w:r>
            <w:r>
              <w:rPr>
                <w:rFonts w:ascii="Times New Roman" w:cs="Times New Roman" w:eastAsia="Times New Roman" w:hAnsi="Times New Roman"/>
                <w:sz w:val="18"/>
                <w:szCs w:val="18"/>
                <w:color w:val="auto"/>
              </w:rPr>
              <w:t xml:space="preserve"> C. S</w:t>
            </w:r>
            <w:r>
              <w:rPr>
                <w:rFonts w:ascii="Times New Roman" w:cs="Times New Roman" w:eastAsia="Times New Roman" w:hAnsi="Times New Roman"/>
                <w:sz w:val="14"/>
                <w:szCs w:val="14"/>
                <w:color w:val="auto"/>
              </w:rPr>
              <w:t>ALTZMAN</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Edward C. Saltzman</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w:t>
            </w:r>
            <w:r>
              <w:rPr>
                <w:rFonts w:ascii="Times New Roman" w:cs="Times New Roman" w:eastAsia="Times New Roman" w:hAnsi="Times New Roman"/>
                <w:sz w:val="14"/>
                <w:szCs w:val="14"/>
                <w:color w:val="auto"/>
                <w:w w:val="99"/>
              </w:rPr>
              <w:t>AUL</w:t>
            </w:r>
            <w:r>
              <w:rPr>
                <w:rFonts w:ascii="Times New Roman" w:cs="Times New Roman" w:eastAsia="Times New Roman" w:hAnsi="Times New Roman"/>
                <w:sz w:val="18"/>
                <w:szCs w:val="18"/>
                <w:color w:val="auto"/>
                <w:w w:val="99"/>
              </w:rPr>
              <w:t xml:space="preserve"> M. S</w:t>
            </w:r>
            <w:r>
              <w:rPr>
                <w:rFonts w:ascii="Times New Roman" w:cs="Times New Roman" w:eastAsia="Times New Roman" w:hAnsi="Times New Roman"/>
                <w:sz w:val="14"/>
                <w:szCs w:val="14"/>
                <w:color w:val="auto"/>
                <w:w w:val="99"/>
              </w:rPr>
              <w:t>ILVA</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Paul M. Silva</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41910</wp:posOffset>
            </wp:positionV>
            <wp:extent cx="16719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375" w:lineRule="exact"/>
        <w:rPr>
          <w:sz w:val="20"/>
          <w:szCs w:val="20"/>
          <w:color w:val="auto"/>
        </w:rPr>
      </w:pPr>
    </w:p>
    <w:p>
      <w:pPr>
        <w:sectPr>
          <w:pgSz w:w="11900" w:h="16838" w:orient="portrait"/>
          <w:cols w:equalWidth="0" w:num="2">
            <w:col w:w="8580" w:space="720"/>
            <w:col w:w="1860"/>
          </w:cols>
          <w:pgMar w:left="320" w:top="12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1160"/>
          </w:cols>
          <w:pgMar w:left="320" w:top="121" w:right="419"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1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The following summary of the terms of our capital stock is based upon our restated certificate of incorporation, our amended and restated bylaws and applicable provisions of the Delaware General Corporation Law (DGCL). This summary is not complete, and is qualified by reference to our restated certificate of incorporation and our amended and restated bylaws which are filed as exhibits to this Annual Report on Form 10-K and are incorporated by reference herein. We encourage you to read our restated certificate of incorporation and our amended and restated bylaws and the applicable provisions of the DGCL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$0.001 par value per share, and 10,000,000 shares of undesignated preferred stock, $0.001 par value per share.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0"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0"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are able to elect all of our directors. Our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ectPr>
          <w:pgSz w:w="11900" w:h="16838" w:orient="portrait"/>
          <w:cols w:equalWidth="0" w:num="1">
            <w:col w:w="11240"/>
          </w:cols>
          <w:pgMar w:left="320" w:top="140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provisions of DGCL, our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212" w:lineRule="exact"/>
        <w:rPr>
          <w:sz w:val="20"/>
          <w:szCs w:val="20"/>
          <w:color w:val="auto"/>
        </w:rPr>
      </w:pPr>
    </w:p>
    <w:p>
      <w:pPr>
        <w:ind w:left="660" w:right="38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89" w:lineRule="exact"/>
        <w:rPr>
          <w:rFonts w:ascii="Times New Roman" w:cs="Times New Roman" w:eastAsia="Times New Roman" w:hAnsi="Times New Roman"/>
          <w:sz w:val="18"/>
          <w:szCs w:val="18"/>
          <w:color w:val="auto"/>
        </w:rPr>
      </w:pPr>
    </w:p>
    <w:p>
      <w:pPr>
        <w:ind w:left="660" w:right="60" w:hanging="328"/>
        <w:spacing w:after="0" w:line="245"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20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0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Restated certificate of incorporation and amended and restated bylaw provisions</w:t>
      </w:r>
    </w:p>
    <w:p>
      <w:pPr>
        <w:spacing w:after="0" w:line="2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include a number of provisions that could deter hostile takeovers or delay or prevent changes in control of our company, including the following:</w:t>
      </w:r>
    </w:p>
    <w:p>
      <w:pPr>
        <w:spacing w:after="0" w:line="220" w:lineRule="exact"/>
        <w:rPr>
          <w:sz w:val="20"/>
          <w:szCs w:val="20"/>
          <w:color w:val="auto"/>
        </w:rPr>
      </w:pPr>
    </w:p>
    <w:p>
      <w:pPr>
        <w:ind w:left="660" w:right="220" w:hanging="328"/>
        <w:spacing w:after="0" w:line="247"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restated certificate of incorporation and amended and restated bylaws authorize only our board of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fill vacant directorships, including newly created seats.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17" w:lineRule="exact"/>
        <w:rPr>
          <w:rFonts w:ascii="Times New Roman" w:cs="Times New Roman" w:eastAsia="Times New Roman" w:hAnsi="Times New Roman"/>
          <w:sz w:val="18"/>
          <w:szCs w:val="18"/>
          <w:color w:val="auto"/>
        </w:rPr>
      </w:pPr>
    </w:p>
    <w:p>
      <w:pPr>
        <w:ind w:left="660" w:right="180" w:hanging="328"/>
        <w:spacing w:after="0" w:line="251" w:lineRule="auto"/>
        <w:tabs>
          <w:tab w:leader="none" w:pos="655"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restated certificate of incorporation and amended and restated bylaws provide that our board of directors is classified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ectPr>
          <w:pgSz w:w="11900" w:h="16838" w:orient="portrait"/>
          <w:cols w:equalWidth="0" w:num="1">
            <w:col w:w="11240"/>
          </w:cols>
          <w:pgMar w:left="320" w:top="1400" w:right="339" w:bottom="1440" w:gutter="0" w:footer="0" w:header="0"/>
        </w:sectPr>
      </w:pPr>
    </w:p>
    <w:bookmarkStart w:id="158" w:name="page159"/>
    <w:bookmarkEnd w:id="158"/>
    <w:p>
      <w:pPr>
        <w:ind w:left="328" w:right="20" w:hanging="328"/>
        <w:spacing w:after="0" w:line="244" w:lineRule="auto"/>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action; special meetings of stockholders</w:t>
      </w:r>
      <w:r>
        <w:rPr>
          <w:rFonts w:ascii="Times New Roman" w:cs="Times New Roman" w:eastAsia="Times New Roman" w:hAnsi="Times New Roman"/>
          <w:sz w:val="18"/>
          <w:szCs w:val="18"/>
          <w:color w:val="auto"/>
        </w:rPr>
        <w:t>. Our restated certificate of incorporation provides that our stockholders may not take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Further, our restated certificate of incorporation and our amended and restated bylaws provide that special meetings of our stockholders may be called only by a majority of our entire board of directors, the chairperson of our board of directors, our Chief Executive Officer, the lead independent director (as defined in our amended and restated bylaws)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06" w:lineRule="exact"/>
        <w:rPr>
          <w:rFonts w:ascii="Times New Roman" w:cs="Times New Roman" w:eastAsia="Times New Roman" w:hAnsi="Times New Roman"/>
          <w:sz w:val="18"/>
          <w:szCs w:val="18"/>
          <w:color w:val="auto"/>
        </w:rPr>
      </w:pPr>
    </w:p>
    <w:p>
      <w:pPr>
        <w:jc w:val="both"/>
        <w:ind w:left="328" w:right="320" w:hanging="328"/>
        <w:spacing w:after="0" w:line="243" w:lineRule="auto"/>
        <w:tabs>
          <w:tab w:leader="none" w:pos="323"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 unless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provides otherwise. Our restated certificate of incorporation and amended and restated bylaws do not provide for cumulative voting.</w:t>
      </w:r>
    </w:p>
    <w:p>
      <w:pPr>
        <w:spacing w:after="0" w:line="208" w:lineRule="exact"/>
        <w:rPr>
          <w:rFonts w:ascii="Times New Roman" w:cs="Times New Roman" w:eastAsia="Times New Roman" w:hAnsi="Times New Roman"/>
          <w:sz w:val="18"/>
          <w:szCs w:val="18"/>
          <w:i w:val="1"/>
          <w:iCs w:val="1"/>
          <w:color w:val="auto"/>
        </w:rPr>
      </w:pPr>
    </w:p>
    <w:p>
      <w:pPr>
        <w:ind w:left="328" w:right="300" w:hanging="328"/>
        <w:spacing w:after="0" w:line="268" w:lineRule="auto"/>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restated certificate of incorporation provides that stockholders may remove directors only for cause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by the affirmative vote of the holders of at least two-thirds of our outstanding common stock.</w:t>
      </w:r>
    </w:p>
    <w:p>
      <w:pPr>
        <w:spacing w:after="0" w:line="185" w:lineRule="exact"/>
        <w:rPr>
          <w:rFonts w:ascii="Times New Roman" w:cs="Times New Roman" w:eastAsia="Times New Roman" w:hAnsi="Times New Roman"/>
          <w:sz w:val="18"/>
          <w:szCs w:val="18"/>
          <w:color w:val="auto"/>
        </w:rPr>
      </w:pPr>
    </w:p>
    <w:p>
      <w:pPr>
        <w:ind w:left="328" w:right="20" w:hanging="328"/>
        <w:spacing w:after="0" w:line="251" w:lineRule="auto"/>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charter provisions</w:t>
      </w:r>
      <w:r>
        <w:rPr>
          <w:rFonts w:ascii="Times New Roman" w:cs="Times New Roman" w:eastAsia="Times New Roman" w:hAnsi="Times New Roman"/>
          <w:sz w:val="18"/>
          <w:szCs w:val="18"/>
          <w:color w:val="auto"/>
        </w:rPr>
        <w:t>. Any amendment of the above provisions in our restated certificate of incorporation requires approval by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at least two-thirds of our outstanding common stock unless such amendments are approved by two-thirds of our entire board of directors, in which case stockholders can approve by a simple majority.</w:t>
      </w:r>
    </w:p>
    <w:p>
      <w:pPr>
        <w:spacing w:after="0" w:line="201" w:lineRule="exact"/>
        <w:rPr>
          <w:rFonts w:ascii="Times New Roman" w:cs="Times New Roman" w:eastAsia="Times New Roman" w:hAnsi="Times New Roman"/>
          <w:sz w:val="18"/>
          <w:szCs w:val="18"/>
          <w:color w:val="auto"/>
        </w:rPr>
      </w:pPr>
    </w:p>
    <w:p>
      <w:pPr>
        <w:ind w:left="328" w:right="80" w:hanging="328"/>
        <w:spacing w:after="0" w:line="246" w:lineRule="auto"/>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merger, tender offer, proxy contest or other means.</w:t>
      </w:r>
    </w:p>
    <w:p>
      <w:pPr>
        <w:spacing w:after="0" w:line="204" w:lineRule="exact"/>
        <w:rPr>
          <w:rFonts w:ascii="Times New Roman" w:cs="Times New Roman" w:eastAsia="Times New Roman" w:hAnsi="Times New Roman"/>
          <w:sz w:val="18"/>
          <w:szCs w:val="18"/>
          <w:color w:val="auto"/>
        </w:rPr>
      </w:pPr>
    </w:p>
    <w:p>
      <w:pPr>
        <w:ind w:left="328" w:hanging="328"/>
        <w:spacing w:after="0" w:line="235" w:lineRule="auto"/>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restated certificate of incorporation provides that, to the fullest extent permitted by law, the Court of Chancery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any action to interpret, apply, enforce or determine the validity of our restated certificate of incorporation or amended and restated bylaws; or any action asserting a claim against us that is governed by the internal affairs doctrine. Our amended and restated bylaws also provide that the federal district courts of the United States of America are, to the fullest extent permitted by law, the exclusive forum for resolving any complaint asserting a cause of action arising under the Securities Act, or the Federal Forum Provision. While there can be no assurance that federal or state courts will follow the holding of the Delaware Supreme Court which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Securities Exchange Act of 1934, as amended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ectPr>
          <w:pgSz w:w="11900" w:h="16838" w:orient="portrait"/>
          <w:cols w:equalWidth="0" w:num="1">
            <w:col w:w="10888"/>
          </w:cols>
          <w:pgMar w:left="652" w:top="1415" w:right="359" w:bottom="1440" w:gutter="0" w:footer="0" w:header="0"/>
        </w:sectPr>
      </w:pPr>
    </w:p>
    <w:bookmarkStart w:id="159" w:name="page160"/>
    <w:bookmarkEnd w:id="159"/>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American Stock Transfer &amp; Trust Company, LLC.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“NRIX.”</w:t>
      </w:r>
    </w:p>
    <w:p>
      <w:pPr>
        <w:sectPr>
          <w:pgSz w:w="11900" w:h="16838" w:orient="portrait"/>
          <w:cols w:equalWidth="0" w:num="1">
            <w:col w:w="10139"/>
          </w:cols>
          <w:pgMar w:left="320" w:top="1440" w:right="1440" w:bottom="1440" w:gutter="0" w:footer="0" w:header="0"/>
        </w:sectPr>
      </w:pPr>
    </w:p>
    <w:bookmarkStart w:id="160" w:name="page161"/>
    <w:bookmarkEnd w:id="160"/>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ind w:right="60"/>
        <w:spacing w:after="0" w:line="216"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333-258448) and Form S-8 (Nos. 333-240065, 333-253159 and 333-262406) of Nurix Therapeutics, Inc. of our report dated February 9, 2023 relating to the financial statements, which appears in this Form 10-K.</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335"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238" w:lineRule="auto"/>
        <w:rPr>
          <w:sz w:val="20"/>
          <w:szCs w:val="20"/>
          <w:color w:val="auto"/>
        </w:rPr>
      </w:pPr>
      <w:r>
        <w:rPr>
          <w:rFonts w:ascii="Georgia" w:cs="Georgia" w:eastAsia="Georgia" w:hAnsi="Georgia"/>
          <w:sz w:val="18"/>
          <w:szCs w:val="18"/>
          <w:color w:val="auto"/>
        </w:rPr>
        <w:t>February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418"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117"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Nurix Therapeutics,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6300"/>
        <w:spacing w:after="0"/>
        <w:tabs>
          <w:tab w:leader="none" w:pos="674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9, 2023</w:t>
      </w:r>
    </w:p>
    <w:p>
      <w:pPr>
        <w:sectPr>
          <w:pgSz w:w="11900" w:h="16838" w:orient="portrait"/>
          <w:cols w:equalWidth="0" w:num="1">
            <w:col w:w="11240"/>
          </w:cols>
          <w:pgMar w:left="320" w:top="1251"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117"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Nurix Therapeutics,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300"/>
        <w:spacing w:after="0"/>
        <w:tabs>
          <w:tab w:leader="none" w:pos="674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34290</wp:posOffset>
            </wp:positionV>
            <wp:extent cx="2854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Hans van Houte</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9, 2023</w:t>
      </w:r>
    </w:p>
    <w:p>
      <w:pPr>
        <w:sectPr>
          <w:pgSz w:w="11900" w:h="16838" w:orient="portrait"/>
          <w:cols w:equalWidth="0" w:num="1">
            <w:col w:w="11240"/>
          </w:cols>
          <w:pgMar w:left="320" w:top="1251"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Nurix Therapeutics, Inc. (the Company) certifies, pursuant to 18 U.S.C. § 1350, as adopted pursuant to §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99" w:lineRule="exact"/>
        <w:rPr>
          <w:sz w:val="20"/>
          <w:szCs w:val="20"/>
          <w:color w:val="auto"/>
        </w:rPr>
      </w:pPr>
    </w:p>
    <w:p>
      <w:pPr>
        <w:ind w:left="6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November 30, 2022 (the Annual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94"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Hans van Houte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9, 2023</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lvl w:ilvl="1">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1)"/>
      <w:numFmt w:val="lowerRoman"/>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lowerRoman"/>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2"/>
    </w:lvl>
  </w:abstractNum>
  <w:abstractNum w:abstractNumId="57">
    <w:nsid w:val="77AE35EB"/>
    <w:multiLevelType w:val="hybridMultilevel"/>
    <w:lvl w:ilvl="0">
      <w:lvlJc w:val="left"/>
      <w:lvlText w:val="(%1)"/>
      <w:numFmt w:val="decimal"/>
      <w:start w:val="3"/>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08" Type="http://schemas.openxmlformats.org/officeDocument/2006/relationships/hyperlink" Target="http://www.sec.gov/Archives/edgar/data/1549595/000156459020046400/nrix-ex31_464.htm" TargetMode="External"/><Relationship Id="rId209" Type="http://schemas.openxmlformats.org/officeDocument/2006/relationships/hyperlink" Target="http://www.sec.gov/Archives/edgar/data/1549595/000119312522307328/d410964dex31.htm" TargetMode="External"/><Relationship Id="rId210" Type="http://schemas.openxmlformats.org/officeDocument/2006/relationships/hyperlink" Target="http://www.sec.gov/Archives/edgar/data/1549595/000119312520186809/d903927dex41.htm" TargetMode="External"/><Relationship Id="rId211" Type="http://schemas.openxmlformats.org/officeDocument/2006/relationships/hyperlink" Target="http://www.sec.gov/Archives/edgar/data/1549595/000119312520186809/d903927dex42.htm" TargetMode="External"/><Relationship Id="rId212" Type="http://schemas.openxmlformats.org/officeDocument/2006/relationships/hyperlink" Target="http://www.sec.gov/Archives/edgar/data/1549595/000119312522190492/d355546dex41.htm" TargetMode="External"/><Relationship Id="rId213" Type="http://schemas.openxmlformats.org/officeDocument/2006/relationships/hyperlink" Target="http://www.sec.gov/Archives/edgar/data/1549595/000119312520186809/d903927dex101.htm" TargetMode="External"/><Relationship Id="rId214" Type="http://schemas.openxmlformats.org/officeDocument/2006/relationships/hyperlink" Target="http://www.sec.gov/Archives/edgar/data/1549595/000119312520186809/d903927dex102.htm" TargetMode="External"/><Relationship Id="rId215" Type="http://schemas.openxmlformats.org/officeDocument/2006/relationships/hyperlink" Target="http://www.sec.gov/Archives/edgar/data/1549595/000119312520195056/d903927dex103.htm" TargetMode="External"/><Relationship Id="rId216" Type="http://schemas.openxmlformats.org/officeDocument/2006/relationships/hyperlink" Target="http://www.sec.gov/Archives/edgar/data/1549595/000119312520195056/d903927dex104.htm" TargetMode="External"/><Relationship Id="rId217" Type="http://schemas.openxmlformats.org/officeDocument/2006/relationships/hyperlink" Target="http://www.sec.gov/Archives/edgar/data/1549595/000119312520195056/d903927dex105.htm" TargetMode="External"/><Relationship Id="rId218" Type="http://schemas.openxmlformats.org/officeDocument/2006/relationships/hyperlink" Target="http://www.sec.gov/Archives/edgar/data/1549595/000119312520186809/d903927dex1011.htm" TargetMode="External"/><Relationship Id="rId219" Type="http://schemas.openxmlformats.org/officeDocument/2006/relationships/hyperlink" Target="http://www.sec.gov/Archives/edgar/data/1549595/000119312520195056/d903927dex107.htm" TargetMode="External"/><Relationship Id="rId220" Type="http://schemas.openxmlformats.org/officeDocument/2006/relationships/hyperlink" Target="http://www.sec.gov/Archives/edgar/data/0001549595/000156459021006071/nrix-ex107_389.htm" TargetMode="External"/><Relationship Id="rId221" Type="http://schemas.openxmlformats.org/officeDocument/2006/relationships/hyperlink" Target="http://www.sec.gov/Archives/edgar/data/1549595/000156459022003007/nrix-ex109_580.htm" TargetMode="External"/><Relationship Id="rId222" Type="http://schemas.openxmlformats.org/officeDocument/2006/relationships/hyperlink" Target="http://www.sec.gov/Archives/edgar/data/0001549595/000156459021050851/nrix-ex101_27.htm" TargetMode="External"/><Relationship Id="rId223" Type="http://schemas.openxmlformats.org/officeDocument/2006/relationships/hyperlink" Target="http://www.sec.gov/Archives/edgar/data/1549595/000156459022003007/nrix-ex1011_579.htm" TargetMode="External"/><Relationship Id="rId224" Type="http://schemas.openxmlformats.org/officeDocument/2006/relationships/hyperlink" Target="http://www.sec.gov/Archives/edgar/data/1549595/000119312520186809/d903927dex108.htm" TargetMode="External"/><Relationship Id="rId225" Type="http://schemas.openxmlformats.org/officeDocument/2006/relationships/hyperlink" Target="http://www.sec.gov/Archives/edgar/data/0001549595/000156459021050851/nrix-ex102_26.htm" TargetMode="External"/><Relationship Id="rId228" Type="http://schemas.openxmlformats.org/officeDocument/2006/relationships/hyperlink" Target="http://www.sec.gov/Archives/edgar/data/1549595/000156459022013988/nrix-ex101_270.htm" TargetMode="External"/><Relationship Id="rId229" Type="http://schemas.openxmlformats.org/officeDocument/2006/relationships/hyperlink" Target="http://www.sec.gov/Archives/edgar/data/1549595/000119312520186809/d903927dex109.htm" TargetMode="External"/><Relationship Id="rId230" Type="http://schemas.openxmlformats.org/officeDocument/2006/relationships/hyperlink" Target="http://www.sec.gov/Archives/edgar/data/1549595/000156459022033709/nrix-ex102_182.htm" TargetMode="External"/><Relationship Id="rId231" Type="http://schemas.openxmlformats.org/officeDocument/2006/relationships/hyperlink" Target="http://www.sec.gov/Archives/edgar/data/1549595/000156459022033709/nrix-ex103_181.htm" TargetMode="External"/><Relationship Id="rId232" Type="http://schemas.openxmlformats.org/officeDocument/2006/relationships/hyperlink" Target="http://www.sec.gov/Archives/edgar/data/1549595/000119312520186809/d903927dex1010.htm" TargetMode="External"/><Relationship Id="rId233" Type="http://schemas.openxmlformats.org/officeDocument/2006/relationships/hyperlink" Target="http://www.sec.gov/Archives/edgar/data/0001549595/000156459021006071/nrix-ex1011_158.htm" TargetMode="External"/><Relationship Id="rId234" Type="http://schemas.openxmlformats.org/officeDocument/2006/relationships/hyperlink" Target="http://www.sec.gov/Archives/edgar/data/1549595/000156459022033709/nrix-ex104_180.htm" TargetMode="External"/><Relationship Id="rId235" Type="http://schemas.openxmlformats.org/officeDocument/2006/relationships/hyperlink" Target="http://www.sec.gov/Archives/edgar/data/1549595/000156459022033709/nrix-ex105_179.htm" TargetMode="External"/><Relationship Id="rId236" Type="http://schemas.openxmlformats.org/officeDocument/2006/relationships/hyperlink" Target="http://www.sec.gov/Archives/edgar/data/1549595/000156459022033709/nrix-ex106_183.htm" TargetMode="External"/><Relationship Id="rId237" Type="http://schemas.openxmlformats.org/officeDocument/2006/relationships/hyperlink" Target="http://www.sec.gov/Archives/edgar/data/1549595/000119312521236301/d211774dex12.htm" TargetMode="External"/><Relationship Id="rId238" Type="http://schemas.openxmlformats.org/officeDocument/2006/relationships/hyperlink" Target="http://www.sec.gov/Archives/edgar/data/1549595/000156459022003007/nrix-ex211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2023-02-09T16:33:43Z</dcterms:created>
  <dcterms:modified xsi:type="dcterms:W3CDTF">2023-02-09T16:33:43Z</dcterms:modified>
</cp:coreProperties>
</file>