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11"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16" w:lineRule="auto"/>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ind w:left="4140"/>
        <w:spacing w:after="0" w:line="223" w:lineRule="auto"/>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November 30, 2023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ectPr>
          <w:pgSz w:w="11900" w:h="16838" w:orient="portrait"/>
          <w:cols w:equalWidth="0" w:num="1">
            <w:col w:w="11220"/>
          </w:cols>
          <w:pgMar w:left="320" w:top="1205" w:right="359" w:bottom="1440" w:gutter="0" w:footer="0" w:header="0"/>
        </w:sectPr>
      </w:pPr>
    </w:p>
    <w:p>
      <w:pPr>
        <w:spacing w:after="0" w:line="5" w:lineRule="exact"/>
        <w:rPr>
          <w:sz w:val="24"/>
          <w:szCs w:val="24"/>
          <w:color w:val="auto"/>
        </w:rPr>
      </w:pPr>
    </w:p>
    <w:p>
      <w:pPr>
        <w:ind w:left="480"/>
        <w:spacing w:after="0"/>
        <w:tabs>
          <w:tab w:leader="none" w:pos="264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1220"/>
          </w:cols>
          <w:pgMar w:left="320" w:top="1205" w:right="359" w:bottom="1440" w:gutter="0" w:footer="0" w:header="0"/>
          <w:type w:val="continuous"/>
        </w:sectPr>
      </w:pPr>
    </w:p>
    <w:p>
      <w:pPr>
        <w:spacing w:after="0" w:line="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001-39398</w:t>
      </w: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NURIX THERAPEUTICS, INC.</w:t>
      </w:r>
    </w:p>
    <w:p>
      <w:pPr>
        <w:jc w:val="center"/>
        <w:ind w:right="-39"/>
        <w:spacing w:after="0" w:line="219"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ectPr>
          <w:pgSz w:w="11900" w:h="16838" w:orient="portrait"/>
          <w:cols w:equalWidth="0" w:num="1">
            <w:col w:w="11220"/>
          </w:cols>
          <w:pgMar w:left="320" w:top="1205" w:right="359" w:bottom="1440" w:gutter="0" w:footer="0" w:header="0"/>
          <w:type w:val="continuous"/>
        </w:sectPr>
      </w:pPr>
    </w:p>
    <w:p>
      <w:pPr>
        <w:spacing w:after="0" w:line="40"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27-0838048</w:t>
      </w:r>
    </w:p>
    <w:p>
      <w:pPr>
        <w:spacing w:after="0" w:line="68" w:lineRule="exact"/>
        <w:rPr>
          <w:sz w:val="24"/>
          <w:szCs w:val="24"/>
          <w:color w:val="auto"/>
        </w:rPr>
      </w:pPr>
    </w:p>
    <w:p>
      <w:pPr>
        <w:sectPr>
          <w:pgSz w:w="11900" w:h="16838" w:orient="portrait"/>
          <w:cols w:equalWidth="0" w:num="2">
            <w:col w:w="7360" w:space="720"/>
            <w:col w:w="3140"/>
          </w:cols>
          <w:pgMar w:left="320" w:top="1205"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4" w:lineRule="exact"/>
        <w:rPr>
          <w:sz w:val="24"/>
          <w:szCs w:val="24"/>
          <w:color w:val="auto"/>
        </w:rPr>
      </w:pPr>
    </w:p>
    <w:p>
      <w:pPr>
        <w:sectPr>
          <w:pgSz w:w="11900" w:h="16838" w:orient="portrait"/>
          <w:cols w:equalWidth="0" w:num="2">
            <w:col w:w="7140" w:space="720"/>
            <w:col w:w="3360"/>
          </w:cols>
          <w:pgMar w:left="320" w:top="1205"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1700 Owens Street, Suite 205</w:t>
      </w: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San Francisco, CA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94158</w:t>
      </w:r>
    </w:p>
    <w:p>
      <w:pPr>
        <w:spacing w:after="0" w:line="68" w:lineRule="exact"/>
        <w:rPr>
          <w:sz w:val="24"/>
          <w:szCs w:val="24"/>
          <w:color w:val="auto"/>
        </w:rPr>
      </w:pPr>
    </w:p>
    <w:p>
      <w:pPr>
        <w:sectPr>
          <w:pgSz w:w="11900" w:h="16838" w:orient="portrait"/>
          <w:cols w:equalWidth="0" w:num="2">
            <w:col w:w="7540" w:space="720"/>
            <w:col w:w="2960"/>
          </w:cols>
          <w:pgMar w:left="320" w:top="1205"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1" w:lineRule="exact"/>
        <w:rPr>
          <w:sz w:val="24"/>
          <w:szCs w:val="24"/>
          <w:color w:val="auto"/>
        </w:rPr>
      </w:pPr>
    </w:p>
    <w:p>
      <w:pPr>
        <w:sectPr>
          <w:pgSz w:w="11900" w:h="16838" w:orient="portrait"/>
          <w:cols w:equalWidth="0" w:num="2">
            <w:col w:w="7380" w:space="720"/>
            <w:col w:w="3120"/>
          </w:cols>
          <w:pgMar w:left="320" w:top="1205"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660-5320</w:t>
      </w:r>
    </w:p>
    <w:p>
      <w:pPr>
        <w:ind w:left="450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00" w:type="dxa"/>
            <w:vAlign w:val="bottom"/>
          </w:tcPr>
          <w:p>
            <w:pPr>
              <w:spacing w:after="0"/>
              <w:rPr>
                <w:sz w:val="16"/>
                <w:szCs w:val="16"/>
                <w:color w:val="auto"/>
              </w:rPr>
            </w:pPr>
          </w:p>
        </w:tc>
      </w:tr>
      <w:tr>
        <w:trPr>
          <w:trHeight w:val="23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8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NRIX</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42" w:lineRule="exact"/>
        <w:rPr>
          <w:sz w:val="24"/>
          <w:szCs w:val="24"/>
          <w:color w:val="auto"/>
        </w:rPr>
      </w:pPr>
    </w:p>
    <w:p>
      <w:pPr>
        <w:ind w:right="3600"/>
        <w:spacing w:after="0" w:line="311"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rPr>
              <w:t>o</w:t>
            </w:r>
          </w:p>
        </w:tc>
        <w:tc>
          <w:tcPr>
            <w:tcW w:w="35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Accelerated filer</w:t>
            </w:r>
          </w:p>
        </w:tc>
        <w:tc>
          <w:tcPr>
            <w:tcW w:w="1440" w:type="dxa"/>
            <w:vAlign w:val="bottom"/>
          </w:tcPr>
          <w:p>
            <w:pPr>
              <w:ind w:left="1300"/>
              <w:spacing w:after="0"/>
              <w:rPr>
                <w:sz w:val="20"/>
                <w:szCs w:val="20"/>
                <w:color w:val="auto"/>
              </w:rPr>
            </w:pPr>
            <w:r>
              <w:rPr>
                <w:rFonts w:ascii="Wingdings" w:cs="Wingdings" w:eastAsia="Wingdings" w:hAnsi="Wingdings"/>
                <w:sz w:val="14"/>
                <w:szCs w:val="14"/>
                <w:b w:val="1"/>
                <w:bCs w:val="1"/>
                <w:color w:val="auto"/>
                <w:highlight w:val="black"/>
                <w:w w:val="95"/>
              </w:rPr>
              <w:t>o</w:t>
            </w: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1260"/>
              <w:spacing w:after="0"/>
              <w:rPr>
                <w:sz w:val="20"/>
                <w:szCs w:val="20"/>
                <w:color w:val="auto"/>
              </w:rPr>
            </w:pPr>
            <w:r>
              <w:rPr>
                <w:rFonts w:ascii="Wingdings" w:cs="Wingdings" w:eastAsia="Wingdings" w:hAnsi="Wingdings"/>
                <w:sz w:val="14"/>
                <w:szCs w:val="14"/>
                <w:b w:val="1"/>
                <w:bCs w:val="1"/>
                <w:color w:val="auto"/>
                <w:highlight w:val="black"/>
              </w:rPr>
              <w:t>x</w:t>
            </w:r>
          </w:p>
        </w:tc>
        <w:tc>
          <w:tcPr>
            <w:tcW w:w="35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4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w w:val="94"/>
              </w:rPr>
              <w:t>x</w:t>
            </w: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08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rPr>
              <w:t>o</w:t>
            </w:r>
          </w:p>
        </w:tc>
        <w:tc>
          <w:tcPr>
            <w:tcW w:w="352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109"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42"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jc w:val="both"/>
        <w:ind w:right="140"/>
        <w:spacing w:after="0" w:line="243"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the Registrant’s common stock on May 31, 2023 (the last business day of the Registrant’s most recently completed second fiscal quarter) as reported by the Nasdaq Global Market on such date was approximately $470.8 million. This calculation does not reflect 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determination that certain persons are affiliates of the Registrant for any other purpose.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5, 2024, the Registrant had 48,894,084 shares of common stock, $0.001 par value per share, outstanding.</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7" w:lineRule="exact"/>
        <w:rPr>
          <w:sz w:val="24"/>
          <w:szCs w:val="24"/>
          <w:color w:val="auto"/>
        </w:rPr>
      </w:pPr>
    </w:p>
    <w:p>
      <w:pPr>
        <w:jc w:val="both"/>
        <w:ind w:right="120"/>
        <w:spacing w:after="0" w:line="234"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to be filed in connection with the Registrant’s 2024 Annual Meeting of Stockholders are incorporated by reference into Part III of this Annual Report on Form 10-K where indicated. Such definitive Proxy Statement will be filed with the Securities and Exchange Commission pursuant to Regulation 14A within 120 days of the Registrant’s fiscal year ended November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8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00" w:type="dxa"/>
            <w:vAlign w:val="bottom"/>
            <w:gridSpan w:val="2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1B.</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000" w:type="dxa"/>
            <w:vAlign w:val="bottom"/>
            <w:gridSpan w:val="1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40" w:type="dxa"/>
            <w:vAlign w:val="bottom"/>
            <w:gridSpan w:val="1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00" w:type="dxa"/>
            <w:vAlign w:val="bottom"/>
            <w:gridSpan w:val="1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50"/>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8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8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8.</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6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9A.</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72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0"/>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10.</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0"/>
                <w:szCs w:val="20"/>
                <w:color w:val="auto"/>
              </w:rPr>
            </w:pPr>
          </w:p>
        </w:tc>
        <w:tc>
          <w:tcPr>
            <w:tcW w:w="496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12.</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6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6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5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053"/>
        </w:trPr>
        <w:tc>
          <w:tcPr>
            <w:tcW w:w="13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1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08"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82" w:lineRule="exact"/>
        <w:rPr>
          <w:sz w:val="20"/>
          <w:szCs w:val="20"/>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NX-5948, NX-2127 and NX-1607 and other drug candidates, including statements regarding the timing of data and anticipated announcements, the selection of new development candidates and the initiation of clinical trials;</w:t>
      </w:r>
    </w:p>
    <w:p>
      <w:pPr>
        <w:spacing w:after="0" w:line="82"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NX-5948, NX-2127 and NX-1607 and other drug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DELigase platform, our drug candidates and Degrader-Antibody Conjugates (DACs);</w:t>
      </w:r>
    </w:p>
    <w:p>
      <w:pPr>
        <w:spacing w:after="0" w:line="1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our DELigase platform, protein degradation, antibody-drug conjugation, and DACs may potentially address a broad range of diseases;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Gilead Sciences, Inc., Sanofi S.A. and Seagen Inc. (now a part of Pfizer Inc.);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global business, political and macroeconomic conditions, including inflation, increasing interest rates and volatile market conditions, uncertainty with respect to the federal budget and debt ceiling and potential government shutdowns related thereto, cybersecurity events, instability in the global banking system, and global events, including regional conflicts around the world, on our business, clinical trials, financial condition, liquidity and results of operations;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4" w:lineRule="exact"/>
        <w:rPr>
          <w:sz w:val="20"/>
          <w:szCs w:val="20"/>
          <w:color w:val="auto"/>
        </w:rPr>
      </w:pPr>
    </w:p>
    <w:p>
      <w:pPr>
        <w:ind w:right="20" w:firstLine="648"/>
        <w:spacing w:after="0" w:line="212" w:lineRule="exact"/>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update publicly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68" w:lineRule="exact"/>
        <w:rPr>
          <w:sz w:val="20"/>
          <w:szCs w:val="20"/>
          <w:color w:val="auto"/>
        </w:rPr>
      </w:pPr>
    </w:p>
    <w:p>
      <w:pPr>
        <w:ind w:left="660" w:right="2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4" w:lineRule="exact"/>
        <w:rPr>
          <w:rFonts w:ascii="Times New Roman" w:cs="Times New Roman" w:eastAsia="Times New Roman" w:hAnsi="Times New Roman"/>
          <w:sz w:val="18"/>
          <w:szCs w:val="18"/>
          <w:color w:val="auto"/>
        </w:rPr>
      </w:pPr>
    </w:p>
    <w:p>
      <w:pPr>
        <w:ind w:left="660" w:right="10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and any collaborators, to obtain marketing approval of and commercialize our drug candidates and affect the prices we, or they, may obtain.</w:t>
      </w:r>
    </w:p>
    <w:p>
      <w:pPr>
        <w:spacing w:after="0" w:line="40" w:lineRule="exact"/>
        <w:rPr>
          <w:rFonts w:ascii="Times New Roman" w:cs="Times New Roman" w:eastAsia="Times New Roman" w:hAnsi="Times New Roman"/>
          <w:sz w:val="18"/>
          <w:szCs w:val="18"/>
          <w:color w:val="auto"/>
        </w:rPr>
      </w:pPr>
    </w:p>
    <w:p>
      <w:pPr>
        <w:ind w:left="660" w:right="70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0"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6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8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82"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4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9"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stock price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 w:name="page5"/>
    <w:bookmarkEnd w:id="4"/>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7"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200" w:lineRule="exact"/>
        <w:rPr>
          <w:sz w:val="20"/>
          <w:szCs w:val="20"/>
          <w:color w:val="auto"/>
        </w:rPr>
      </w:pPr>
    </w:p>
    <w:p>
      <w:pPr>
        <w:spacing w:after="0" w:line="354"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8"/>
          </w:cols>
          <w:pgMar w:left="652" w:top="1039" w:right="67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When used in this report, unless otherwise indicated, “Nurix,” “Company,” “we,” “us” and “our” refers to Nurix Therapeutics, Inc. and its wholly owned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Development Pipeline</w:t>
      </w:r>
    </w:p>
    <w:p>
      <w:pPr>
        <w:spacing w:after="0" w:line="12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wholly owned pipeline of Targeted Protein Modulation (TPM) drug candidates comprises three clinical stage programs in our Targeted Protein Degradation (TPD) and Targeted Protein Elevation (TPE) portfolios. These two portfolios demonstrate our ability to either decrease or increase protein levels in cells through the modulation of E3 ligases. The following chart summarizes our clinical pipeline and ongoing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16510</wp:posOffset>
            </wp:positionV>
            <wp:extent cx="5657850" cy="258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MOA</w:t>
      </w:r>
      <w:r>
        <w:rPr>
          <w:rFonts w:ascii="Times New Roman" w:cs="Times New Roman" w:eastAsia="Times New Roman" w:hAnsi="Times New Roman"/>
          <w:sz w:val="11"/>
          <w:szCs w:val="11"/>
          <w:color w:val="auto"/>
        </w:rPr>
        <w:t>, mechanism of action;</w:t>
      </w:r>
      <w:r>
        <w:rPr>
          <w:rFonts w:ascii="Times New Roman" w:cs="Times New Roman" w:eastAsia="Times New Roman" w:hAnsi="Times New Roman"/>
          <w:sz w:val="11"/>
          <w:szCs w:val="11"/>
          <w:b w:val="1"/>
          <w:bCs w:val="1"/>
          <w:color w:val="auto"/>
        </w:rPr>
        <w:t xml:space="preserve"> IND</w:t>
      </w:r>
      <w:r>
        <w:rPr>
          <w:rFonts w:ascii="Times New Roman" w:cs="Times New Roman" w:eastAsia="Times New Roman" w:hAnsi="Times New Roman"/>
          <w:sz w:val="11"/>
          <w:szCs w:val="11"/>
          <w:color w:val="auto"/>
        </w:rPr>
        <w:t>, investigational new drug;</w:t>
      </w:r>
      <w:r>
        <w:rPr>
          <w:rFonts w:ascii="Times New Roman" w:cs="Times New Roman" w:eastAsia="Times New Roman" w:hAnsi="Times New Roman"/>
          <w:sz w:val="11"/>
          <w:szCs w:val="11"/>
          <w:b w:val="1"/>
          <w:bCs w:val="1"/>
          <w:color w:val="auto"/>
        </w:rPr>
        <w:t xml:space="preserve"> DAC</w:t>
      </w:r>
      <w:r>
        <w:rPr>
          <w:rFonts w:ascii="Times New Roman" w:cs="Times New Roman" w:eastAsia="Times New Roman" w:hAnsi="Times New Roman"/>
          <w:sz w:val="11"/>
          <w:szCs w:val="11"/>
          <w:color w:val="auto"/>
        </w:rPr>
        <w:t>, degrader-antibody conjugates;</w:t>
      </w:r>
      <w:r>
        <w:rPr>
          <w:rFonts w:ascii="Times New Roman" w:cs="Times New Roman" w:eastAsia="Times New Roman" w:hAnsi="Times New Roman"/>
          <w:sz w:val="11"/>
          <w:szCs w:val="11"/>
          <w:b w:val="1"/>
          <w:bCs w:val="1"/>
          <w:color w:val="auto"/>
        </w:rPr>
        <w:t xml:space="preserve"> I&amp;I</w:t>
      </w:r>
      <w:r>
        <w:rPr>
          <w:rFonts w:ascii="Times New Roman" w:cs="Times New Roman" w:eastAsia="Times New Roman" w:hAnsi="Times New Roman"/>
          <w:sz w:val="11"/>
          <w:szCs w:val="11"/>
          <w:color w:val="auto"/>
        </w:rPr>
        <w:t>, inflammation and immunology</w:t>
      </w:r>
    </w:p>
    <w:p>
      <w:pPr>
        <w:spacing w:after="0" w:line="200" w:lineRule="exact"/>
        <w:rPr>
          <w:sz w:val="20"/>
          <w:szCs w:val="20"/>
          <w:color w:val="auto"/>
        </w:rPr>
      </w:pPr>
    </w:p>
    <w:p>
      <w:pPr>
        <w:spacing w:after="0" w:line="4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w:t>
      </w:r>
    </w:p>
    <w:p>
      <w:pPr>
        <w:spacing w:after="0" w:line="80" w:lineRule="exact"/>
        <w:rPr>
          <w:sz w:val="20"/>
          <w:szCs w:val="20"/>
          <w:color w:val="auto"/>
        </w:rPr>
      </w:pPr>
    </w:p>
    <w:p>
      <w:pPr>
        <w:jc w:val="both"/>
        <w:ind w:right="80" w:firstLine="648"/>
        <w:spacing w:after="0" w:line="240" w:lineRule="exact"/>
        <w:rPr>
          <w:sz w:val="20"/>
          <w:szCs w:val="20"/>
          <w:color w:val="auto"/>
        </w:rPr>
      </w:pPr>
      <w:r>
        <w:rPr>
          <w:rFonts w:ascii="Times New Roman" w:cs="Times New Roman" w:eastAsia="Times New Roman" w:hAnsi="Times New Roman"/>
          <w:sz w:val="18"/>
          <w:szCs w:val="18"/>
          <w:color w:val="auto"/>
        </w:rPr>
        <w:t>Our portfolio of targeted protein degraders of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orally bioavailable BTK degrader for the treatment of relapsed or refractory B-cell malignancies and potentially autoimmune diseases,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orally bioavailable BTK degrader that also degrades cereblon neosubstrates IKZF1 (Ikaros) and IKZF3 (Aiolos)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w:t>
      </w:r>
    </w:p>
    <w:p>
      <w:pPr>
        <w:spacing w:after="0" w:line="5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NX-5948: We are currently treating patients in a Phase 1a/1b dose-escalation and cohort expansion study in patients with relapsed or refractory B-cell malignancies. In January 2024, the U.S. Food and Drug Administration (FDA) granted Fast Track designation for NX-5948 for the treatment of adult patients with relapsed or refractory chronic lymphocytic leukemia (CLL) or small lymphocytic lymphoma (SLL) after at least two lines of therapy, including a BTK inhibitor (BTKi) and a B-cell lymphoma 2 (BCL2) inhibitor.</w:t>
      </w:r>
    </w:p>
    <w:p>
      <w:pPr>
        <w:spacing w:after="0" w:line="28" w:lineRule="exact"/>
        <w:rPr>
          <w:sz w:val="20"/>
          <w:szCs w:val="20"/>
          <w:color w:val="auto"/>
        </w:rPr>
      </w:pPr>
    </w:p>
    <w:p>
      <w:pPr>
        <w:ind w:right="20" w:firstLine="648"/>
        <w:spacing w:after="0" w:line="224"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treating patients in a Phase 1a/1b dose-escalation and cohort expansion study of NX-2127 in patients with relapsed or refractory B-cell malignancies. We have initiated Phase 1b expansion cohorts for patients with relapsed CLL, diffuse large B-cell lymphoma (DLBCL) and mantle cell lymphoma (MCL). Enrollment of new patients in this clinical trial is paused pending resolution of a partial clinical hold, which was implemented by the FDA in late October 2023. Patients already enrolled who are receiving clinical benefit may continue treatment.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Elevation</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targeted protein elevation program includes NX-1607, an orally bioavailable an inhibitor of CBL-B, an E3 ligase that regulates the activation of multiple immune cell types including T cells and NK cells. NX-1607 is targeted for immuno-oncology indications.</w:t>
      </w:r>
    </w:p>
    <w:p>
      <w:pPr>
        <w:spacing w:after="0" w:line="5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currently treating patients in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NX-1607 was awarded an Innovative Passport from the UK Medicines and Healthcare products Regulatory Agency to accelerate time to market and facilitate patient access to novel drugs to treat serious and life-threatening diseases.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Pipeline</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clinical stage drug candidates, we are extending our protein modulation portfolio, both on our own and with partners by developing new targeted protein degraders and ligase inhibitors for a number of targets for which we believe the protein modulation modality can be clinically advantageous over existing therapies. These existing and future programs may have the potential to address diseases with significant unmet need, including cancer, autoimmunity, inflammation, and other challenging diseases.</w:t>
      </w:r>
    </w:p>
    <w:p>
      <w:pPr>
        <w:spacing w:after="0" w:line="6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have entered into several revenue generating collaborations with large biopharmaceutical companies, including with Gilead, Sanofi and Seagen (now a part of Pfizer), to leverage our DELigase platform for drug discovery. These collaborations allow us to further advance our future pipeline with multiple currently identified targets included in these collaborations. In aggregate, we have received $413.0 million in non-dilutive financing from our collaborators to date, and as of November 30, 2023, we are eligible to receive up to $8.1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strategy is to leverage our DELigase platform to discover breakthrough therapies to not only improve upon existing drugs, but also address targets that are thought to be undruggable with current modalities. The key elements of our strategy are to:</w:t>
      </w:r>
    </w:p>
    <w:p>
      <w:pPr>
        <w:spacing w:after="0" w:line="36" w:lineRule="exact"/>
        <w:rPr>
          <w:sz w:val="20"/>
          <w:szCs w:val="20"/>
          <w:color w:val="auto"/>
        </w:rPr>
      </w:pPr>
    </w:p>
    <w:p>
      <w:pPr>
        <w:ind w:left="660" w:right="340" w:hanging="328"/>
        <w:spacing w:after="0" w:line="27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our lead programs through clinical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three drug candidates in Phase 1 clinical development and anticipate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advancements in 2024.</w:t>
      </w:r>
    </w:p>
    <w:p>
      <w:pPr>
        <w:spacing w:after="0" w:line="59" w:lineRule="exact"/>
        <w:rPr>
          <w:rFonts w:ascii="Times New Roman" w:cs="Times New Roman" w:eastAsia="Times New Roman" w:hAnsi="Times New Roman"/>
          <w:sz w:val="18"/>
          <w:szCs w:val="18"/>
          <w:color w:val="auto"/>
        </w:rPr>
      </w:pPr>
    </w:p>
    <w:p>
      <w:pPr>
        <w:ind w:left="1300" w:right="180" w:hanging="320"/>
        <w:spacing w:after="0" w:line="246" w:lineRule="auto"/>
        <w:tabs>
          <w:tab w:leader="none" w:pos="12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NX-5948. </w:t>
      </w:r>
      <w:r>
        <w:rPr>
          <w:rFonts w:ascii="Times New Roman" w:cs="Times New Roman" w:eastAsia="Times New Roman" w:hAnsi="Times New Roman"/>
          <w:sz w:val="18"/>
          <w:szCs w:val="18"/>
          <w:color w:val="auto"/>
        </w:rPr>
        <w:t>Enrollment is ongoing in our Phase 1a/1b clinical trial of NX-5948 in adults with relapsed or refractory B-cell malignancies,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CLL. In 2024, we seek to define doses for Phase 1b cohort expansion in CLL and NHL and accelerate Phase 1 clinical trial enrollment to enable pivotal trials. We plan to present additional clinical data with higher dose levels and longer treatment duration in mid-2024.</w:t>
      </w: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7" w:name="page8"/>
    <w:bookmarkEnd w:id="7"/>
    <w:p>
      <w:pPr>
        <w:ind w:left="1300" w:hanging="320"/>
        <w:spacing w:after="0" w:line="247"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NX-2127. </w:t>
      </w:r>
      <w:r>
        <w:rPr>
          <w:rFonts w:ascii="Times New Roman" w:cs="Times New Roman" w:eastAsia="Times New Roman" w:hAnsi="Times New Roman"/>
          <w:sz w:val="18"/>
          <w:szCs w:val="18"/>
          <w:color w:val="auto"/>
        </w:rPr>
        <w:t>Screening and enrollment of new patients in our Phase 1a/1b clinical trial of NX-2127 in adults with relapsed or refractory B-cell malignancies have been paused due to a partial clinical hold placed on the study by the FDA. Patients currently enrolled in the clinical study who are deriving clinical benefit may continue to receive treatment in accordance with the ongoing study protocol. In 2024, we expect to resolve the partial clinical hold to enable the introduction of newly manufactured drug product into the ongoing Phase 1 clinical trial.</w:t>
      </w:r>
    </w:p>
    <w:p>
      <w:pPr>
        <w:spacing w:after="0" w:line="82" w:lineRule="exact"/>
        <w:rPr>
          <w:rFonts w:ascii="Times New Roman" w:cs="Times New Roman" w:eastAsia="Times New Roman" w:hAnsi="Times New Roman"/>
          <w:sz w:val="18"/>
          <w:szCs w:val="18"/>
          <w:color w:val="auto"/>
        </w:rPr>
      </w:pPr>
    </w:p>
    <w:p>
      <w:pPr>
        <w:ind w:left="1300" w:right="40" w:hanging="320"/>
        <w:spacing w:after="0" w:line="301" w:lineRule="auto"/>
        <w:tabs>
          <w:tab w:leader="none" w:pos="129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NX-1607. </w:t>
      </w:r>
      <w:r>
        <w:rPr>
          <w:rFonts w:ascii="Times New Roman" w:cs="Times New Roman" w:eastAsia="Times New Roman" w:hAnsi="Times New Roman"/>
          <w:sz w:val="17"/>
          <w:szCs w:val="17"/>
          <w:color w:val="auto"/>
        </w:rPr>
        <w:t>Enrollment is ongoing in our Phase 1 trial for NX-1607 in adults with a range of oncology indications. In 2024, we expect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 data from the Phase 1a dose escalation portion of the trial of NX-1607 and to define dose(s) to enable Phase 1b cohort expansion.</w:t>
      </w:r>
    </w:p>
    <w:p>
      <w:pPr>
        <w:spacing w:after="0" w:line="22" w:lineRule="exact"/>
        <w:rPr>
          <w:rFonts w:ascii="Times New Roman" w:cs="Times New Roman" w:eastAsia="Times New Roman" w:hAnsi="Times New Roman"/>
          <w:sz w:val="17"/>
          <w:szCs w:val="17"/>
          <w:color w:val="auto"/>
        </w:rPr>
      </w:pPr>
    </w:p>
    <w:p>
      <w:pPr>
        <w:ind w:left="660" w:right="80" w:hanging="328"/>
        <w:spacing w:after="0" w:line="25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our portfolio of preclinical programs to generate development candidates for our partners and our proprietary pipeline. </w:t>
      </w:r>
      <w:r>
        <w:rPr>
          <w:rFonts w:ascii="Times New Roman" w:cs="Times New Roman" w:eastAsia="Times New Roman" w:hAnsi="Times New Roman"/>
          <w:sz w:val="18"/>
          <w:szCs w:val="18"/>
          <w:color w:val="auto"/>
        </w:rPr>
        <w:t>Our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efforts are largely focused on the advancement of multiple programs for our partners Gilead, Sanofi, and Pfizer and for our proprietary pipeline. These partnered and wholly owned programs are at various stages of DNA-encoded library (DEL) screening, lead optimization and preclinical research. We aim to advance at least one program to the development candidate stage in 2024.</w:t>
      </w:r>
    </w:p>
    <w:p>
      <w:pPr>
        <w:spacing w:after="0" w:line="75" w:lineRule="exact"/>
        <w:rPr>
          <w:rFonts w:ascii="Times New Roman" w:cs="Times New Roman" w:eastAsia="Times New Roman" w:hAnsi="Times New Roman"/>
          <w:sz w:val="18"/>
          <w:szCs w:val="18"/>
          <w:color w:val="auto"/>
        </w:rPr>
      </w:pPr>
    </w:p>
    <w:p>
      <w:pPr>
        <w:ind w:left="660" w:right="40" w:hanging="328"/>
        <w:spacing w:after="0" w:line="24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Enhance and refine our DELigase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Protein Modulation is a rapidly emerging therapeutic modality that can provide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advantages over existing modalities. Our proprietary DELigase platform enables us to advance an industry-leading approach to either selectively decrease or increase protein levels. We intend to continue to invest resources in our research and development activities to enhance our DELigase platform both in terms of the number of ligases available for drug discovery and the scale of our DEL collection. We plan to continue to leverage our platform capabilities to further enhance our position as a leader in the promising field of protein modulation.</w:t>
      </w:r>
    </w:p>
    <w:p>
      <w:pPr>
        <w:spacing w:after="0" w:line="68" w:lineRule="exact"/>
        <w:rPr>
          <w:rFonts w:ascii="Times New Roman" w:cs="Times New Roman" w:eastAsia="Times New Roman" w:hAnsi="Times New Roman"/>
          <w:sz w:val="18"/>
          <w:szCs w:val="18"/>
          <w:color w:val="auto"/>
        </w:rPr>
      </w:pPr>
    </w:p>
    <w:p>
      <w:pPr>
        <w:ind w:left="660" w:right="40" w:hanging="328"/>
        <w:spacing w:after="0" w:line="24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Explore additional strategic collaborations to maximize the commercial potential of our DELigase platform and our drug candidates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$413.0 million in non-dilutive funding to date from our collaborations to support our research and development activities and to create new targeted protein modulation drugs with our partners. Under our Gilead, Sanofi and Pfizer collaborations, as of November 30, 2023, we have the opportunity to receive up to $8.1 billion in potential future fees and milestone payments, as well as royalties on future sales while retaining certain commercialization options. We currently retain worldwide development and commercialization rights to our BTK and CBL-B portfolios. While we intend to become a fully integrated biopharmaceutical company and build a targeted sales force in the United States to support the commercialization of our drug candidates, if approved, we intend to selectively evaluate technology collaborations and commercialization partnerships for our drug candidates with partners whose capabilities complement our own while retaining meaningful commercial rights in key geographic territories.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Targeted Protein Modulation</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disease settings where currently available treatments are limited by suboptimal efficacy or safety, or where relevant protein targets are not druggable by conventional means, we believe targeted protein modulation represents a novel treatment paradigm with the potential to improve upon or become the standard of care. Recent advances in the field have highlighted the significant therapeutic potential of harnessing E3 ligases to promote targeted protein degradation. In addition, we believe the largely unexplored area of inhibiting E3 ligases directly to increase protein levels represents an equally promising approach. Using our powerful DELigase platform, we have demonstrated our ability to discover and advance small molecule drug candidates to decrease or increase protein levels by either harnessing or inhibiting the activity of the appropriate E3 ligase, depending on the desired therapeutic effect. We have carefully selected and are advancing over 90 E3 ligases in our DELigase platform, expanding the universe of E3 ligases that can be modulated beyond cereblon and von Hippel-Lindau (VHL), the two predominantly used in the field of targeted protein degradation today. Our DEL collection consists of billions of small molecule compounds used to identify potential binders to ligases and protein targets as critical starting points in our drug discovery process. The differentiation of our protein modulation platform is in its breadth and versatility, enabling us to alter protein levels either upward or downward for both clinically validated targets, such as BTK, and for targets previously thought to be “undruggable;” that is, proteins that could not be addressed by conventional pharmacological means, such as CBL-B.</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Proteins as targets in treating disease</w:t>
      </w:r>
    </w:p>
    <w:p>
      <w:pPr>
        <w:spacing w:after="0" w:line="12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Each cell type within the body is comprised of proteins that define its biochemistry and biological function. When proteins are expressed and regulated correctly, the health of each individual cell as well as the body as a whole is maintained. However, disease can occur when normal cellular processes are dysregulated as a result of changes in protein structure, function, expression levels or pathway regulation. Factors such as genetic mutations, infection, exposure to toxins, diet and behavior can lead to dysregulation of cellular processes and, if unchecked, a disease process.</w:t>
      </w:r>
    </w:p>
    <w:p>
      <w:pPr>
        <w:spacing w:after="0" w:line="200" w:lineRule="exact"/>
        <w:rPr>
          <w:sz w:val="20"/>
          <w:szCs w:val="20"/>
          <w:color w:val="auto"/>
        </w:rPr>
      </w:pPr>
    </w:p>
    <w:p>
      <w:pPr>
        <w:spacing w:after="0" w:line="36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 w:name="page9"/>
    <w:bookmarkEnd w:id="8"/>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traditional approach to discovering treatments for disease has involved the development of small molecule drugs that bind to a protein’s surface and modulate its activity. These “druggable” proteins contain distinct structural features that mediate protein function called active sites which can be exploited when identifying and optimizing compounds that disrupt protein activity. However, the vast majority of the body’s proteins do not have distinct active sites that can be targeted using traditional discovery methods. Because dysregulation and disease are not restricted to these “druggable” proteins, a significant number of therapeutically relevant proteins have not been addressed by traditional small molecule drugs. Other modalities, including antibody and protein-based therapies, genetic medicines and cell therapies, have emerged to address these issues but are still limited by their modes of delivery, their scalability and their therapeutic applications.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Leveraging E3 ligases and the ubiquitin proteasome system as a new treatment modality</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Normal cellular physiology requires highly orchestrated and regulated processes that operate at the level of individual proteins. The ability of proteins to respond to stimuli quickly and in a coordinated fashion requires protein function to be readily controllable. One of the most exquisitely ordered cellular systems governing cellular proteins is the ubiquitin proteasome system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50800</wp:posOffset>
            </wp:positionV>
            <wp:extent cx="4114800" cy="138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As depicted above, the UPS is responsible for regulating and maintaining normal protein levels in the cell. An important class of enzymes called E3 ligases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 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Modulating protein levels through small molecule therapeutics targeting E3 ligases</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Advances in our understanding of the UPS suggest broad potential for the development of new therapies that modulate E3 ligases in the context of diseases such as cancer and autoimmune disorders. An example are the so-called immunomodulatory drugs, Revlimid (lenalidomide) and Pomalyst (pomalidomide), which are approved cancer drugs. These drugs exert their therapeutic effects by targeting the E3 ligase cereblon and redirecting its activity toward proteins it would not normally degrade such as Ikaros and Aiolos (also known as IKZF1 and IKZF3), transcription factors regulating immune cell function. Elucidation of this mechanism led to the recognition that pharmacological control of E3 ligase activity could more generally represent a promising new paradigm for small molecule drug action. This idea has since translated into the development of targeted protein degraders, which we believe have significant therapeutic potential. In addition, the largely unexplored area of inhibiting E3 ligases directly to increase cellular protein levels, which we call Targeted Protein Elevation, may represent an equally promising approach.</w:t>
      </w:r>
    </w:p>
    <w:p>
      <w:pPr>
        <w:spacing w:after="0" w:line="7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Targeted Protein Modulation is the term we use to describe our ability to either decrease target protein levels by harnessing E3 ligases for targeted protein degradation or increase protein levels through the inhibition of E3 ligases for targeted protein elevation.</w:t>
      </w:r>
    </w:p>
    <w:p>
      <w:pPr>
        <w:spacing w:after="0" w:line="64" w:lineRule="exact"/>
        <w:rPr>
          <w:sz w:val="20"/>
          <w:szCs w:val="20"/>
          <w:color w:val="auto"/>
        </w:rPr>
      </w:pPr>
    </w:p>
    <w:p>
      <w:pPr>
        <w:ind w:left="660" w:hanging="328"/>
        <w:spacing w:after="0" w:line="24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Targeted Protein Degradation (Harnessing E3 ligases). </w:t>
      </w:r>
      <w:r>
        <w:rPr>
          <w:rFonts w:ascii="Times New Roman" w:cs="Times New Roman" w:eastAsia="Times New Roman" w:hAnsi="Times New Roman"/>
          <w:sz w:val="18"/>
          <w:szCs w:val="18"/>
          <w:color w:val="auto"/>
        </w:rPr>
        <w:t>Targeted protein degradation harnesses the natural activity of ligases to remove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proteins from the cell. Targeted protein degradation is accomplished by using bifunctional small molecules, which are composed of an E3 ligase binding element, or harness, linked to a target protein binding element. Unlike traditional small molecule inhibition, targeted protein degradation is catalytic whereby one molecule can induce the degradation of multiple copies of the protein target, enabling the efficient elimination of cellular proteins. In addition, since the effect is mediated through the binding of a small molecule drug rather than through functional inhibition, proteins lacking active sites are potentially targetable, greatly expanding the spectrum of both proteins and diseases amenable to small molecule therapeutic intervention</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ind w:left="660" w:right="140" w:hanging="328"/>
        <w:spacing w:after="0" w:line="24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Targeted Protein Elevation (Inhibiting E3 ligases). </w:t>
      </w:r>
      <w:r>
        <w:rPr>
          <w:rFonts w:ascii="Times New Roman" w:cs="Times New Roman" w:eastAsia="Times New Roman" w:hAnsi="Times New Roman"/>
          <w:sz w:val="18"/>
          <w:szCs w:val="18"/>
          <w:color w:val="auto"/>
        </w:rPr>
        <w:t>By inhibiting the function of E3 ligases in targeted protein elevation, it is possible to rapidly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specific protein levels to control biological pathways. Increasing the levels of distinct sets of proteins could be a powerful approach to blocking pathological processes and restoring normal physiology. While there is enthusiasm in the scientific community around the therapeutic potential of E3 ligase inhibition, the discovery of such inhibitors has been impeded by the limited understanding of this biochemically and structurally complex class of proteins.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Modulation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19685</wp:posOffset>
            </wp:positionV>
            <wp:extent cx="4937760" cy="2160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3776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We believe that targeting E3 ligases to modulate protein levels represents a new therapeutic frontier that retains the favorable attributes of small molecule treatment modalities while addressing some major limitations. In addition to the points above, we believe other key differentiating attributes of our treatment modality include:</w:t>
      </w:r>
    </w:p>
    <w:p>
      <w:pPr>
        <w:spacing w:after="0" w:line="57" w:lineRule="exact"/>
        <w:rPr>
          <w:sz w:val="20"/>
          <w:szCs w:val="20"/>
          <w:color w:val="auto"/>
        </w:rPr>
      </w:pPr>
    </w:p>
    <w:p>
      <w:pPr>
        <w:ind w:left="660" w:right="2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Expansive therapeutic potential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UPS and its associated E3 ligases function across the majority of cell types and organ systems, making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to modulate virtually any protein of interest for a wide range of diseases.</w:t>
      </w:r>
    </w:p>
    <w:p>
      <w:pPr>
        <w:spacing w:after="0" w:line="33" w:lineRule="exact"/>
        <w:rPr>
          <w:rFonts w:ascii="Times New Roman" w:cs="Times New Roman" w:eastAsia="Times New Roman" w:hAnsi="Times New Roman"/>
          <w:sz w:val="18"/>
          <w:szCs w:val="18"/>
          <w:color w:val="auto"/>
        </w:rPr>
      </w:pPr>
    </w:p>
    <w:p>
      <w:pPr>
        <w:ind w:left="660" w:right="140" w:hanging="328"/>
        <w:spacing w:after="0" w:line="27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Deliverable and tunable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Oral delivery of small molecule compounds lends itself to broad medical applicability in a range of patient populations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delivery that may be readily calibrated through dosing schedule and quantity.</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Ease of manufacturing</w:t>
      </w:r>
      <w:r>
        <w:rPr>
          <w:rFonts w:ascii="Times New Roman" w:cs="Times New Roman" w:eastAsia="Times New Roman" w:hAnsi="Times New Roman"/>
          <w:sz w:val="17"/>
          <w:szCs w:val="17"/>
          <w:color w:val="auto"/>
        </w:rPr>
        <w:t>. Development and manufacturing of small molecules utilizes established, cost-efficient processes that are readily scalable.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2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Our targeted protein degradation portfolio includes two clinical stage drug candidates that catalyze potent degradation of BTK, a well validated target for B-cell malignancies. Our two BTK degrader drug candidates, NX-5948 and NX-2127, are oral drug candidates being evaluated for the treatment of relapsed or refractory B-cell malignancies including CLL and non-Hodgkin’s lymphoma (NHL). NX-5948 is designed to solely degrade BTK, and NX-2127 is designed to degrade BTK and the immunomodulatory substrates of Ikaros and Aiolos. NX-5948 has the potential to address B-cell mediated autoimmune indications due to its specificity for BTK, and neurologic autoimmune indications due to its ability to cross the blood brain barrier.</w:t>
      </w:r>
    </w:p>
    <w:p>
      <w:pPr>
        <w:spacing w:after="0" w:line="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preclinical studies and in patient-derived samples, we have demonstrated the ability of both NX-5948 and NX-2127 to degrade BTK in cells harboring either wild type BTK or a variety of clinically relevant mutant forms of BTK that are known to confer resistance to both currently marketed BTK inhibitors and next-generation BTK inhibitors in late-stage development. Based on our preclinical and clinical data, we believe that both NX-5948 and NX-2127 have the potential to demonstrate unique and improved clinical benefit over the current standard-of-care in multiple oncology indications.</w:t>
      </w:r>
    </w:p>
    <w:p>
      <w:pPr>
        <w:spacing w:after="0" w:line="69" w:lineRule="exact"/>
        <w:rPr>
          <w:sz w:val="20"/>
          <w:szCs w:val="20"/>
          <w:color w:val="auto"/>
        </w:rPr>
      </w:pPr>
    </w:p>
    <w:p>
      <w:pPr>
        <w:ind w:right="20" w:firstLine="648"/>
        <w:spacing w:after="0" w:line="213" w:lineRule="exact"/>
        <w:rPr>
          <w:sz w:val="20"/>
          <w:szCs w:val="20"/>
          <w:color w:val="auto"/>
        </w:rPr>
      </w:pPr>
      <w:r>
        <w:rPr>
          <w:rFonts w:ascii="Times New Roman" w:cs="Times New Roman" w:eastAsia="Times New Roman" w:hAnsi="Times New Roman"/>
          <w:sz w:val="18"/>
          <w:szCs w:val="18"/>
          <w:color w:val="auto"/>
        </w:rPr>
        <w:t>Our targeted protein elevation portfolio includes our lead ligase inhibitor NX-1607, an oral, clinical stage small molecule drug candidate that inhibits CBL-B, an intracellular orchestrator of the activation of T cells, B cells and NK cells. In preclinical studies, primary human T cells exposed to NX-1607 demonstrated increased T-cell activation in the absence of co-stimulation with CD3 and CD28, a potential advantage in an immune suppressive tumor microenvironment. In addition, NX-1607 has been shown in preclinical models to increase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proliferation and result in increased secretion of interleukin-2 (IL-2), a key cytokine involved in immune activation. We believe that oral delivery of a CBL-B inhibitor has the potential to drive immune cell activation and stimulation of localized IL-2 secretion, leading to enhanced anti-tumor response across a wide range of oncology indications.</w:t>
      </w:r>
    </w:p>
    <w:p>
      <w:pPr>
        <w:spacing w:after="0" w:line="200" w:lineRule="exact"/>
        <w:rPr>
          <w:sz w:val="20"/>
          <w:szCs w:val="20"/>
          <w:color w:val="auto"/>
        </w:rPr>
      </w:pPr>
    </w:p>
    <w:p>
      <w:pPr>
        <w:spacing w:after="0" w:line="37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 portfolio in clinical trials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have developed two targeted protein degrader drug candidates that are potent degraders of the BTK protein, a clinically validated signaling factor that drives B-cell activation and proliferation. Both of our BTK degraders harness the E3 ligase cereblon. NX-5948 is designed to selectively degrade BTK and has demonstrated the ability to cross the blood brain barrier in animal models and degrade BTK in both brain-resident tumor cells and normal microglia in the brain. NX-2127 was engineered to degrade both BTK and cereblon neosubstrates Ikaros and Aiolos for the treatment of relapsed or refractory B-cell malignancies. In several B-cell malignancy indications, and in particular in certain NHL subtypes, we believe dual activity may provide therapeutic advantages not addressable by pure BTK degraders or inhibitors, that could in turn result in improved outcomes for patients. We are currently treating patients with relapsed or refractory B-cell malignancies in Phase 1 trials for NX-5948 and NX-2127.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BTK’s role in B-cell malignancy</w:t>
      </w:r>
    </w:p>
    <w:p>
      <w:pPr>
        <w:spacing w:after="0" w:line="11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BTK is a key component of the B-cell receptor signaling pathway and has been clinically validated as a target in the treatment of B-cell malignancies, most notably in CLL but also in NHL. In 2022, it was estimated that over 20 thousand patients were diagnosed with CLL and over 80 thousand patients were diagnosed with NHLs in the United States. Approximately 85% of NHLs are a result of B-cell malignancies. The natural progression of NHL varies widely and takes multiple forms, ranging from aggressive subtypes such as DLBCL, to more indolent forms such as follicular lymphoma (FL).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BTK inhibitors and immunomodulatory drugs for B-cell malignancies</w:t>
      </w:r>
    </w:p>
    <w:p>
      <w:pPr>
        <w:spacing w:after="0" w:line="119"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The first generation BTK inhibitor Imbruvica, or ibrutinib, is approved for the treatment of CLL, Waldenstrom’s macroglobulinemia (WM), and chronic graft versus host disease (GVHD). Second generation BTK inhibitors include Calquence, or acalabrutinib, which is approved for use in CLL and MCL, and Brukinsa, or zanubrutinib, which is approved for use in CLL, MCL, WM and marginal zone lymphoma (MZL). Based on reported sales to date, we estimate that 2023 BTK sales were approximately $8.7 billion. These BTK inhibitors bind covalently to cysteine C481 of the BTK protein and irreversibly inhibit BTK; however, all have some off-target binding to other kinases, which leads to unwanted side effects. In addition, acquired resistance, most commonly through mutations in C481, may limit long term efficacy of these first and second generation BTK inhibitors. A number of noncovalent BTK inhibitors are currently being investigated in clinical trials as potential therapies for patients with relapsed and refractory disease, including Jaypirca, or pirtobrutinib, which was recently approved for use in CLL and MCL. However, the noncovalent inhibitors are also subject to acquired resistance, and treatment with these agents has led to the discovery of a broad range of new resistance mutations.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BTK degraders possess several unique properties that offer potential advantages over inhibitors:</w:t>
      </w:r>
    </w:p>
    <w:p>
      <w:pPr>
        <w:spacing w:after="0" w:line="100" w:lineRule="exact"/>
        <w:rPr>
          <w:sz w:val="20"/>
          <w:szCs w:val="20"/>
          <w:color w:val="auto"/>
        </w:rPr>
      </w:pPr>
    </w:p>
    <w:p>
      <w:pPr>
        <w:ind w:left="660" w:right="48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Addresses scaffold function of BTK. </w:t>
      </w:r>
      <w:r>
        <w:rPr>
          <w:rFonts w:ascii="Times New Roman" w:cs="Times New Roman" w:eastAsia="Times New Roman" w:hAnsi="Times New Roman"/>
          <w:sz w:val="18"/>
          <w:szCs w:val="18"/>
          <w:color w:val="auto"/>
        </w:rPr>
        <w:t>Removal of the BTK protein rather than just inactivating the kinase domain addresses the scaffolding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of BTK, more completely blocking the signaling activity of both wild type and mutant forms of BTK.</w:t>
      </w:r>
    </w:p>
    <w:p>
      <w:pPr>
        <w:spacing w:after="0" w:line="33" w:lineRule="exact"/>
        <w:rPr>
          <w:rFonts w:ascii="Times New Roman" w:cs="Times New Roman" w:eastAsia="Times New Roman" w:hAnsi="Times New Roman"/>
          <w:sz w:val="18"/>
          <w:szCs w:val="18"/>
          <w:color w:val="auto"/>
        </w:rPr>
      </w:pPr>
    </w:p>
    <w:p>
      <w:pPr>
        <w:ind w:left="660" w:right="340" w:hanging="328"/>
        <w:spacing w:after="0" w:line="27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Event-driven pharmacology. </w:t>
      </w:r>
      <w:r>
        <w:rPr>
          <w:rFonts w:ascii="Times New Roman" w:cs="Times New Roman" w:eastAsia="Times New Roman" w:hAnsi="Times New Roman"/>
          <w:sz w:val="18"/>
          <w:szCs w:val="18"/>
          <w:color w:val="auto"/>
        </w:rPr>
        <w:t>BTK degraders do not require strong and prolonged binding to BTK to trigger degradation, which increases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our degraders to act on mutated BTK and may decrease the probability of forming new resistance mutations.</w:t>
      </w:r>
    </w:p>
    <w:p>
      <w:pPr>
        <w:spacing w:after="0" w:line="59" w:lineRule="exact"/>
        <w:rPr>
          <w:rFonts w:ascii="Times New Roman" w:cs="Times New Roman" w:eastAsia="Times New Roman" w:hAnsi="Times New Roman"/>
          <w:sz w:val="18"/>
          <w:szCs w:val="18"/>
          <w:color w:val="auto"/>
        </w:rPr>
      </w:pPr>
    </w:p>
    <w:p>
      <w:pPr>
        <w:ind w:left="660" w:right="440" w:hanging="328"/>
        <w:spacing w:after="0" w:line="27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Catalytic activity. </w:t>
      </w:r>
      <w:r>
        <w:rPr>
          <w:rFonts w:ascii="Times New Roman" w:cs="Times New Roman" w:eastAsia="Times New Roman" w:hAnsi="Times New Roman"/>
          <w:sz w:val="18"/>
          <w:szCs w:val="18"/>
          <w:color w:val="auto"/>
        </w:rPr>
        <w:t>A single degrader molecule is able to affect multiple target BTK molecules sequentially without the need to be constantly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to the target.</w:t>
      </w:r>
    </w:p>
    <w:p>
      <w:pPr>
        <w:spacing w:after="0" w:line="5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believe that targeted protein degradation of BTK may be a superior approach to existing covalent or noncovalent BTK inhibitors, particularly in the relapsed and refractory setting, and in the setting of resistance mutations to both covalent and noncovalent inhibitors.</w:t>
      </w:r>
    </w:p>
    <w:p>
      <w:pPr>
        <w:spacing w:after="0" w:line="40"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immunomodulatory drugs including Revlimid, or lenalidomide, and Pomalyst, or pomalidomide, are analogs of Thalomid, or thalidomide. These drugs possess several anti-tumor properties, including anti-angiogenic and anti-proliferative effects. They also have multiple effects on the immune system, including enhancement of T-cell mediated and NK-cell mediated immunity. Revlimid, the market leader in this class by global sales, was first approved in 2006 for the treatment of multiple myeloma. In May of 2019, Revlimid in combination with Rituxan received a supplemental indication approval for previously treated FL, MZL and MCL, and in August of 2020, Revlimid in combination with Monjuvi received a supplemental indication in DLBCL, thus validating the importance of this drug class in these indications. In 2022, global sales of this drug class including Revlimid and Pomalyst were approximately $13.5 billion. Subsequent to their approval and successful commercialization, studies demonstrated that these immunomodulatory drugs exert their therapeutic effect by triggering the degradation of specific proteins including Aiolos and Ikaros through the E3 ligase activity of cereblon and hence were identified retrospectively as the first approved drugs to target an E3 ligase.</w:t>
      </w:r>
    </w:p>
    <w:p>
      <w:pPr>
        <w:spacing w:after="0" w:line="200" w:lineRule="exact"/>
        <w:rPr>
          <w:sz w:val="20"/>
          <w:szCs w:val="20"/>
          <w:color w:val="auto"/>
        </w:rPr>
      </w:pPr>
    </w:p>
    <w:p>
      <w:pPr>
        <w:spacing w:after="0" w:line="37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Published studies have recently reported early clinical data showing that combining a BTK inhibitor with an immunomodulatory drug may have the potential to augment clinical activity of certain standard of care agents in some hematologic malignancies such as non-germinal center B-cell like (non-GCB) DLBCL. Further, scientific publications have previously described synthetic lethality in a DLBCL cell line treated with both ibrutinib and lenalidomide. By targeting both BTK and cereblon-mediated immunomodulatory pathways simultaneously, it is believed that the survival mechanisms driven by accumulated mutations within certain cancers can be overcome, thereby preventing escape and disease relapse. This may be especially effective if each pathway has not only different functions but also if they share certain critical components. One possible intersection pathway is the suppression of interferon regulatory factor 4 (IRF4), a member of a family of transcription factors leading to a cell lethal increase in interferon production. The early clinical study cited above was particularly noteworthy since few combinations have previously produced promising results in DLBCL. This may suggest that simultaneous degradation of BTK combined with cereblon-mediated immunomodulatory activity by a single agent could produce an additive or synergistic effect in certain B-cell malignancies.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advantages of BTK degraders</w:t>
      </w:r>
    </w:p>
    <w:p>
      <w:pPr>
        <w:spacing w:after="0" w:line="11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have conducted extensive preclinical studies of our two clinical stage BTK degraders. We have demonstrated that both NX-5948 and NX-2127 can induce BTK degradation and inhibit tumor growth with oral administration in xenograft mouse models implanted with both wild type and ibrutinib-resistant lymphoma cell lines. We have also demonstrated the ability of both NX-5948 and NX-2127 to degrade BTK in circulating B-cells of non-human primates and in B-cell lymphoma patients following once daily oral dosing in ongoing Phase 1 trials. We have specifically designed NX-5948 to degrade BTK with limited or no degradation of cereblon neosubstrates, and we have designed NX-2127 as a dual degrader of BTK as well as the cereblon neosubstrates Aiolos and Ikaros, for potential applications in indications where adding immunomodulatory activity may be beneficial.</w:t>
      </w:r>
    </w:p>
    <w:p>
      <w:pPr>
        <w:spacing w:after="0" w:line="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optimized NX-5948 and NX-2127 to be able to degrade both wild type BTK and the C481S variant of BTK that has been identified as the most common mutation in patients who have become resistant to ibrutinib therapy over time. Both agents have subsequently demonstrated the ability to degrade additional mutant variants of BTK associated with resistance to BTK inhibitors including L528W, T474I, M437R and V416L.</w:t>
      </w:r>
    </w:p>
    <w:p>
      <w:pPr>
        <w:spacing w:after="0" w:line="6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our model of DLBCL cell line (TM8) harboring the most common resistance mutations, both NX-5948 and NX-2127 retained activity while all tested inhibitors demonstrated a major decrease in activity against at least one resistance mutation. The figure below shows a heat map of the relative activity of NX-5948 compared to a panel of first and second generation covalent BTK inhibitors and non-covalent BTK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wp:posOffset>
            </wp:positionV>
            <wp:extent cx="4114800" cy="258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 w:name="page13"/>
    <w:bookmarkEnd w:id="12"/>
    <w:p>
      <w:pPr>
        <w:ind w:firstLine="648"/>
        <w:spacing w:after="0" w:line="246" w:lineRule="auto"/>
        <w:rPr>
          <w:sz w:val="20"/>
          <w:szCs w:val="20"/>
          <w:color w:val="auto"/>
        </w:rPr>
      </w:pPr>
      <w:r>
        <w:rPr>
          <w:rFonts w:ascii="Times New Roman" w:cs="Times New Roman" w:eastAsia="Times New Roman" w:hAnsi="Times New Roman"/>
          <w:sz w:val="18"/>
          <w:szCs w:val="18"/>
          <w:color w:val="auto"/>
        </w:rPr>
        <w:t>Potent tumor growth inhibition was achieved at varying doses of orally administered NX-2127 in mouse xenograft tumor models with a wild type BTK protein, as shown in the figure below on the top right. In this same model, NX-2127 demonstrated potent degradation of BTK in both circulating B cells (below on the top left) and in lymphoma tumors (below top middle). In this model system, 80% BTK degradation in circulating B cells correlated with 74% tumor growth inhibition, and 90% BTK degradation in circulating B cells correlated with 100% tumor growth inhibition. These target levels of inhibition suggest a potential therapeutic range correlating BTK degradation to tumor growth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66675</wp:posOffset>
            </wp:positionV>
            <wp:extent cx="5657850" cy="2537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In addition to BTK degradation, we have also demonstrated the ability of NX-2127 to degrade both Aiolos (as shown in the figure below) and Ikaros (not shown), proteins targeted by immunomodulatory drugs Revlimid (lenalidomide) and Pomalyst (pomalidomide). Studies in human T cells comparing NX-2127 to lenalidomide and pomalidomide have shown comparable Aiolos degradation and resultant T-cell activation, as shown in the figure below. Based on the clinical data of both ibrutinib and the immunomodulatory drug in B-cell malignancies, we believe that this strategy of targeting both BTK and Aiolos/Ikaros in a single oral treatment may improve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21590</wp:posOffset>
            </wp:positionV>
            <wp:extent cx="2880360" cy="2211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036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studies for NX-5948</w:t>
      </w:r>
    </w:p>
    <w:p>
      <w:pPr>
        <w:spacing w:after="0" w:line="119" w:lineRule="exact"/>
        <w:rPr>
          <w:sz w:val="20"/>
          <w:szCs w:val="20"/>
          <w:color w:val="auto"/>
        </w:rPr>
      </w:pPr>
    </w:p>
    <w:p>
      <w:pPr>
        <w:ind w:right="160" w:firstLine="648"/>
        <w:spacing w:after="0" w:line="296" w:lineRule="auto"/>
        <w:rPr>
          <w:sz w:val="20"/>
          <w:szCs w:val="20"/>
          <w:color w:val="auto"/>
        </w:rPr>
      </w:pPr>
      <w:r>
        <w:rPr>
          <w:rFonts w:ascii="Times New Roman" w:cs="Times New Roman" w:eastAsia="Times New Roman" w:hAnsi="Times New Roman"/>
          <w:sz w:val="17"/>
          <w:szCs w:val="17"/>
          <w:color w:val="auto"/>
        </w:rPr>
        <w:t>We are studying the pharmacology, safety, and clinical activity of NX-5948 in multiple subtypes of relapsed and refractory B-cell malignancies, including those in which ibrutinib has shown only modest effects or is ineffective, as in the case of CLL patients with BTK inhibitor resistance mutations.</w:t>
      </w:r>
    </w:p>
    <w:p>
      <w:pPr>
        <w:spacing w:after="0" w:line="200" w:lineRule="exact"/>
        <w:rPr>
          <w:sz w:val="20"/>
          <w:szCs w:val="20"/>
          <w:color w:val="auto"/>
        </w:rPr>
      </w:pPr>
    </w:p>
    <w:p>
      <w:pPr>
        <w:spacing w:after="0" w:line="3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As illustrated in the diagram below, we are conducting a Phase 1a/1b dose-escalation and cohort expansion study of NX-5948 in patients with relapsed or refractory CLL and NHL. The Phase 1a portion is designed as a monotherapy dose escalation trial to investigate the safety and tolerability of NX-5948 and to identify a biologically active dose for cohort expansion and potentially a maximum tolerated dose. The Phase 1b portion of the trial is designed as a monotherapy expansion trial in up to five potential cohorts. The patients in the study represent a heavily pre-treated population with a variety of previous treatment options. Some patients also have resistance mutations and other high risk molecular features. The study is currently enrolling in the United States, the United Kingdom (UK) and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57150</wp:posOffset>
            </wp:positionV>
            <wp:extent cx="5657850" cy="2031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340" w:right="20"/>
        <w:spacing w:after="0" w:line="202" w:lineRule="auto"/>
        <w:rPr>
          <w:sz w:val="20"/>
          <w:szCs w:val="20"/>
          <w:color w:val="auto"/>
        </w:rPr>
      </w:pP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1"/>
          <w:szCs w:val="11"/>
          <w:color w:val="auto"/>
        </w:rPr>
        <w:t xml:space="preserve">Subtypes include: transformed indolent lymphoma (e.g., grade 3b/transformed FL), Richter-transformed DLBCL, high-grade B-cell lymphoma with MYC and BCL-2 and/or BCL-6 rearrangements, high-grade B-cell lymphomas NOS; </w:t>
      </w:r>
      <w:r>
        <w:rPr>
          <w:rFonts w:ascii="Times New Roman" w:cs="Times New Roman" w:eastAsia="Times New Roman" w:hAnsi="Times New Roman"/>
          <w:sz w:val="14"/>
          <w:szCs w:val="14"/>
          <w:color w:val="auto"/>
          <w:vertAlign w:val="superscript"/>
        </w:rPr>
        <w:t>b</w:t>
      </w:r>
      <w:r>
        <w:rPr>
          <w:rFonts w:ascii="Times New Roman" w:cs="Times New Roman" w:eastAsia="Times New Roman" w:hAnsi="Times New Roman"/>
          <w:sz w:val="11"/>
          <w:szCs w:val="11"/>
          <w:color w:val="auto"/>
        </w:rPr>
        <w:t xml:space="preserve">Includes patients with secondary CNS involvement; </w:t>
      </w:r>
      <w:r>
        <w:rPr>
          <w:rFonts w:ascii="Times New Roman" w:cs="Times New Roman" w:eastAsia="Times New Roman" w:hAnsi="Times New Roman"/>
          <w:sz w:val="14"/>
          <w:szCs w:val="14"/>
          <w:color w:val="auto"/>
          <w:vertAlign w:val="superscript"/>
        </w:rPr>
        <w:t>c</w:t>
      </w:r>
      <w:r>
        <w:rPr>
          <w:rFonts w:ascii="Times New Roman" w:cs="Times New Roman" w:eastAsia="Times New Roman" w:hAnsi="Times New Roman"/>
          <w:sz w:val="11"/>
          <w:szCs w:val="11"/>
          <w:color w:val="auto"/>
        </w:rPr>
        <w:t>Additional lines of therapy include anthracycline for non-GCB DLBCL and BTKi for MCL</w:t>
      </w:r>
    </w:p>
    <w:p>
      <w:pPr>
        <w:jc w:val="center"/>
        <w:ind w:left="360"/>
        <w:spacing w:after="0" w:line="260" w:lineRule="auto"/>
        <w:rPr>
          <w:sz w:val="20"/>
          <w:szCs w:val="20"/>
          <w:color w:val="auto"/>
        </w:rPr>
      </w:pPr>
      <w:r>
        <w:rPr>
          <w:rFonts w:ascii="Times New Roman" w:cs="Times New Roman" w:eastAsia="Times New Roman" w:hAnsi="Times New Roman"/>
          <w:sz w:val="10"/>
          <w:szCs w:val="10"/>
          <w:color w:val="auto"/>
        </w:rPr>
        <w:t xml:space="preserve">Abbreviations: </w:t>
      </w:r>
      <w:r>
        <w:rPr>
          <w:rFonts w:ascii="Times New Roman" w:cs="Times New Roman" w:eastAsia="Times New Roman" w:hAnsi="Times New Roman"/>
          <w:sz w:val="10"/>
          <w:szCs w:val="10"/>
          <w:b w:val="1"/>
          <w:bCs w:val="1"/>
          <w:color w:val="auto"/>
        </w:rPr>
        <w:t>BCL-2i</w:t>
      </w:r>
      <w:r>
        <w:rPr>
          <w:rFonts w:ascii="Times New Roman" w:cs="Times New Roman" w:eastAsia="Times New Roman" w:hAnsi="Times New Roman"/>
          <w:sz w:val="10"/>
          <w:szCs w:val="10"/>
          <w:color w:val="auto"/>
        </w:rPr>
        <w:t xml:space="preserve">, B-cell lymphoma-2 inhibitor; </w:t>
      </w:r>
      <w:r>
        <w:rPr>
          <w:rFonts w:ascii="Times New Roman" w:cs="Times New Roman" w:eastAsia="Times New Roman" w:hAnsi="Times New Roman"/>
          <w:sz w:val="10"/>
          <w:szCs w:val="10"/>
          <w:b w:val="1"/>
          <w:bCs w:val="1"/>
          <w:color w:val="auto"/>
        </w:rPr>
        <w:t>BTKi</w:t>
      </w:r>
      <w:r>
        <w:rPr>
          <w:rFonts w:ascii="Times New Roman" w:cs="Times New Roman" w:eastAsia="Times New Roman" w:hAnsi="Times New Roman"/>
          <w:sz w:val="10"/>
          <w:szCs w:val="10"/>
          <w:color w:val="auto"/>
        </w:rPr>
        <w:t xml:space="preserve">, Bruton’s tyrosine kinase inhibitor; </w:t>
      </w:r>
      <w:r>
        <w:rPr>
          <w:rFonts w:ascii="Times New Roman" w:cs="Times New Roman" w:eastAsia="Times New Roman" w:hAnsi="Times New Roman"/>
          <w:sz w:val="10"/>
          <w:szCs w:val="10"/>
          <w:b w:val="1"/>
          <w:bCs w:val="1"/>
          <w:color w:val="auto"/>
        </w:rPr>
        <w:t>CIT</w:t>
      </w:r>
      <w:r>
        <w:rPr>
          <w:rFonts w:ascii="Times New Roman" w:cs="Times New Roman" w:eastAsia="Times New Roman" w:hAnsi="Times New Roman"/>
          <w:sz w:val="10"/>
          <w:szCs w:val="10"/>
          <w:color w:val="auto"/>
        </w:rPr>
        <w:t xml:space="preserve">, chemo-immunotherapy; </w:t>
      </w:r>
      <w:r>
        <w:rPr>
          <w:rFonts w:ascii="Times New Roman" w:cs="Times New Roman" w:eastAsia="Times New Roman" w:hAnsi="Times New Roman"/>
          <w:sz w:val="10"/>
          <w:szCs w:val="10"/>
          <w:b w:val="1"/>
          <w:bCs w:val="1"/>
          <w:color w:val="auto"/>
        </w:rPr>
        <w:t>CLL</w:t>
      </w:r>
      <w:r>
        <w:rPr>
          <w:rFonts w:ascii="Times New Roman" w:cs="Times New Roman" w:eastAsia="Times New Roman" w:hAnsi="Times New Roman"/>
          <w:sz w:val="10"/>
          <w:szCs w:val="10"/>
          <w:color w:val="auto"/>
        </w:rPr>
        <w:t xml:space="preserve">, chronic lymphocytic leukemia; </w:t>
      </w:r>
      <w:r>
        <w:rPr>
          <w:rFonts w:ascii="Times New Roman" w:cs="Times New Roman" w:eastAsia="Times New Roman" w:hAnsi="Times New Roman"/>
          <w:sz w:val="10"/>
          <w:szCs w:val="10"/>
          <w:b w:val="1"/>
          <w:bCs w:val="1"/>
          <w:color w:val="auto"/>
        </w:rPr>
        <w:t>CNS</w:t>
      </w:r>
      <w:r>
        <w:rPr>
          <w:rFonts w:ascii="Times New Roman" w:cs="Times New Roman" w:eastAsia="Times New Roman" w:hAnsi="Times New Roman"/>
          <w:sz w:val="10"/>
          <w:szCs w:val="10"/>
          <w:color w:val="auto"/>
        </w:rPr>
        <w:t xml:space="preserve">, central nervous system; </w:t>
      </w:r>
      <w:r>
        <w:rPr>
          <w:rFonts w:ascii="Times New Roman" w:cs="Times New Roman" w:eastAsia="Times New Roman" w:hAnsi="Times New Roman"/>
          <w:sz w:val="10"/>
          <w:szCs w:val="10"/>
          <w:b w:val="1"/>
          <w:bCs w:val="1"/>
          <w:color w:val="auto"/>
        </w:rPr>
        <w:t>DLBCL</w:t>
      </w:r>
      <w:r>
        <w:rPr>
          <w:rFonts w:ascii="Times New Roman" w:cs="Times New Roman" w:eastAsia="Times New Roman" w:hAnsi="Times New Roman"/>
          <w:sz w:val="10"/>
          <w:szCs w:val="10"/>
          <w:color w:val="auto"/>
        </w:rPr>
        <w:t xml:space="preserve">, diffuse large B-cell lymphoma; </w:t>
      </w:r>
      <w:r>
        <w:rPr>
          <w:rFonts w:ascii="Times New Roman" w:cs="Times New Roman" w:eastAsia="Times New Roman" w:hAnsi="Times New Roman"/>
          <w:sz w:val="10"/>
          <w:szCs w:val="10"/>
          <w:b w:val="1"/>
          <w:bCs w:val="1"/>
          <w:color w:val="auto"/>
        </w:rPr>
        <w:t>FL</w:t>
      </w:r>
      <w:r>
        <w:rPr>
          <w:rFonts w:ascii="Times New Roman" w:cs="Times New Roman" w:eastAsia="Times New Roman" w:hAnsi="Times New Roman"/>
          <w:sz w:val="10"/>
          <w:szCs w:val="10"/>
          <w:color w:val="auto"/>
        </w:rPr>
        <w:t xml:space="preserve">, follicular lymphoma; </w:t>
      </w:r>
      <w:r>
        <w:rPr>
          <w:rFonts w:ascii="Times New Roman" w:cs="Times New Roman" w:eastAsia="Times New Roman" w:hAnsi="Times New Roman"/>
          <w:sz w:val="10"/>
          <w:szCs w:val="10"/>
          <w:b w:val="1"/>
          <w:bCs w:val="1"/>
          <w:color w:val="auto"/>
        </w:rPr>
        <w:t>GCB</w:t>
      </w:r>
      <w:r>
        <w:rPr>
          <w:rFonts w:ascii="Times New Roman" w:cs="Times New Roman" w:eastAsia="Times New Roman" w:hAnsi="Times New Roman"/>
          <w:sz w:val="10"/>
          <w:szCs w:val="10"/>
          <w:color w:val="auto"/>
        </w:rPr>
        <w:t xml:space="preserve">, germinal center B-cell; </w:t>
      </w:r>
      <w:r>
        <w:rPr>
          <w:rFonts w:ascii="Times New Roman" w:cs="Times New Roman" w:eastAsia="Times New Roman" w:hAnsi="Times New Roman"/>
          <w:sz w:val="10"/>
          <w:szCs w:val="10"/>
          <w:b w:val="1"/>
          <w:bCs w:val="1"/>
          <w:color w:val="auto"/>
        </w:rPr>
        <w:t>L</w:t>
      </w:r>
      <w:r>
        <w:rPr>
          <w:rFonts w:ascii="Times New Roman" w:cs="Times New Roman" w:eastAsia="Times New Roman" w:hAnsi="Times New Roman"/>
          <w:sz w:val="10"/>
          <w:szCs w:val="10"/>
          <w:color w:val="auto"/>
        </w:rPr>
        <w:t xml:space="preserve">, level; </w:t>
      </w:r>
      <w:r>
        <w:rPr>
          <w:rFonts w:ascii="Times New Roman" w:cs="Times New Roman" w:eastAsia="Times New Roman" w:hAnsi="Times New Roman"/>
          <w:sz w:val="10"/>
          <w:szCs w:val="10"/>
          <w:b w:val="1"/>
          <w:bCs w:val="1"/>
          <w:color w:val="auto"/>
        </w:rPr>
        <w:t>MCL</w:t>
      </w:r>
      <w:r>
        <w:rPr>
          <w:rFonts w:ascii="Times New Roman" w:cs="Times New Roman" w:eastAsia="Times New Roman" w:hAnsi="Times New Roman"/>
          <w:sz w:val="10"/>
          <w:szCs w:val="10"/>
          <w:color w:val="auto"/>
        </w:rPr>
        <w:t xml:space="preserve">, mantle cell lymphoma; </w:t>
      </w:r>
      <w:r>
        <w:rPr>
          <w:rFonts w:ascii="Times New Roman" w:cs="Times New Roman" w:eastAsia="Times New Roman" w:hAnsi="Times New Roman"/>
          <w:sz w:val="10"/>
          <w:szCs w:val="10"/>
          <w:b w:val="1"/>
          <w:bCs w:val="1"/>
          <w:color w:val="auto"/>
        </w:rPr>
        <w:t>LoT</w:t>
      </w:r>
      <w:r>
        <w:rPr>
          <w:rFonts w:ascii="Times New Roman" w:cs="Times New Roman" w:eastAsia="Times New Roman" w:hAnsi="Times New Roman"/>
          <w:sz w:val="10"/>
          <w:szCs w:val="10"/>
          <w:color w:val="auto"/>
        </w:rPr>
        <w:t xml:space="preserve">, line of therapy; </w:t>
      </w:r>
      <w:r>
        <w:rPr>
          <w:rFonts w:ascii="Times New Roman" w:cs="Times New Roman" w:eastAsia="Times New Roman" w:hAnsi="Times New Roman"/>
          <w:sz w:val="10"/>
          <w:szCs w:val="10"/>
          <w:b w:val="1"/>
          <w:bCs w:val="1"/>
          <w:color w:val="auto"/>
        </w:rPr>
        <w:t>MZL</w:t>
      </w:r>
      <w:r>
        <w:rPr>
          <w:rFonts w:ascii="Times New Roman" w:cs="Times New Roman" w:eastAsia="Times New Roman" w:hAnsi="Times New Roman"/>
          <w:sz w:val="10"/>
          <w:szCs w:val="10"/>
          <w:color w:val="auto"/>
        </w:rPr>
        <w:t xml:space="preserve">, marginal zone lymphoma; </w:t>
      </w:r>
      <w:r>
        <w:rPr>
          <w:rFonts w:ascii="Times New Roman" w:cs="Times New Roman" w:eastAsia="Times New Roman" w:hAnsi="Times New Roman"/>
          <w:sz w:val="10"/>
          <w:szCs w:val="10"/>
          <w:b w:val="1"/>
          <w:bCs w:val="1"/>
          <w:color w:val="auto"/>
        </w:rPr>
        <w:t>NOS</w:t>
      </w:r>
      <w:r>
        <w:rPr>
          <w:rFonts w:ascii="Times New Roman" w:cs="Times New Roman" w:eastAsia="Times New Roman" w:hAnsi="Times New Roman"/>
          <w:sz w:val="10"/>
          <w:szCs w:val="10"/>
          <w:color w:val="auto"/>
        </w:rPr>
        <w:t xml:space="preserve">, not otherwise specified; </w:t>
      </w:r>
      <w:r>
        <w:rPr>
          <w:rFonts w:ascii="Times New Roman" w:cs="Times New Roman" w:eastAsia="Times New Roman" w:hAnsi="Times New Roman"/>
          <w:sz w:val="10"/>
          <w:szCs w:val="10"/>
          <w:b w:val="1"/>
          <w:bCs w:val="1"/>
          <w:color w:val="auto"/>
        </w:rPr>
        <w:t>PCNSL</w:t>
      </w:r>
      <w:r>
        <w:rPr>
          <w:rFonts w:ascii="Times New Roman" w:cs="Times New Roman" w:eastAsia="Times New Roman" w:hAnsi="Times New Roman"/>
          <w:sz w:val="10"/>
          <w:szCs w:val="10"/>
          <w:color w:val="auto"/>
        </w:rPr>
        <w:t xml:space="preserve">, primary central nervous system lymphoma; </w:t>
      </w:r>
      <w:r>
        <w:rPr>
          <w:rFonts w:ascii="Times New Roman" w:cs="Times New Roman" w:eastAsia="Times New Roman" w:hAnsi="Times New Roman"/>
          <w:sz w:val="10"/>
          <w:szCs w:val="10"/>
          <w:b w:val="1"/>
          <w:bCs w:val="1"/>
          <w:color w:val="auto"/>
        </w:rPr>
        <w:t>SLL</w:t>
      </w:r>
      <w:r>
        <w:rPr>
          <w:rFonts w:ascii="Times New Roman" w:cs="Times New Roman" w:eastAsia="Times New Roman" w:hAnsi="Times New Roman"/>
          <w:sz w:val="10"/>
          <w:szCs w:val="10"/>
          <w:color w:val="auto"/>
        </w:rPr>
        <w:t>, small lymphocytic lymphoma;</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WM</w:t>
      </w:r>
      <w:r>
        <w:rPr>
          <w:rFonts w:ascii="Times New Roman" w:cs="Times New Roman" w:eastAsia="Times New Roman" w:hAnsi="Times New Roman"/>
          <w:sz w:val="11"/>
          <w:szCs w:val="11"/>
          <w:color w:val="auto"/>
        </w:rPr>
        <w:t>, Waldenströms macroglobulinemia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clinical findings</w:t>
      </w:r>
    </w:p>
    <w:p>
      <w:pPr>
        <w:spacing w:after="0" w:line="11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Initial clinical findings from the NX-5948 clinical trial were presented at the 65th American Society of Hematology (ASH) annual meeting in December 2023. Pharmacokinetics (PK) and pharmacodynamics data from the ongoing Phase 1a trial shown below demonstrate dose-dependent PK and rapid, robust, and sustained BTK degradation in all patients with once daily oral dosing of NX-5948, confirming the findings and projections from previous preclinical research.</w:t>
      </w:r>
    </w:p>
    <w:p>
      <w:pPr>
        <w:spacing w:after="0" w:line="123" w:lineRule="exact"/>
        <w:rPr>
          <w:sz w:val="20"/>
          <w:szCs w:val="20"/>
          <w:color w:val="auto"/>
        </w:rPr>
      </w:pPr>
    </w:p>
    <w:p>
      <w:pPr>
        <w:ind w:left="1580"/>
        <w:spacing w:after="0"/>
        <w:tabs>
          <w:tab w:leader="none" w:pos="6660" w:val="left"/>
        </w:tabs>
        <w:rPr>
          <w:sz w:val="20"/>
          <w:szCs w:val="20"/>
          <w:color w:val="auto"/>
        </w:rPr>
      </w:pPr>
      <w:r>
        <w:rPr>
          <w:rFonts w:ascii="Times New Roman" w:cs="Times New Roman" w:eastAsia="Times New Roman" w:hAnsi="Times New Roman"/>
          <w:sz w:val="18"/>
          <w:szCs w:val="18"/>
          <w:color w:val="auto"/>
        </w:rPr>
        <w:t>NX-5948 C1D1 pharmacokinetics</w:t>
      </w:r>
      <w:r>
        <w:rPr>
          <w:sz w:val="20"/>
          <w:szCs w:val="20"/>
          <w:color w:val="auto"/>
        </w:rPr>
        <w:tab/>
      </w:r>
      <w:r>
        <w:rPr>
          <w:rFonts w:ascii="Times New Roman" w:cs="Times New Roman" w:eastAsia="Times New Roman" w:hAnsi="Times New Roman"/>
          <w:sz w:val="17"/>
          <w:szCs w:val="17"/>
          <w:color w:val="auto"/>
        </w:rPr>
        <w:t>BTK degradation in patients receiving NX-5948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68580</wp:posOffset>
            </wp:positionV>
            <wp:extent cx="6343650" cy="1851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BTK</w:t>
      </w:r>
      <w:r>
        <w:rPr>
          <w:rFonts w:ascii="Times New Roman" w:cs="Times New Roman" w:eastAsia="Times New Roman" w:hAnsi="Times New Roman"/>
          <w:sz w:val="11"/>
          <w:szCs w:val="11"/>
          <w:color w:val="auto"/>
        </w:rPr>
        <w:t>, Bruton’s tyrosine kinase;</w:t>
      </w:r>
      <w:r>
        <w:rPr>
          <w:rFonts w:ascii="Times New Roman" w:cs="Times New Roman" w:eastAsia="Times New Roman" w:hAnsi="Times New Roman"/>
          <w:sz w:val="11"/>
          <w:szCs w:val="11"/>
          <w:b w:val="1"/>
          <w:bCs w:val="1"/>
          <w:color w:val="auto"/>
        </w:rPr>
        <w:t xml:space="preserve"> MFI</w:t>
      </w:r>
      <w:r>
        <w:rPr>
          <w:rFonts w:ascii="Times New Roman" w:cs="Times New Roman" w:eastAsia="Times New Roman" w:hAnsi="Times New Roman"/>
          <w:sz w:val="11"/>
          <w:szCs w:val="11"/>
          <w:color w:val="auto"/>
        </w:rPr>
        <w:t>, mean fluorescence intensity;</w:t>
      </w:r>
      <w:r>
        <w:rPr>
          <w:rFonts w:ascii="Times New Roman" w:cs="Times New Roman" w:eastAsia="Times New Roman" w:hAnsi="Times New Roman"/>
          <w:sz w:val="11"/>
          <w:szCs w:val="11"/>
          <w:b w:val="1"/>
          <w:bCs w:val="1"/>
          <w:color w:val="auto"/>
        </w:rPr>
        <w:t xml:space="preserve"> SEM</w:t>
      </w:r>
      <w:r>
        <w:rPr>
          <w:rFonts w:ascii="Times New Roman" w:cs="Times New Roman" w:eastAsia="Times New Roman" w:hAnsi="Times New Roman"/>
          <w:sz w:val="11"/>
          <w:szCs w:val="11"/>
          <w:color w:val="auto"/>
        </w:rPr>
        <w:t>, standard error of the mean</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Source: Searle et al., ASH 2023, Poster #4473</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Results from the first data disclosure of the NX-5948 Phase 1a trial showed that NX-5948 is well tolerated and demonstrates clinical benefit.</w:t>
      </w:r>
    </w:p>
    <w:p>
      <w:pPr>
        <w:spacing w:after="0" w:line="104"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Out of 26 patients dosed, there were no dose limiting toxicities and no treatment emergent adverse events (TEAEs) resulting in drug discontinuation. There were four NX-5948-related grade ≥3 TEAEs and no related serious adverse events (SAEs).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 w:name="page15"/>
    <w:bookmarkEnd w:id="14"/>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As of the October 17, 2023 data cutoff, in the CLL patient population six out of seven dosed patients showed clinical benefit, including three partial responses (one ongoing over nine months) and three stable disease outcomes (two still on treatment). In the NHL patient population (19 dosed), durable responses were noted across indications, with eight patients, or almost half of the patient population, continuing treatment. An expanded data set from a larger number of patients treated at higher doses and for a longer duration of time is expected in 2024.</w:t>
      </w:r>
    </w:p>
    <w:p>
      <w:pPr>
        <w:spacing w:after="0" w:line="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NX-5948 CLL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17145</wp:posOffset>
            </wp:positionV>
            <wp:extent cx="4937760" cy="2888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776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CI</w:t>
      </w:r>
      <w:r>
        <w:rPr>
          <w:rFonts w:ascii="Times New Roman" w:cs="Times New Roman" w:eastAsia="Times New Roman" w:hAnsi="Times New Roman"/>
          <w:sz w:val="11"/>
          <w:szCs w:val="11"/>
          <w:color w:val="auto"/>
        </w:rPr>
        <w:t>, confidence interval;</w:t>
      </w:r>
      <w:r>
        <w:rPr>
          <w:rFonts w:ascii="Times New Roman" w:cs="Times New Roman" w:eastAsia="Times New Roman" w:hAnsi="Times New Roman"/>
          <w:sz w:val="11"/>
          <w:szCs w:val="11"/>
          <w:b w:val="1"/>
          <w:bCs w:val="1"/>
          <w:color w:val="auto"/>
        </w:rPr>
        <w:t xml:space="preserve"> CLL</w:t>
      </w:r>
      <w:r>
        <w:rPr>
          <w:rFonts w:ascii="Times New Roman" w:cs="Times New Roman" w:eastAsia="Times New Roman" w:hAnsi="Times New Roman"/>
          <w:sz w:val="11"/>
          <w:szCs w:val="11"/>
          <w:color w:val="auto"/>
        </w:rPr>
        <w:t>, chronic lymphocytic leukemia;</w:t>
      </w:r>
      <w:r>
        <w:rPr>
          <w:rFonts w:ascii="Times New Roman" w:cs="Times New Roman" w:eastAsia="Times New Roman" w:hAnsi="Times New Roman"/>
          <w:sz w:val="11"/>
          <w:szCs w:val="11"/>
          <w:b w:val="1"/>
          <w:bCs w:val="1"/>
          <w:color w:val="auto"/>
        </w:rPr>
        <w:t xml:space="preserve"> CR</w:t>
      </w:r>
      <w:r>
        <w:rPr>
          <w:rFonts w:ascii="Times New Roman" w:cs="Times New Roman" w:eastAsia="Times New Roman" w:hAnsi="Times New Roman"/>
          <w:sz w:val="11"/>
          <w:szCs w:val="11"/>
          <w:color w:val="auto"/>
        </w:rPr>
        <w:t>, complete response;</w:t>
      </w:r>
      <w:r>
        <w:rPr>
          <w:rFonts w:ascii="Times New Roman" w:cs="Times New Roman" w:eastAsia="Times New Roman" w:hAnsi="Times New Roman"/>
          <w:sz w:val="11"/>
          <w:szCs w:val="11"/>
          <w:b w:val="1"/>
          <w:bCs w:val="1"/>
          <w:color w:val="auto"/>
        </w:rPr>
        <w:t xml:space="preserve"> PD</w:t>
      </w:r>
      <w:r>
        <w:rPr>
          <w:rFonts w:ascii="Times New Roman" w:cs="Times New Roman" w:eastAsia="Times New Roman" w:hAnsi="Times New Roman"/>
          <w:sz w:val="11"/>
          <w:szCs w:val="11"/>
          <w:color w:val="auto"/>
        </w:rPr>
        <w:t>, progressive disease;</w:t>
      </w:r>
      <w:r>
        <w:rPr>
          <w:rFonts w:ascii="Times New Roman" w:cs="Times New Roman" w:eastAsia="Times New Roman" w:hAnsi="Times New Roman"/>
          <w:sz w:val="11"/>
          <w:szCs w:val="11"/>
          <w:b w:val="1"/>
          <w:bCs w:val="1"/>
          <w:color w:val="auto"/>
        </w:rPr>
        <w:t xml:space="preserve"> PR</w:t>
      </w:r>
      <w:r>
        <w:rPr>
          <w:rFonts w:ascii="Times New Roman" w:cs="Times New Roman" w:eastAsia="Times New Roman" w:hAnsi="Times New Roman"/>
          <w:sz w:val="11"/>
          <w:szCs w:val="11"/>
          <w:color w:val="auto"/>
        </w:rPr>
        <w:t>, partial response;</w:t>
      </w:r>
      <w:r>
        <w:rPr>
          <w:rFonts w:ascii="Times New Roman" w:cs="Times New Roman" w:eastAsia="Times New Roman" w:hAnsi="Times New Roman"/>
          <w:sz w:val="11"/>
          <w:szCs w:val="11"/>
          <w:b w:val="1"/>
          <w:bCs w:val="1"/>
          <w:color w:val="auto"/>
        </w:rPr>
        <w:t xml:space="preserve"> SD</w:t>
      </w:r>
      <w:r>
        <w:rPr>
          <w:rFonts w:ascii="Times New Roman" w:cs="Times New Roman" w:eastAsia="Times New Roman" w:hAnsi="Times New Roman"/>
          <w:sz w:val="11"/>
          <w:szCs w:val="11"/>
          <w:color w:val="auto"/>
        </w:rPr>
        <w:t>, stable disease</w:t>
      </w: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NX-5948 NHL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17145</wp:posOffset>
            </wp:positionV>
            <wp:extent cx="4937760" cy="290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776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20"/>
        <w:spacing w:after="0" w:line="286" w:lineRule="auto"/>
        <w:rPr>
          <w:sz w:val="20"/>
          <w:szCs w:val="20"/>
          <w:color w:val="auto"/>
        </w:rPr>
      </w:pPr>
      <w:r>
        <w:rPr>
          <w:rFonts w:ascii="Times New Roman" w:cs="Times New Roman" w:eastAsia="Times New Roman" w:hAnsi="Times New Roman"/>
          <w:sz w:val="11"/>
          <w:szCs w:val="11"/>
          <w:b w:val="1"/>
          <w:bCs w:val="1"/>
          <w:color w:val="auto"/>
        </w:rPr>
        <w:t>CR</w:t>
      </w:r>
      <w:r>
        <w:rPr>
          <w:rFonts w:ascii="Times New Roman" w:cs="Times New Roman" w:eastAsia="Times New Roman" w:hAnsi="Times New Roman"/>
          <w:sz w:val="11"/>
          <w:szCs w:val="11"/>
          <w:color w:val="auto"/>
        </w:rPr>
        <w:t>, complete response;</w:t>
      </w:r>
      <w:r>
        <w:rPr>
          <w:rFonts w:ascii="Times New Roman" w:cs="Times New Roman" w:eastAsia="Times New Roman" w:hAnsi="Times New Roman"/>
          <w:sz w:val="11"/>
          <w:szCs w:val="11"/>
          <w:b w:val="1"/>
          <w:bCs w:val="1"/>
          <w:color w:val="auto"/>
        </w:rPr>
        <w:t xml:space="preserve"> DLBCL</w:t>
      </w:r>
      <w:r>
        <w:rPr>
          <w:rFonts w:ascii="Times New Roman" w:cs="Times New Roman" w:eastAsia="Times New Roman" w:hAnsi="Times New Roman"/>
          <w:sz w:val="11"/>
          <w:szCs w:val="11"/>
          <w:color w:val="auto"/>
        </w:rPr>
        <w:t>, diffuse large B-cell lymphoma;</w:t>
      </w:r>
      <w:r>
        <w:rPr>
          <w:rFonts w:ascii="Times New Roman" w:cs="Times New Roman" w:eastAsia="Times New Roman" w:hAnsi="Times New Roman"/>
          <w:sz w:val="11"/>
          <w:szCs w:val="11"/>
          <w:b w:val="1"/>
          <w:bCs w:val="1"/>
          <w:color w:val="auto"/>
        </w:rPr>
        <w:t xml:space="preserve"> FL</w:t>
      </w:r>
      <w:r>
        <w:rPr>
          <w:rFonts w:ascii="Times New Roman" w:cs="Times New Roman" w:eastAsia="Times New Roman" w:hAnsi="Times New Roman"/>
          <w:sz w:val="11"/>
          <w:szCs w:val="11"/>
          <w:color w:val="auto"/>
        </w:rPr>
        <w:t>, follicular lymphoma;</w:t>
      </w:r>
      <w:r>
        <w:rPr>
          <w:rFonts w:ascii="Times New Roman" w:cs="Times New Roman" w:eastAsia="Times New Roman" w:hAnsi="Times New Roman"/>
          <w:sz w:val="11"/>
          <w:szCs w:val="11"/>
          <w:b w:val="1"/>
          <w:bCs w:val="1"/>
          <w:color w:val="auto"/>
        </w:rPr>
        <w:t xml:space="preserve"> MCL</w:t>
      </w:r>
      <w:r>
        <w:rPr>
          <w:rFonts w:ascii="Times New Roman" w:cs="Times New Roman" w:eastAsia="Times New Roman" w:hAnsi="Times New Roman"/>
          <w:sz w:val="11"/>
          <w:szCs w:val="11"/>
          <w:color w:val="auto"/>
        </w:rPr>
        <w:t>, mantle cell lymphoma;</w:t>
      </w:r>
      <w:r>
        <w:rPr>
          <w:rFonts w:ascii="Times New Roman" w:cs="Times New Roman" w:eastAsia="Times New Roman" w:hAnsi="Times New Roman"/>
          <w:sz w:val="11"/>
          <w:szCs w:val="11"/>
          <w:b w:val="1"/>
          <w:bCs w:val="1"/>
          <w:color w:val="auto"/>
        </w:rPr>
        <w:t xml:space="preserve"> MZL</w:t>
      </w:r>
      <w:r>
        <w:rPr>
          <w:rFonts w:ascii="Times New Roman" w:cs="Times New Roman" w:eastAsia="Times New Roman" w:hAnsi="Times New Roman"/>
          <w:sz w:val="11"/>
          <w:szCs w:val="11"/>
          <w:color w:val="auto"/>
        </w:rPr>
        <w:t>, marginal zone lymphoma;</w:t>
      </w:r>
      <w:r>
        <w:rPr>
          <w:rFonts w:ascii="Times New Roman" w:cs="Times New Roman" w:eastAsia="Times New Roman" w:hAnsi="Times New Roman"/>
          <w:sz w:val="11"/>
          <w:szCs w:val="11"/>
          <w:b w:val="1"/>
          <w:bCs w:val="1"/>
          <w:color w:val="auto"/>
        </w:rPr>
        <w:t xml:space="preserve"> NHL</w:t>
      </w:r>
      <w:r>
        <w:rPr>
          <w:rFonts w:ascii="Times New Roman" w:cs="Times New Roman" w:eastAsia="Times New Roman" w:hAnsi="Times New Roman"/>
          <w:sz w:val="11"/>
          <w:szCs w:val="11"/>
          <w:color w:val="auto"/>
        </w:rPr>
        <w:t>, non-Hodgkin’s lymphoma;</w:t>
      </w:r>
      <w:r>
        <w:rPr>
          <w:rFonts w:ascii="Times New Roman" w:cs="Times New Roman" w:eastAsia="Times New Roman" w:hAnsi="Times New Roman"/>
          <w:sz w:val="11"/>
          <w:szCs w:val="11"/>
          <w:b w:val="1"/>
          <w:bCs w:val="1"/>
          <w:color w:val="auto"/>
        </w:rPr>
        <w:t xml:space="preserve"> PCNSL</w:t>
      </w:r>
      <w:r>
        <w:rPr>
          <w:rFonts w:ascii="Times New Roman" w:cs="Times New Roman" w:eastAsia="Times New Roman" w:hAnsi="Times New Roman"/>
          <w:sz w:val="11"/>
          <w:szCs w:val="11"/>
          <w:color w:val="auto"/>
        </w:rPr>
        <w:t>, primary CNS lymphoma;</w:t>
      </w:r>
      <w:r>
        <w:rPr>
          <w:rFonts w:ascii="Times New Roman" w:cs="Times New Roman" w:eastAsia="Times New Roman" w:hAnsi="Times New Roman"/>
          <w:sz w:val="11"/>
          <w:szCs w:val="11"/>
          <w:b w:val="1"/>
          <w:bCs w:val="1"/>
          <w:color w:val="auto"/>
        </w:rPr>
        <w:t xml:space="preserve"> PD</w:t>
      </w:r>
      <w:r>
        <w:rPr>
          <w:rFonts w:ascii="Times New Roman" w:cs="Times New Roman" w:eastAsia="Times New Roman" w:hAnsi="Times New Roman"/>
          <w:sz w:val="11"/>
          <w:szCs w:val="11"/>
          <w:color w:val="auto"/>
        </w:rPr>
        <w:t>, progressive disease;</w:t>
      </w:r>
      <w:r>
        <w:rPr>
          <w:rFonts w:ascii="Times New Roman" w:cs="Times New Roman" w:eastAsia="Times New Roman" w:hAnsi="Times New Roman"/>
          <w:sz w:val="11"/>
          <w:szCs w:val="11"/>
          <w:b w:val="1"/>
          <w:bCs w:val="1"/>
          <w:color w:val="auto"/>
        </w:rPr>
        <w:t xml:space="preserve"> PR</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partial response; </w:t>
      </w:r>
      <w:r>
        <w:rPr>
          <w:rFonts w:ascii="Times New Roman" w:cs="Times New Roman" w:eastAsia="Times New Roman" w:hAnsi="Times New Roman"/>
          <w:sz w:val="11"/>
          <w:szCs w:val="11"/>
          <w:b w:val="1"/>
          <w:bCs w:val="1"/>
          <w:color w:val="auto"/>
        </w:rPr>
        <w:t>SD</w:t>
      </w:r>
      <w:r>
        <w:rPr>
          <w:rFonts w:ascii="Times New Roman" w:cs="Times New Roman" w:eastAsia="Times New Roman" w:hAnsi="Times New Roman"/>
          <w:sz w:val="11"/>
          <w:szCs w:val="11"/>
          <w:color w:val="auto"/>
        </w:rPr>
        <w:t xml:space="preserve">, stable disease; </w:t>
      </w:r>
      <w:r>
        <w:rPr>
          <w:rFonts w:ascii="Times New Roman" w:cs="Times New Roman" w:eastAsia="Times New Roman" w:hAnsi="Times New Roman"/>
          <w:sz w:val="11"/>
          <w:szCs w:val="11"/>
          <w:b w:val="1"/>
          <w:bCs w:val="1"/>
          <w:color w:val="auto"/>
        </w:rPr>
        <w:t>WM</w:t>
      </w:r>
      <w:r>
        <w:rPr>
          <w:rFonts w:ascii="Times New Roman" w:cs="Times New Roman" w:eastAsia="Times New Roman" w:hAnsi="Times New Roman"/>
          <w:sz w:val="11"/>
          <w:szCs w:val="11"/>
          <w:color w:val="auto"/>
        </w:rPr>
        <w:t>, Waldenstrom’s macroglobulinemia</w:t>
      </w:r>
    </w:p>
    <w:p>
      <w:pPr>
        <w:spacing w:after="0" w:line="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Source: Searle et al., ASH 2023, Poster #4473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Clinical development of NX-2127</w:t>
      </w:r>
    </w:p>
    <w:p>
      <w:pPr>
        <w:spacing w:after="0" w:line="78" w:lineRule="exact"/>
        <w:rPr>
          <w:sz w:val="20"/>
          <w:szCs w:val="20"/>
          <w:color w:val="auto"/>
        </w:rPr>
      </w:pPr>
    </w:p>
    <w:p>
      <w:pPr>
        <w:ind w:right="80" w:firstLine="648"/>
        <w:spacing w:after="0" w:line="232" w:lineRule="exact"/>
        <w:rPr>
          <w:sz w:val="20"/>
          <w:szCs w:val="20"/>
          <w:color w:val="auto"/>
        </w:rPr>
      </w:pPr>
      <w:r>
        <w:rPr>
          <w:rFonts w:ascii="Times New Roman" w:cs="Times New Roman" w:eastAsia="Times New Roman" w:hAnsi="Times New Roman"/>
          <w:sz w:val="18"/>
          <w:szCs w:val="18"/>
          <w:color w:val="auto"/>
        </w:rPr>
        <w:t>We are studying the pharmacology, safety and clinical activity of NX-2127 in multiple subtypes of relapsed and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 including CLL, DLBCL, MCL, MZL and FL. We plan to focus development in indications where NX-2127 shows evidence of compelling clinical activity and where there is high unmet need.</w:t>
      </w:r>
    </w:p>
    <w:p>
      <w:pPr>
        <w:spacing w:after="0" w:line="76" w:lineRule="exact"/>
        <w:rPr>
          <w:sz w:val="20"/>
          <w:szCs w:val="20"/>
          <w:color w:val="auto"/>
        </w:rPr>
      </w:pPr>
    </w:p>
    <w:p>
      <w:pPr>
        <w:ind w:firstLine="648"/>
        <w:spacing w:after="0" w:line="213" w:lineRule="exact"/>
        <w:rPr>
          <w:sz w:val="20"/>
          <w:szCs w:val="20"/>
          <w:color w:val="auto"/>
        </w:rPr>
      </w:pPr>
      <w:r>
        <w:rPr>
          <w:rFonts w:ascii="Times New Roman" w:cs="Times New Roman" w:eastAsia="Times New Roman" w:hAnsi="Times New Roman"/>
          <w:sz w:val="18"/>
          <w:szCs w:val="18"/>
          <w:color w:val="auto"/>
        </w:rPr>
        <w:t>As illustrated in the diagram below, the Phase 1a/1b dose-escalation and cohort expansion trial is evaluating doses ranging from 50 mg to 300 mg, and currently includes expansion cohorts for patients with CLL, DLBCL and MCL. The Phase 1a portion is designed as a monotherapy dose escalation trial to investigate the safety and tolerability of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and to identify a maximum tolerated dose for further evaluation. The Phase 1b portion of the trial is designed as a monotherapy expansion trial in defined cohorts. We selected a 100 mg dose for a Phase 1b expansion in CLL patients and selected a 300 mg dose for Phase 1b expansion in MCL and DLBCL patients. The patient population in the trial was heavily pre-treated and included a sizeable proportion of patients with resistance mutations. Enrollment of new patients in this clinical trial is currently paused pending resolution of a partial clinical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60325</wp:posOffset>
            </wp:positionV>
            <wp:extent cx="4114800" cy="2125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48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1"/>
          <w:szCs w:val="11"/>
          <w:color w:val="auto"/>
        </w:rPr>
        <w:t xml:space="preserve">Planned number of evaluable patients (i.e., meeting DLT evaluability criteria); </w:t>
      </w:r>
      <w:r>
        <w:rPr>
          <w:rFonts w:ascii="Times New Roman" w:cs="Times New Roman" w:eastAsia="Times New Roman" w:hAnsi="Times New Roman"/>
          <w:sz w:val="14"/>
          <w:szCs w:val="14"/>
          <w:color w:val="auto"/>
          <w:vertAlign w:val="superscript"/>
        </w:rPr>
        <w:t>b</w:t>
      </w:r>
      <w:r>
        <w:rPr>
          <w:rFonts w:ascii="Times New Roman" w:cs="Times New Roman" w:eastAsia="Times New Roman" w:hAnsi="Times New Roman"/>
          <w:sz w:val="11"/>
          <w:szCs w:val="11"/>
          <w:color w:val="auto"/>
        </w:rPr>
        <w:t>Planned number of evaluable patients (i.e., meeting efficacy evaluability criteria)</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CLL</w:t>
      </w:r>
      <w:r>
        <w:rPr>
          <w:rFonts w:ascii="Times New Roman" w:cs="Times New Roman" w:eastAsia="Times New Roman" w:hAnsi="Times New Roman"/>
          <w:sz w:val="10"/>
          <w:szCs w:val="10"/>
          <w:color w:val="auto"/>
        </w:rPr>
        <w:t>, chronic lymphocytic leukemia;</w:t>
      </w:r>
      <w:r>
        <w:rPr>
          <w:rFonts w:ascii="Times New Roman" w:cs="Times New Roman" w:eastAsia="Times New Roman" w:hAnsi="Times New Roman"/>
          <w:sz w:val="10"/>
          <w:szCs w:val="10"/>
          <w:b w:val="1"/>
          <w:bCs w:val="1"/>
          <w:color w:val="auto"/>
        </w:rPr>
        <w:t xml:space="preserve"> DLBCL</w:t>
      </w:r>
      <w:r>
        <w:rPr>
          <w:rFonts w:ascii="Times New Roman" w:cs="Times New Roman" w:eastAsia="Times New Roman" w:hAnsi="Times New Roman"/>
          <w:sz w:val="10"/>
          <w:szCs w:val="10"/>
          <w:color w:val="auto"/>
        </w:rPr>
        <w:t>, diffuse large B-cell lymphoma;</w:t>
      </w:r>
      <w:r>
        <w:rPr>
          <w:rFonts w:ascii="Times New Roman" w:cs="Times New Roman" w:eastAsia="Times New Roman" w:hAnsi="Times New Roman"/>
          <w:sz w:val="10"/>
          <w:szCs w:val="10"/>
          <w:b w:val="1"/>
          <w:bCs w:val="1"/>
          <w:color w:val="auto"/>
        </w:rPr>
        <w:t xml:space="preserve"> DLT</w:t>
      </w:r>
      <w:r>
        <w:rPr>
          <w:rFonts w:ascii="Times New Roman" w:cs="Times New Roman" w:eastAsia="Times New Roman" w:hAnsi="Times New Roman"/>
          <w:sz w:val="10"/>
          <w:szCs w:val="10"/>
          <w:color w:val="auto"/>
        </w:rPr>
        <w:t>, dose-limiting toxicity;</w:t>
      </w:r>
      <w:r>
        <w:rPr>
          <w:rFonts w:ascii="Times New Roman" w:cs="Times New Roman" w:eastAsia="Times New Roman" w:hAnsi="Times New Roman"/>
          <w:sz w:val="10"/>
          <w:szCs w:val="10"/>
          <w:b w:val="1"/>
          <w:bCs w:val="1"/>
          <w:color w:val="auto"/>
        </w:rPr>
        <w:t xml:space="preserve"> FL</w:t>
      </w:r>
      <w:r>
        <w:rPr>
          <w:rFonts w:ascii="Times New Roman" w:cs="Times New Roman" w:eastAsia="Times New Roman" w:hAnsi="Times New Roman"/>
          <w:sz w:val="10"/>
          <w:szCs w:val="10"/>
          <w:color w:val="auto"/>
        </w:rPr>
        <w:t>, follicular lymphoma;</w:t>
      </w:r>
      <w:r>
        <w:rPr>
          <w:rFonts w:ascii="Times New Roman" w:cs="Times New Roman" w:eastAsia="Times New Roman" w:hAnsi="Times New Roman"/>
          <w:sz w:val="10"/>
          <w:szCs w:val="10"/>
          <w:b w:val="1"/>
          <w:bCs w:val="1"/>
          <w:color w:val="auto"/>
        </w:rPr>
        <w:t xml:space="preserve"> MCL</w:t>
      </w:r>
      <w:r>
        <w:rPr>
          <w:rFonts w:ascii="Times New Roman" w:cs="Times New Roman" w:eastAsia="Times New Roman" w:hAnsi="Times New Roman"/>
          <w:sz w:val="10"/>
          <w:szCs w:val="10"/>
          <w:color w:val="auto"/>
        </w:rPr>
        <w:t>, mantle cell lymphoma;</w:t>
      </w:r>
      <w:r>
        <w:rPr>
          <w:rFonts w:ascii="Times New Roman" w:cs="Times New Roman" w:eastAsia="Times New Roman" w:hAnsi="Times New Roman"/>
          <w:sz w:val="10"/>
          <w:szCs w:val="10"/>
          <w:b w:val="1"/>
          <w:bCs w:val="1"/>
          <w:color w:val="auto"/>
        </w:rPr>
        <w:t xml:space="preserve"> MTD</w:t>
      </w:r>
      <w:r>
        <w:rPr>
          <w:rFonts w:ascii="Times New Roman" w:cs="Times New Roman" w:eastAsia="Times New Roman" w:hAnsi="Times New Roman"/>
          <w:sz w:val="10"/>
          <w:szCs w:val="10"/>
          <w:color w:val="auto"/>
        </w:rPr>
        <w:t>, maximum tolerated dose;</w:t>
      </w:r>
      <w:r>
        <w:rPr>
          <w:rFonts w:ascii="Times New Roman" w:cs="Times New Roman" w:eastAsia="Times New Roman" w:hAnsi="Times New Roman"/>
          <w:sz w:val="10"/>
          <w:szCs w:val="10"/>
          <w:b w:val="1"/>
          <w:bCs w:val="1"/>
          <w:color w:val="auto"/>
        </w:rPr>
        <w:t xml:space="preserve"> MZL</w:t>
      </w:r>
      <w:r>
        <w:rPr>
          <w:rFonts w:ascii="Times New Roman" w:cs="Times New Roman" w:eastAsia="Times New Roman" w:hAnsi="Times New Roman"/>
          <w:sz w:val="10"/>
          <w:szCs w:val="10"/>
          <w:color w:val="auto"/>
        </w:rPr>
        <w:t>, marginal zone lymphoma;</w:t>
      </w:r>
      <w:r>
        <w:rPr>
          <w:rFonts w:ascii="Times New Roman" w:cs="Times New Roman" w:eastAsia="Times New Roman" w:hAnsi="Times New Roman"/>
          <w:sz w:val="10"/>
          <w:szCs w:val="10"/>
          <w:b w:val="1"/>
          <w:bCs w:val="1"/>
          <w:color w:val="auto"/>
        </w:rPr>
        <w:t xml:space="preserve"> PD</w:t>
      </w:r>
      <w:r>
        <w:rPr>
          <w:rFonts w:ascii="Times New Roman" w:cs="Times New Roman" w:eastAsia="Times New Roman" w:hAnsi="Times New Roman"/>
          <w:sz w:val="10"/>
          <w:szCs w:val="10"/>
          <w:color w:val="auto"/>
        </w:rPr>
        <w:t>, pharmacodynamics;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PK</w:t>
      </w:r>
      <w:r>
        <w:rPr>
          <w:rFonts w:ascii="Times New Roman" w:cs="Times New Roman" w:eastAsia="Times New Roman" w:hAnsi="Times New Roman"/>
          <w:sz w:val="11"/>
          <w:szCs w:val="11"/>
          <w:color w:val="auto"/>
        </w:rPr>
        <w:t>, pharmacokinetics;</w:t>
      </w:r>
      <w:r>
        <w:rPr>
          <w:rFonts w:ascii="Times New Roman" w:cs="Times New Roman" w:eastAsia="Times New Roman" w:hAnsi="Times New Roman"/>
          <w:sz w:val="11"/>
          <w:szCs w:val="11"/>
          <w:b w:val="1"/>
          <w:bCs w:val="1"/>
          <w:color w:val="auto"/>
        </w:rPr>
        <w:t xml:space="preserve"> PCNSL</w:t>
      </w:r>
      <w:r>
        <w:rPr>
          <w:rFonts w:ascii="Times New Roman" w:cs="Times New Roman" w:eastAsia="Times New Roman" w:hAnsi="Times New Roman"/>
          <w:sz w:val="11"/>
          <w:szCs w:val="11"/>
          <w:color w:val="auto"/>
        </w:rPr>
        <w:t>, primary central nervous system lymphoma;</w:t>
      </w:r>
      <w:r>
        <w:rPr>
          <w:rFonts w:ascii="Times New Roman" w:cs="Times New Roman" w:eastAsia="Times New Roman" w:hAnsi="Times New Roman"/>
          <w:sz w:val="11"/>
          <w:szCs w:val="11"/>
          <w:b w:val="1"/>
          <w:bCs w:val="1"/>
          <w:color w:val="auto"/>
        </w:rPr>
        <w:t xml:space="preserve"> SLL</w:t>
      </w:r>
      <w:r>
        <w:rPr>
          <w:rFonts w:ascii="Times New Roman" w:cs="Times New Roman" w:eastAsia="Times New Roman" w:hAnsi="Times New Roman"/>
          <w:sz w:val="11"/>
          <w:szCs w:val="11"/>
          <w:color w:val="auto"/>
        </w:rPr>
        <w:t>, small lymphocytic lymphoma;</w:t>
      </w:r>
      <w:r>
        <w:rPr>
          <w:rFonts w:ascii="Times New Roman" w:cs="Times New Roman" w:eastAsia="Times New Roman" w:hAnsi="Times New Roman"/>
          <w:sz w:val="11"/>
          <w:szCs w:val="11"/>
          <w:b w:val="1"/>
          <w:bCs w:val="1"/>
          <w:color w:val="auto"/>
        </w:rPr>
        <w:t xml:space="preserve"> WM</w:t>
      </w:r>
      <w:r>
        <w:rPr>
          <w:rFonts w:ascii="Times New Roman" w:cs="Times New Roman" w:eastAsia="Times New Roman" w:hAnsi="Times New Roman"/>
          <w:sz w:val="11"/>
          <w:szCs w:val="11"/>
          <w:color w:val="auto"/>
        </w:rPr>
        <w:t>, Waldenstrom's macroglobulinemia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findings</w:t>
      </w:r>
    </w:p>
    <w:p>
      <w:pPr>
        <w:spacing w:after="0" w:line="1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Updated data from the NX-2127 clinical study presented at the 65th ASH annual meeting in December 2023 described positive data for NX-2127 in patients with NHL and CLL, confirming a manageable safety profile that is consistent with previous reports for BTK-targeted and immunomodulatory therapies.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BTK and Ikaros degradation was demonstrated at all dose levels in patient samples,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5657850" cy="1954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Source: Danilov et al., ASH 2023, Poster #4463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6" w:name="page17"/>
    <w:bookmarkEnd w:id="16"/>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safety findings from the study confirmed the manageable and predictable safety profile. The most common TEAEs (any grade) were fatigue, neutropenia, hypertension, bruising/contusion, and diarrhea. The most common grade ≥3 TEAEs were neutropenia, hypertension and anemia. Atrial fibrillation was observed in six patients (11.1%; down from 17% reported previously), with three patients (5.6%) having grade ≥3 events. Twenty-one patients (38.9%) had serious TEAEs, of whom eight (14.8%) had SAEs considered related to NX-2127 treatment. Two patients experienced dose limiting toxicities (cognitive disturbance, neutropenia; both at the 300 mg dose).</w:t>
      </w:r>
    </w:p>
    <w:p>
      <w:pPr>
        <w:spacing w:after="0" w:line="8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Efficacy findings showed promising clinical activity: For patients with NHL encouraging and durable responses were observed, including two complete responses at week eight and two partial responses at week eight. For patients with CLL despite a median of five prior lines of treatment and BTK mutations present in 36% of patients, NX-2127 treatment resulted in an objective overall response rate of 40.7%, including partial responses in 11 patients, with treatment ongoing in 13 patients. Tumor shrinkage and clinical responses were observed in patients regardless of prior lines of therapy or baseline BTK mutations.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NX-2127 NHL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4445</wp:posOffset>
            </wp:positionV>
            <wp:extent cx="5657850" cy="2743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NX-2127 CLL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85725</wp:posOffset>
            </wp:positionV>
            <wp:extent cx="5657850" cy="3000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Source: Danilov et al., ASH 2023, Poster #4463</w:t>
      </w:r>
    </w:p>
    <w:p>
      <w:pPr>
        <w:sectPr>
          <w:pgSz w:w="11900" w:h="16838" w:orient="portrait"/>
          <w:cols w:equalWidth="0" w:num="1">
            <w:col w:w="11160"/>
          </w:cols>
          <w:pgMar w:left="320" w:top="103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elevation portfolio in clinical trials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CBL-B</w:t>
      </w:r>
    </w:p>
    <w:p>
      <w:pPr>
        <w:spacing w:after="0" w:line="119" w:lineRule="exact"/>
        <w:rPr>
          <w:sz w:val="20"/>
          <w:szCs w:val="20"/>
          <w:color w:val="auto"/>
        </w:rPr>
      </w:pPr>
    </w:p>
    <w:p>
      <w:pPr>
        <w:ind w:right="260" w:firstLine="648"/>
        <w:spacing w:after="0" w:line="270" w:lineRule="auto"/>
        <w:rPr>
          <w:sz w:val="20"/>
          <w:szCs w:val="20"/>
          <w:color w:val="auto"/>
        </w:rPr>
      </w:pPr>
      <w:r>
        <w:rPr>
          <w:rFonts w:ascii="Times New Roman" w:cs="Times New Roman" w:eastAsia="Times New Roman" w:hAnsi="Times New Roman"/>
          <w:sz w:val="17"/>
          <w:szCs w:val="17"/>
          <w:color w:val="auto"/>
        </w:rPr>
        <w:t>T cells play a key role in cell-mediated adaptive immune response. Activation, expansion and function of antigen-specific T cells is a multistep process and its outcome depends on the balance of positive and negative feedback mechanisms controlling each step. Many factors can hamper the development of an efficient anti-tumor immune response, such as insufficient expression of tumor antigens, defective antigen presentation, inhibitory molecular interactions including those effected by immune checkpoints, immune suppressive factors or suppressor cells and T-cell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-23495</wp:posOffset>
            </wp:positionV>
            <wp:extent cx="5657850" cy="2794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CBL-B, an E3 ligase expressed in immune cell lineages, functions as an intracellular orchestrator of the immune response by negatively regulating T-cell activation, as illustrated above. CBL-B also limits function and survival of NK cells, B cells and dendritic cells as well as promotes T-cell exhaustion, anergy, and cell death. As such CBL-B represents a pivotal pathway negatively regulating immunity. CBL-B deficient animal models demonstrate enhanced signal dependent T-cell activation and robust T-cell dependent anti-tumor immunity.</w:t>
      </w:r>
    </w:p>
    <w:p>
      <w:pPr>
        <w:spacing w:after="0" w:line="6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CBL-B is highly expressed in human CD4+ and CD8+ T cells, with expression tightly regulated by CD28 and CTLA-4 and other co-stimulatory and inhibitory signals. T cells typically require two signals for activation, the first provided by interaction of the T-cell receptor (TCR) with a peptide presented by an MHC molecule, and the second through co-stimulatory molecules on antigen-presenting cells. CBL-B plays an essential role in the negative regulation of T-cell activation by regulating the activity of the TCR through substrate proteins that require a costimulatory signal to mount a productive immune response upon TCR engagement. Studies have found that CBL-B deficient T cells display lower thresholds for activation by antigen recognition receptors and co-stimulatory molecules such as CD28. For example, loss of CBL-B in T cells results in T cells that can be activated upon TCR engagement without co-stimulation by CD28. Importantly, our CBL-B inhibitors do not appear to activate T cells in the absence of TCR engagement. Such CBL-B deficient T cells are resistant to T-cell anergy, a tolerance mechanism in which T cells are functionally inactivated and T-cell proliferation is greatly impaired. Notably, CBL-B deficient T cells show increased rates of proliferation as well as elevated cytokine secretion including IL-2. The increased secretion of IL-2 is of particular importance in the optimization and development of our CBL-B inhibitors, serves as a key cellular biomarker for measuring successful T-cell activation and is a known therapeutic cytokine in oncology.</w:t>
      </w:r>
    </w:p>
    <w:p>
      <w:pPr>
        <w:spacing w:after="0" w:line="75"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believe that our oral, small molecule CBL-B inhibitor, NX-1607, has several potential immunotherapy applications through enhancing T-cell mediated anti-tumor activity by lowering the activation threshold of T cells in a suppressive tumor microenvironment where CBL-B plays a key role in the downregulation of T cells. Importantly, NX-1607 does not appear to activate T cells in the absence of TCR engagement. We are studying NX-1607 in a Phase 1a dose escalation trial in multiple solid tumors and lymphoma. Solid tumors represent the vast majority of human cancers. Various immunotherapy strategies have been developed in order to increase the efficiency of anti-tumor immune response, including the use of antibody checkpoint inhibitors such as anti-PD-1, anti-PD-L1 and anti-CTLA-4, which block the “brakes” of immune response. These immune-stimulating antibodies have a more favorable clinical outcome than traditional treatment modalities on a growing list of tumor types. However, most patients fail to respond or experience only transient responses.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Preclinical development of CBL-B inhibitors</w:t>
      </w:r>
    </w:p>
    <w:p>
      <w:pPr>
        <w:spacing w:after="0" w:line="11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We have developed a series of potent small molecule inhibitors of CBL-B activity that have demonstrated biochemical activity and effects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on human immune cells as well as in mouse tumor models. Consistent with studies cited above, CBL-B inhibitors enhanced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T-cell activation as measured by induction of IL-2, a key cytokine required for immune cell activation and proliferation. Induction of IL-2 secretion occurs at low nanomolar concentrations in primary human and mouse T cells stimulated with anti-CD3/anti-CD28 antibodies or anti-CD3 antibodies alone. As illustrated below, we demonstrated several fold increases in IL-2 production in tandem with increasing biochemical activity of our CBL-B inhibitors. In addition, certain of our CBL-B inhibitors reduced anergy and exhaustion in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model of T-cell exhaustion using human donor T cells and further, this effect was additive to that achieved with an anti-PD -1 antibody. Based on our findings to date, we believe that CBL-B inhibitors may induce an immune cell localized IL-2 secretion that in combination with other immune activation effects will enhance anti-tumor responses. The precursor compounds shown in the graphs below led to the optimization and selection of NX-1607 as a development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-6350</wp:posOffset>
            </wp:positionV>
            <wp:extent cx="5657850" cy="1997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NX-1607, an oral CBL-B inhibitor for immuno-oncology</w:t>
      </w:r>
    </w:p>
    <w:p>
      <w:pPr>
        <w:spacing w:after="0" w:line="117"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 xml:space="preserve">NX-1607 is an investigational, orally bioavailable, potent inhibitor of CBL-B.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demonstrated that NX-1607 treatment resulted in a dose-dependent increase in T cell activation in TCR stimulated primary human T cells in the presence and, to a lesser extent, in the absence of CD28 co-stimulation, a potential advantage in a suppressive tumor microenvironment.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NX-1607 has been demonstrated to increase T-cell activation in primary human T cells in the absence of co-stimulation with CD3 and CD28, a potential advantage in a suppressive tumor microenvironment.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oral administration of NX-1607 in mice has demonstrated notable tumor growth inhibition in a tumor model as illustrated in the figure below on the left. The tumor growth inhibition with oral administration of NX-1607 recapitulates the genetic experiment in mice with a ligase-inactive version of CBL-B which also shows tumor growth inhibition as illustrated in the figure below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-8255</wp:posOffset>
            </wp:positionV>
            <wp:extent cx="5657850" cy="2245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5" w:right="379" w:bottom="1440" w:gutter="0" w:footer="0" w:header="0"/>
        </w:sectPr>
      </w:pPr>
    </w:p>
    <w:bookmarkStart w:id="19" w:name="page20"/>
    <w:bookmarkEnd w:id="19"/>
    <w:p>
      <w:pPr>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effects of orally administered NX-1607 were further evaluated as a single agent in several mouse models of cancer. In the experiments shown in the figure below on the left, oral treatment with NX-1607 at a dose of 30 mg/kg (blue circles) significantly reduced the size of tumors measured at day 25 compared to vehicle treated animals (black squares) in this colorectal cancer model. In the figure below in the middle, oral treatment with NX-1607 significantly increased survival in this neoadjuvant model of metastatic triple-negative breast cancer in which treatment was initiated just prior to surgical primary tumor resection. Without further treatment, all mice in the vehicle group (black line) died by day 60 as a result of disseminated tumor metastases in the lung, liver and brain. By contrast, animals treated with NX-1607 (blue line) administered as a daily oral dose starting at day seven and continuing through day 46 demonstrated a highly significant prolongation of survival. In the figure below on the right, oral treatment with NX-1607 (blue squares) significantly reduced the size of tumors and the rate of tumor growth compared to the vehicle group (black circles) in a B-cell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66675</wp:posOffset>
            </wp:positionV>
            <wp:extent cx="5657850" cy="2383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effects of orally administered NX-1607 were evaluated in combination with an antibody to PD-1 in several mouse models of cancer as shown in the figure below. In the left and middle panels, the combination of oral NX-1607 plus anti-PD-1 (light blue lines) demonstrated increased survival in two separate colorectal cancer models compared with animals treated with either NX-1607 alone (blue line), anti-PD -1 alone (red line) or vehicle (black line). In the panel on the right, the activity of oral NX-1607, anti-PD-1 and the combination of NX-1607 and anti-PD-1 were tested in a model of metastatic triple-negative breast cancer. Both single agent NX-1607 (blue triangles) and single agent anti-PD-1 (red circles) reduced the number of lung metastases at day 28 compared with the vehicle group (black squares), but the combination of NX-1607 and anti-PD-1 (light blue diamonds) was superior to either single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wp:posOffset>
            </wp:positionV>
            <wp:extent cx="5657850" cy="2408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Clinical development of NX-1607</w:t>
      </w:r>
    </w:p>
    <w:p>
      <w:pPr>
        <w:spacing w:after="0" w:line="11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are studying the pharmacology, safety and clinical activity of single-agent NX-1607 and the combination of NX-1607 with taxane chemotherapy in multiple solid tumor indications and lymphoma. The solid tumors selected for this initial assessment include three different immune phenotypes: checkpoint-resistant tumors, tumors with an immunosuppressive microenvironment and tumors that are poorly immunogenic. We believe that there is a scientific rationale for the role of CBL-B inhibition in each of these immune phenotypes.</w:t>
      </w:r>
    </w:p>
    <w:p>
      <w:pPr>
        <w:spacing w:after="0" w:line="69" w:lineRule="exact"/>
        <w:rPr>
          <w:sz w:val="20"/>
          <w:szCs w:val="20"/>
          <w:color w:val="auto"/>
        </w:rPr>
      </w:pPr>
    </w:p>
    <w:p>
      <w:pPr>
        <w:jc w:val="both"/>
        <w:ind w:right="360" w:firstLine="648"/>
        <w:spacing w:after="0" w:line="312" w:lineRule="auto"/>
        <w:rPr>
          <w:sz w:val="20"/>
          <w:szCs w:val="20"/>
          <w:color w:val="auto"/>
        </w:rPr>
      </w:pPr>
      <w:r>
        <w:rPr>
          <w:rFonts w:ascii="Times New Roman" w:cs="Times New Roman" w:eastAsia="Times New Roman" w:hAnsi="Times New Roman"/>
          <w:sz w:val="17"/>
          <w:szCs w:val="17"/>
          <w:color w:val="auto"/>
        </w:rPr>
        <w:t>As illustrated in the diagram below, we are conducting a Phase 1a/1b dose-escalation and cohort expansion study of NX-1607 in patients with relapsed or refractory solid tumors and lymphoma. We are currently enrolling patients in the Phase 1a dose escalation portion of the monotherapy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-44450</wp:posOffset>
            </wp:positionV>
            <wp:extent cx="5657850" cy="3180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DELigase platform</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approach leverages the specificity of E3 ligases and the natural function of the UPS to regulate the cellular proteome for therapeutic effect. Development of therapies that modulate E3 ligases has been historically limited by the inherent difficulties in building biochemical and cellular assays relevant for measuring E3 ligase function, as well as by the relative lack of mechanistic understanding of this critical class of proteins. Through our focused efforts and investment over the past several years, we have developed proprietary tools, in-depth knowledge and expertise relating to E3 ligases as targets for drug discovery. In addition, we have assembled a team that has extensive experience applying DEL discovery technologies to a wide variety of proteins including targets previously considered undruggable. Together, these capabilities and insights have allowed us to develop a powerful platform technology called DELigase to identify and advance novel drug candidates that either selectively increase or decrease protein levels within the cell.</w:t>
      </w:r>
    </w:p>
    <w:p>
      <w:pPr>
        <w:spacing w:after="0" w:line="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DELigase platform combines our proprietary DELs and E3 ligase expertise to empower efficient drug discovery. DEL technology is well suited to finding new binders for targets thought to be undruggable, which include the vast majority of proteins encoded in the human genome including E3 ligases.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DEL technology taps enormous chemical space to overcome “druggability” limits</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Our DEL collection comprises several billion compounds whereas typical screening collections contain less than a few million. This increased scale provides the necessary chemical diversity to identify chemical starting points for more challenging protein targets that have been considered undruggable by other approaches. DEL technology evaluates each library compound simultaneously in a single experiment, enabling a more accurate assessment of compound function. In addition, because DEL drug discovery is performed by measuring compound binding rather than biochemical activity it allows inclusion of proteins for which biochemical assays are lacking or not feasible. Further, the relative ease with which binding screens can be performed and interpreted provides sufficient flexibility to allow evaluation of structurally complicated proteins like E3 ligases, which display distinct conformations and activity states and are often part of large multi-protein complexes. Lastly, a chemical linker attaches each DEL compound to a strand of DNA, which functions as a structure barcode allowing screening hits to be easily identified. DEL’s built in chemical linker is also an advantage in the context of identifying bifunctional degraders, as it allows the discovery of compounds that can effectively bind proteins when linked to a partner molecule.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DELigase platform was designed for E3 ligase discovery</w:t>
      </w:r>
    </w:p>
    <w:p>
      <w:pPr>
        <w:spacing w:after="0" w:line="121"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Our integrated DELigase platform relies on proprietary DELs we have specifically engineered to identify and select binders against a diverse group of target protein classes, including some considered to be undruggable, as well as binders to E3 ligases. Key features of our DELigase platform include:</w:t>
      </w:r>
    </w:p>
    <w:p>
      <w:pPr>
        <w:spacing w:after="0" w:line="57" w:lineRule="exact"/>
        <w:rPr>
          <w:sz w:val="20"/>
          <w:szCs w:val="20"/>
          <w:color w:val="auto"/>
        </w:rPr>
      </w:pPr>
    </w:p>
    <w:p>
      <w:pPr>
        <w:ind w:left="660" w:right="40" w:hanging="328"/>
        <w:spacing w:after="0" w:line="24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Custom-synthesized DELs. </w:t>
      </w:r>
      <w:r>
        <w:rPr>
          <w:rFonts w:ascii="Times New Roman" w:cs="Times New Roman" w:eastAsia="Times New Roman" w:hAnsi="Times New Roman"/>
          <w:sz w:val="18"/>
          <w:szCs w:val="18"/>
          <w:color w:val="auto"/>
        </w:rPr>
        <w:t>Our custom-synthesized chemical scaffolds impart desirable, drug-like chemical properties, like solubility, into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library compound in a manner that cannot be achieved when building DEL collections solely from commercial inputs. The three-dimensional design of the proprietary scaffolds allows our library compounds to complement the surface of the target proteins, making them ideal for binding targets classically considered undruggable, such as E3 ligases. For 75% of the undruggable targets screened by us, the scaffold libraries have been the sole source of hits from our collection. Our collection of over 5 billion compounds also enables us to find diverse hits for classical targets and contains a sizable subset of covalent compounds, which have been shown as another effective way to bind E3 ligases. Covalent compounds have begun to show promise in augmenting performance of targeted protein degraders, suggesting that our covalent DELs may have additional utility for Targeted Protein Modulation.</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Design of the Nurix DEL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18415</wp:posOffset>
            </wp:positionV>
            <wp:extent cx="5657850" cy="2305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right="60" w:hanging="328"/>
        <w:spacing w:after="0" w:line="25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data analysis and hit confirmation technologies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built a suite of custom analytical tools for interpretation and prioritization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DEL binder outputs, which routinely contain thousands of productive hits. By leveraging data collected from hundreds of DEL screens, we are able to rapidly eliminate background signal and reveal the most promising target-specific ligands. We have also developed machine learning and high throughput methods for nanoscale hit resynthesis and affinity selection mass spectroscopy that allow a more comprehensive and industrialized process for finding the best chemical starting points for future pipeline programs.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2" w:name="page23"/>
    <w:bookmarkEnd w:id="22"/>
    <w:p>
      <w:pPr>
        <w:jc w:val="center"/>
        <w:ind w:right="192"/>
        <w:spacing w:after="0"/>
        <w:rPr>
          <w:sz w:val="20"/>
          <w:szCs w:val="20"/>
          <w:color w:val="auto"/>
        </w:rPr>
      </w:pPr>
      <w:r>
        <w:rPr>
          <w:rFonts w:ascii="Times New Roman" w:cs="Times New Roman" w:eastAsia="Times New Roman" w:hAnsi="Times New Roman"/>
          <w:sz w:val="18"/>
          <w:szCs w:val="18"/>
          <w:i w:val="1"/>
          <w:iCs w:val="1"/>
          <w:color w:val="auto"/>
        </w:rPr>
        <w:t>Leveraging the Nurix DEL Database for clear classification of enriched DEL ligands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18415</wp:posOffset>
            </wp:positionV>
            <wp:extent cx="6069330" cy="23660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8" w:hanging="328"/>
        <w:spacing w:after="0" w:line="25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Many screens, one protein target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E3 ligases can exist in multiple potential conformation states. Our approach uses comprehensive parallel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screening campaigns to interrogate numerous states and surfaces of the target protein. An illustration of how we probe the surface of an E3 ligase by DEL screening is depicted in the graphic below.</w:t>
      </w:r>
    </w:p>
    <w:p>
      <w:pPr>
        <w:spacing w:after="0" w:line="79"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8"/>
          <w:szCs w:val="18"/>
          <w:i w:val="1"/>
          <w:iCs w:val="1"/>
          <w:color w:val="auto"/>
        </w:rPr>
        <w:t>DELs allow access to a spectrum of binders across the protein surface, some of which inhibit protein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18415</wp:posOffset>
            </wp:positionV>
            <wp:extent cx="5657850" cy="3008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7"/>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8"/>
          </w:cols>
          <w:pgMar w:left="652" w:top="929" w:right="459" w:bottom="1440" w:gutter="0" w:footer="0" w:header="0"/>
        </w:sectPr>
      </w:pPr>
    </w:p>
    <w:bookmarkStart w:id="23" w:name="page24"/>
    <w:bookmarkEnd w:id="23"/>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Rapid automated chemistry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state-of-the-art automated chemistry robotic suite allows for rapid synthesis of both binders and fully assembled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degrader molecules. This automation enables us to sample unprecedented chemical space and allows for faster design test cycles which accelerates drug discovery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-17780</wp:posOffset>
            </wp:positionV>
            <wp:extent cx="5657850" cy="2288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right="20" w:hanging="328"/>
        <w:spacing w:after="0" w:line="252"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Harnessing our data generation pipelines with Machine Learning. </w:t>
      </w:r>
      <w:r>
        <w:rPr>
          <w:rFonts w:ascii="Times New Roman" w:cs="Times New Roman" w:eastAsia="Times New Roman" w:hAnsi="Times New Roman"/>
          <w:sz w:val="18"/>
          <w:szCs w:val="18"/>
          <w:color w:val="auto"/>
        </w:rPr>
        <w:t>Our investment in scalable science has created large data streams stemming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our DEL, automated chemistry, and high-throughput experimental platforms. Our internal machine learning team leverages these data in developing models to enable property prediction of our targeted degraders, to support small molecule and TPD lead optimization efforts and to enhance the data analysis and lead ID workflows of our DEL platform.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DELigase discovery platform enables us to address multiple therapeutic applications</w:t>
      </w:r>
    </w:p>
    <w:p>
      <w:pPr>
        <w:spacing w:after="0" w:line="12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have expanded the universe of E3 ligases available for therapeutic manipulation from the two predominantly used in the field, cereblon and VHL, by screening over 60 additional E3 ligases to date. We have carefully selected these E3 ligases for use in drug discovery across our three core areas of therapeutic expertise: oncology, immuno-oncology and immune disorders. We consider the unique biological function of each ligase and the therapeutic requirements of the disease state for inhibitor programs. For ligases that direct targeted protein degradation, we take into account the biochemical specificity of the E3 ligase as well as tissue specificity of action and cellular localization of the target protein. E3 ligases that are required for cancer cell survival are also of high interest for cancer indications to reduce the risk of intrinsic resistance to degrader action. We are growing our set of E3 ligases for use in our DELigase platform tailored to our core therapeutic areas.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DELigase for E3 ligase harnesses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apply our platform to utilize the ubiquitination function of E3 ligases for targeted protein degradation. Our DELigase platform enables us to identify binders to E3 ligases, which we refer to as harnesses, as well as binders to degradation targets. We use these molecular starting points to design compounds using a modular approach that connects an E3 ligase harness to a target protein binder with a linker. We refer to these bifunctional molecules as targeted protein degraders, which function by bringing the E3 ligase into proximity of the target protein to catalyzing its ubiquitination and degradation.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DELigase for E3 ligase inhibitors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By inhibiting the function of E3 ligases, it is possible to rapidly increase specific protein levels to control biological pathways. Increasing the levels of distinct sets of proteins could be a powerful approach to blocking pathological processes and restoring normal physiology. Our DELigase platform enables the identification of inhibitors through parallel screening of distinct E3 ligase activity states using chemical matter tailored specifically for binding to E3 ligases. Our substantial expertise in E3 ligase biochemistry and biology has allowed us to identify and develop potent inhibitors of E3 ligases that play pivotal roles in T-cell signaling and immune cell function.</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Drug candidate identification and selection process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employ a series of processes and studies from target validation to preclinical development for selection of the appropriate candidate for further development. We have invested in an integrated drug development infrastructure that enables us to perform every step of the drug discovery and early preclinical development process within our research facility. Each of our primary areas of core expertise and technology are highlighted in the below illustration.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Our integrated drug discovery and development system and core technical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18415</wp:posOffset>
            </wp:positionV>
            <wp:extent cx="5657850" cy="2271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the option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w:t>
      </w:r>
    </w:p>
    <w:p>
      <w:pPr>
        <w:spacing w:after="0" w:line="78"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ind w:firstLine="648"/>
        <w:spacing w:after="0" w:line="245"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November 30, 2023, we received payments of $47.0 million for research milestones and additional payments and $20.0 million for a license option exercise payment. As of November 30, 2023, we are eligible to receive up to approximately $2.3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spacing w:after="0" w:line="7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 to expire option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73"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Also in July 2022, Sanofi elected to replace certain drug targets, and the substitution extended the research term of those targets by one year to 5.25 years. In August 2022 and November 2023, we entered into the Fourth Amendment and Fifth Amendment, respectively, to the Sanofi Agreement to modify the research plan for certain targets.</w:t>
      </w:r>
    </w:p>
    <w:p>
      <w:pPr>
        <w:spacing w:after="0" w:line="69"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9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November 30, 2023, we received payments of $7.0 million for research milestones. Additionally, we achieved two research milestones in November 2023 and received payments totaling $4.0 million in January 2024 as a result. As of November 30, 2023, we are eligible to receive up to approximately $2.5 billion in total additional payments based on certain additional fees, payments and the successful completion of certain research development, regulatory and sales milestones, as well as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92"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8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6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exercised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6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Pfizer Agreement, we received an upfront payment of $60.0 million. We are eligible to receive up to approximately $3.4 billion in contingent payments based on specified research, development, regulatory and commercial milestones across multiple programs, and are eligible for mid-single to low double digit percentage tiered royalties on future sales.</w:t>
      </w:r>
    </w:p>
    <w:p>
      <w:pPr>
        <w:spacing w:after="0" w:line="61"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facilities for product manufacturing, packaging, storage and distribution, or testing. We rely on and expect to continue to rely on contract manufacturing organizations (CMOs) for both drug substance and finished drug product. We have personnel or engaged consultants with extensive technical, manufacturing, analytical and quality experience and good project management to oversee contract manufacturing and testing activities. We have engaged third-party manufacturers to supply the drug substances for NX-5948, NX-2127 and NX-1607 and to develop and manufacture finished drug products for use in our clinical trials. Should any of these manufacturers become unavailable to us for any reason, we believe that there are a number of potential replacements, although we may incur some delay in identifying and qualifying such replacements.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firstLine="648"/>
        <w:spacing w:after="0" w:line="247" w:lineRule="auto"/>
        <w:rPr>
          <w:sz w:val="20"/>
          <w:szCs w:val="20"/>
          <w:color w:val="auto"/>
        </w:rPr>
      </w:pPr>
      <w:r>
        <w:rPr>
          <w:rFonts w:ascii="Times New Roman" w:cs="Times New Roman" w:eastAsia="Times New Roman" w:hAnsi="Times New Roman"/>
          <w:sz w:val="18"/>
          <w:szCs w:val="18"/>
          <w:color w:val="auto"/>
        </w:rPr>
        <w:t>All of our drug candidates are organic compounds of low molecular weight, generally called small molecules, but which are larger than traditional small molecule therapeutics. We have selected these compounds not only on the basis that they could have potentially favorable efficacy and safety profiles, but also for their ease of synthesis and the reasonable cost of their starting materials. In particular, our lead drug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rapidly advancing technologies, intense competition and a strong emphasis on intellectual property and proprietary products. While we believe that our technology, development experience, scientific knowledge and intellectual property portfolio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modulation, but any drug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9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focus is the discovery and development of innovative small molecules and antibody therapies designed to modulate protein levels, including targeted protein degraders. Other companies that primarily focus on developing small molecules that degrade target proteins include, but are not limited to, Arvinas, Inc., BioTheryX, Inc., C4 Therapeutics, Inc., Cullgen Inc., Foghorn Therapeutics Inc., Kymera Therapeutics, Inc. and Monte Rosa Therapeutics. Drug candidates from our BTK degrader and CBL-B inhibitor programs may face competition from drugs with similar mechanisms of action. We are aware of clinical-staged BTK degraders currently in development by AbbVie Inc., Accutar Biotechnology, Inc., BeiGene, Ltd, Haisco Pharmaceutical Group Co., Ltd. and Ubix Therapeutics, Inc. In addition, we are aware of a clinical-staged CBL-B inhibitor currently in development by HotSpot Therapeutics, Inc.</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lead drug candidates target hematologic cancers and immune-mediated diseases. The most common methods of treating patients in oncologic indications are surgery, radiation and drug therapy, including chemotherapy, hormone therapy and targeted drug therapy. There are a variety of available drug therapies marketed for cancer, including hematologic cancers.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9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addition to currently marketed drugs, there are also several drug candidates in late-stage clinical development for the treatment of oncologic indications and immune-mediated diseases. These products in development may provide efficacy, safety, convenience and other benefits that are not provided by currently marketed therapies. As a result, they may provide significant competition for any of our drug candidates for which we obtain market approval.</w:t>
      </w:r>
    </w:p>
    <w:p>
      <w:pPr>
        <w:spacing w:after="0" w:line="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If any of our drug candidates are approved for the indications for which we currently are conducting clinical trials or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8" w:name="page29"/>
    <w:bookmarkEnd w:id="28"/>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8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platforms, drug candidates and improvements thereof that are commercially important to our business, including obtaining, maintaining and defending patent rights, whether developed internally or licensed from third parties. Our policy is to seek to protect our proprietary position by, among, other methods, pursuing patent protection in the United States and in jurisdictions outside of the United States related to our proprietary technology, inventions, improvements, platforms and drug candidates that are important to the development and implementation of our business. Our patent portfolio is intended to cover, but is not limited to, our technology platforms, drug candidates and components thereof and their methods of use, and any other inventions that are commercially important to our business.</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also rely on trade secret protection of our confidential information and know-how relating to our proprietary technology, platforms and drug candidates and continuing innovation to develop, strengthen and maintain our position in our DELigase platform and drug candidates. Trade secrets are difficult to protect and provide us with only limited protection.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 applications; to defend against challenges and assertions by third parties of their purported intellectual property rights; and to operate without infringement of valid and enforceable patents and other proprietary rights of third parties. For risks related to our intellectual property, please see “Risk Factors—Risks Related to Our Intellectual Property.”</w:t>
      </w:r>
    </w:p>
    <w:p>
      <w:pPr>
        <w:spacing w:after="0" w:line="92"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We believe that we have a strong global intellectual property position and substantial know how and trade secrets relating to our DELigase platform and drug candidates. As of December 31, 2023, we have five U.S. patents, 22 U.S. patent applications, one foreign patent and 103 foreign applications that we own, and one U.S. patent, four pending U.S. patent applications and 26 foreign patent applications that we co-own with Gilead. The expected expirations for issued patents and patents that may issue from pending applications covering our clinical candidates are between the years 2039 and 2042 for NX-5948 and NX-2127; and between 2040 and 2043 for NX-1607.</w:t>
      </w:r>
    </w:p>
    <w:p>
      <w:pPr>
        <w:spacing w:after="0" w:line="7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most countries in which we file, including the United States, the patent term is 20 years from the earliest date of filing of a non-provisional patent application in the applicable country. However, the patent term of U.S. patents may, in certain cases, be adjusted for administrative delays by the United States Patent and Trademark Office (USPTO) in examining and granting a patent or may be shortened if a patent is terminally disclaimed over an earlier filed patent. In addition, the term of a patent may be extended as compensation for the patent term lost during the FDA regulatory review process.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Regulation—The Hatch-Waxman Act—Patent term extension.” In the future, if and when our pharmaceutical drug candidates receive FDA approval, we expect to apply for patent term extensions on patents, if issued, covering those drug candidates. We intend to seek patent term extensions to any of our patents, if issued, in any jurisdiction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9" w:name="page30"/>
    <w:bookmarkEnd w:id="29"/>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6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also rely on trade secret protection for our know-how, confidential and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confidential and proprietary information as trade secrets, including through contractual means with our employees, consultants, outside scientific collaborators, sponsored researchers and other advisors, competitors or other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Despite these efforts, we cannot provide any assurances that all such agreements have been duly executed, and any of these parties may breach the agreements and disclose our proprietary information, and we may not be able to obtain adequate remedies for such breaches.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sections titled “Risk Factors— Risks Related to Our Intellectual Property” and “Risk Factors—Risks Related to Regulatory Approval and Marketing of Our Drug Candidates.”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In the United States, biological and pharmaceutical products are subject to extensive regulation by the FDA. The Federal Food, Drug, and Cosmetic Act (FDCA), Public Health Service Act (PHSA), and other federal and state statutes and regulations govern, among other things, the research, development, testing, manufacture, quality control, packaging, storage, recordkeeping, approval, labeling, promotion, advertising and marketing, distribution, post-approval monitoring and reporting, sampling, tracking and tracing and import and export of biological and pharmaceutical products. Failure to comply with applicable U.S. requirements may subject a company to a variety of administrative or judicial sanctions, such as FDA refusal to approve pending new drug applications (NDAs) or biologics licensure applications (BLAs), withdrawal of an approval, imposition of a clinical hold, warning or untitled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w:t>
      </w:r>
    </w:p>
    <w:p>
      <w:pPr>
        <w:spacing w:after="0" w:line="93"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Biological or pharmaceutical product development for a new product or certain changes to an approved or licensed product in the United States typically involves preclinical laboratory and animal tests, the submission to the FDA of an investigational new drug application (IND) which must become effective before clinical testing may commence, and adequate and well-controlled clinical trials to establish the safety and effectiveness of a drug, or the safety, purity, or potency of a biological product, for each indication for which FDA approval is sought. Satisfaction of FDA pre-market approval and licensure requirements typically takes many years and the actual time required may vary substantially based upon the type, complexity and novelty of the product or disease.</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Preclinical tests include laboratory evaluation of product chemistry, formulation and toxicity,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trials to assess the characteristics and potential safety and efficacy of the product for initial testing in humans and to establish a rationale for therapeutic use.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ind w:firstLine="648"/>
        <w:spacing w:after="0" w:line="243"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new drug or biological product to be shipped in interstate commerce for use in an investigational clinical trial and a request for FDA authorization to administer an investigational drug or biological product to humans. Such authorization must be secured prior to interstate shipment and administration of any new drug or biological product that is not the subject of an approved NDA or BLA. In support of a request for an IND, a sponsor must submit a protocol for each clinical trial and any subsequent protocol amendments must be submitted to the FDA as part of the IND. The sponsor may be a company seeking to develop the drug or biological product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w:t>
      </w:r>
    </w:p>
    <w:p>
      <w:pPr>
        <w:spacing w:after="0" w:line="9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 30-day waiting period after the submission of each IND is required prior to the commencement of clinical testing in humans.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spacing w:after="0" w:line="7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biological product to healthy volunteers or patients under the supervision of a qualified investigator. Clinical trials must be conducted: (i) in compliance with federal regulations; (ii) in compliance with good clinical practice (GCP), which is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2"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as a clinical hold or partial clinical hold, or impose other sanctions, if it believes that the clinical trial either is not being conducted in accordance with FDA requirements or presents an unacceptable risk to the clinical trial patients.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7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Specifically, the FDA has promulgated regulations governing the acceptance of data from foreign clinical trials not conducted under an IND, establishing that such data from studies will be accepted as support for an IND or application for marketing approval if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81"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study protocol and informed consent information for patients in clinical trials must also be submitted to an institutional review board (IRB) representing each institution participating in the clinical trial. The IRB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may also require the clinical trial at the site to be halted, either temporarily or permanently, for failure to comply with the IRB’s requirements, or may impose other conditions.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ind w:firstLine="648"/>
        <w:spacing w:after="0" w:line="24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8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(NIH) for public dissemination on its ClinicalTrials.gov website. Sponsors are also obligated to disclose the results of their clinical trials after completion. Disclosure of the results of these trials can be delayed in certain circumstances for up to two years after the date of completion of the trial.</w:t>
      </w:r>
    </w:p>
    <w:p>
      <w:pPr>
        <w:spacing w:after="0" w:line="8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Clinical trials to support NDAs or BLAs for marketing approval or licensure are typically conducted in three sequential phases, but the phases may overlap. In Phase 1, the drug or biological product is introduced into healthy human subjects or in certain indications such as cancer, into patients with the target disease or condition. The drug is tested in Phase 1 to assess metabolism, pharmacokinetics, pharmacological actions, side effects associated with increasing doses, and, if possible, early evidence of effectiveness. Phase 2 usually involves trials in a limited patient population to determine the effectiveness or potency of the drug or biological product for a particular indication, dosage tolerance and optimum dosage, and to identify common adverse effects and safety risks. If a product candidate demonstrates evidence of effectiveness and an acceptable safety profile in Phase 2 evaluations, Phase 3 trials are conducted. In a Phase 3 trial, the drug or biological product is administered to an expanded patient population, generally at geographically dispersed clinical trial sites, in well-controlled clinical trials to generate enough data to statistically evaluate the efficacy or potency and purity, and safety, of the product for approval or licensure, to establish the overall risk benefit profile of the product, and to provide adequate information for the labeling of the product.</w:t>
      </w:r>
    </w:p>
    <w:p>
      <w:pPr>
        <w:spacing w:after="0" w:line="7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most cases the FDA requires at least two adequate and well-controlled Phase 3 clinical trials to demonstrate the efficacy or potency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Post-approval studies, or Phase 4 trials, are often required following initial approval and are intended to gain additional experience and data from treatment of patients in the intended therapeutic indication.</w:t>
      </w:r>
    </w:p>
    <w:p>
      <w:pPr>
        <w:spacing w:after="0" w:line="7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conducted under an IND must be submitted at least annually to the FDA and more frequently if serious adverse effects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or biological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or biological product has been associated with unexpected serious harm to patients. The FDA will typically inspect one or more clinical sites to assure compliance with GCP and the integrity of the clinical data submitted in an NDA or BLA.</w:t>
      </w:r>
    </w:p>
    <w:p>
      <w:pPr>
        <w:spacing w:after="0" w:line="78"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or biological product as well as finalize a process for manufacturing the product in commercial quantities in accordance with current good manufacturing practices (cGMP) requirements. The manufacturing process must be capable of consistently producing quality batches of the drug or biological product candidate and, among other things, must develop methods for testing the identity, strength, quality and purity of the final drug. Additionally, appropriate packaging must be selected and tested, and stability studies must be conducted to demonstrate that the drug or biological product candidate does not undergo unacceptable deterioration over its shelf life.</w:t>
      </w:r>
    </w:p>
    <w:p>
      <w:pPr>
        <w:spacing w:after="0" w:line="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After completion of the required clinical testing, an NDA or BLA is prepared and submitted to the FDA. FDA approval of the NDA or BLA is required before marketing of the product may begin in the United States. The application must include the results of all preclinical, clinical and other testing and a compilation of data relating to the product’s pharmacology, chemistry, manufacture and controls. The cost of preparing and submitting an application is substantial. The submission of most NDAs or BLAs is additionally subject to a substantial application user fee, currently set for fiscal year 2023 at $3,242,026 for applications requiring clinical data, and $1,621,013 for applications not requiring clinical data, and the manufacturer and sponsor under an approved NDA or BLA are also subject to annual program fees, currently set for fiscal year 2023 at $393,933 for each prescription product. These fees are typically increased annually. Sponsors of applications for drugs granted Orphan Drug Designation are exempt from these user fees.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2" w:name="page33"/>
    <w:bookmarkEnd w:id="32"/>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FDA has 60 days from its receipt of an NDA or BLA to determine whether the application will be accepted for filing based on the agency’s threshold determination that it is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review. The FDA has agreed to certain performance goals in the review of NDAs and BLAs to encourage timeliness. The FDA intends to review applications for standard review product candidates within ten months of the 60-day filing date; and applications for priority review product candidates within six months. Priority review can be applied to drugs or biological products that the FDA determines treat a serious condition, and if approved, would offer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The review process for both standard and priority review may be extended by the FDA for three additional months to consider certain late-submitted information, or information intended to clarify information already provided in the submission.</w:t>
      </w:r>
    </w:p>
    <w:p>
      <w:pPr>
        <w:spacing w:after="0" w:line="81" w:lineRule="exact"/>
        <w:rPr>
          <w:sz w:val="20"/>
          <w:szCs w:val="20"/>
          <w:color w:val="auto"/>
        </w:rPr>
      </w:pPr>
    </w:p>
    <w:p>
      <w:pPr>
        <w:ind w:right="560" w:firstLine="648"/>
        <w:spacing w:after="0" w:line="250"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or biological product to an advisory committee for review, evaluation and a recommendation as to whether the application should be approved, or otherwise explain why such referral was not made. An advisory committee is typically a panel that includes clinicians and other experts. The FDA is not bound by the recommendation of an advisory committee, but it generally follows such recommendations.</w:t>
      </w:r>
    </w:p>
    <w:p>
      <w:pPr>
        <w:spacing w:after="0" w:line="83"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one or more clinical sites to assure compliance with GCP. Additionally, the FDA will inspect the facility or the facilities at which the drug or biological product is manufactured. The FDA will not approve the application unless compliance with cGMPs is satisfactory and the application contains data that provide substantial evidence that the drug is safe and effective, or the biological product is safe, pure and potent, in the indication studied.</w:t>
      </w:r>
    </w:p>
    <w:p>
      <w:pPr>
        <w:spacing w:after="0" w:line="69"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17"/>
          <w:szCs w:val="17"/>
          <w:color w:val="auto"/>
        </w:rPr>
        <w:t>After the FDA evaluates the NDA or BLA and accompanying information and the manufacturing facilities, it issues either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or BLA, the FDA will issue an approval letter. The FDA intends to review such resubmissions in two or six months depending on the type of information included.</w:t>
      </w:r>
    </w:p>
    <w:p>
      <w:pPr>
        <w:spacing w:after="0" w:line="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Even with submission of this additional information, the FDA ultimately may decide that the application does not satisfy the regulatory criteria for approval or licensure.</w:t>
      </w:r>
    </w:p>
    <w:p>
      <w:pPr>
        <w:spacing w:after="0" w:line="72"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or biological product with specific prescribing information for specific indications. As a condition of approval or licensure, the FDA may require a risk evaluation and mitigation strategy (REMS) to help ensure that the benefits of the drug or biological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or biological product.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If the FDA approves or licenses a drug or biological product, it may limit the approved indications for use of the product; require that contraindications, warnings or precautions be included in the product labeling; require that post-approval studies, including Phase 4 clinical trials, be conducted to further assess the drug’s safety after approval or licensure;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Changes to some of the conditions established in an approved application, including changes in indications, labeling, or manufacturing processes or facilities, require submission and FDA approval of a new NDA or BLA, or an NDA or BLA supplement before the change can be implemented. An NDA or BLA supplement for a new indication typically requires clinical data similar to that in the original application, and the FDA uses the same procedures and actions in reviewing NDA and BLA supplements as it does in reviewing NDAs and BLAs.</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medicines in the European Union (EU)</w:t>
      </w:r>
    </w:p>
    <w:p>
      <w:pPr>
        <w:spacing w:after="0" w:line="12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In the EU, companies can apply for marketing authorizations under the centralized procedure to the European Medicines Agency (EMA) or they can submit their application to the competent authorities in the European Economic Area (EEA) Member States via the decentralized procedure, the national procedure, or the mutual recognition procedure. The centralized procedure is mandatory for certain medicines, such as those produced by biotechnology, orphan medicinal products, advanced therapy medicinal products and those containing a new active substance indicated for the treatment of HIV, AIDS, cancer, neurodegenerative disorders, autoimmune and other immune dysfunctions, viral diseases, or diabetes. The centralized procedure remains optional for medicines containing a new active substance, or which are a significant therapeutic, scientific, or technical innovation or whose authorization would be in the interest of public health. Therefore the centralized procedure remains mandatory for the majority of biological medicinal products.</w:t>
      </w:r>
    </w:p>
    <w:p>
      <w:pPr>
        <w:spacing w:after="0" w:line="92"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marketing authorization granted under the centralized procedure by the EMA will be valid in all EEA Member States. The maximum timeframe for the evaluation of a marketing authorization application by the EMA is 210 days but can be extended should additional information be required by the EMA’s Committee for Medicinal Products for Human Use (CHMP). The European Commission makes the final decision to grant a marketing authorization, which is issued within 67 days of receipt of the EMA’s positive opinion. An accelerated assessment procedure of 150 days may be implemented for drugs considered to be of major public health interest.</w:t>
      </w:r>
    </w:p>
    <w:p>
      <w:pPr>
        <w:spacing w:after="0" w:line="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Under the mutual recognition procedure, the national marketing authorization holder may submit an application to other EEA Member States. The Member States involved must decide whether to recognize the approval within 90 days of receiving the application. If a Member State does not recognize the marketing authorization, the disputed points are eventually referred to the European Commission, whose decision is binding.</w:t>
      </w:r>
    </w:p>
    <w:p>
      <w:pPr>
        <w:spacing w:after="0" w:line="6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Since the UK has left the EU, Great Britain is no longer covered by centralized marketing authorizations. This is not the case for Northern Ireland as under the Northern Ireland Protocol, centralized marketing authorizations continue to be recognized in Northern Ireland. Medicines with existing centralized marketing authorizations were automatically converted to Great Britain marketing authorizations on January 1, 2021. For a period of two years from January 1, 2021, the Medicines and Healthcare Products Regulatory Agency (MHRA), the UK medicines regulator, can rely on a decision taken by the European Commission on the approval of a new marketing authorization in the centralized procedure, in order to more quickly grant a new Great Britain marketing authorization. A separate application is, however, still required. The UK government reached a new agreement with the EU, the “Windsor Framework,” which aims to replace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MHRA has ceased to participate in the assessment of any centralized procedures since January 1, 2021. Since then, the MHRA has launched the Innovative Licensing and Access Pathway (ILAP), a new accelerated assessment procedure for marketing authorization applications that enables companies to enter the UK market faster. On January 1, 2024, the MHRA launched an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regulation and data sharing in the EU</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 the EU, a Clinical Trial Application (CTA) must be submitted for each clinical trial to each Member State’s national competent authority (NCA) and ethics approval must be sought from an independent Ethics Committee. Once the CTA is approved in accordance with a particular Member State’s requirements, the clinical trial may proceed. Under the EU Clinical Trials Regulation 536/2014, which has been in effect since January 31, 2022 replacing the EU Clinical Trials Directive 2001/20/EC, suspected unexpected serious adverse reactions to the drug being trialed occurring during the clinical trial must be reported to the NCA and the Ethics Committee of the Member State where they occurred.</w:t>
      </w:r>
    </w:p>
    <w:p>
      <w:pPr>
        <w:spacing w:after="0" w:line="73"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In the EU, Transparency Regulation No 1049/ 2001, EMA Policy 0043, EMA Policy 0070, as well as the Clinical Trials Regulation No 536/2014 set out the obligation for sponsors to make publicly available certain information stemming from clinical studies, whether proactively or in response to third party requests. Interested parties based in the EU may submit a request to the EMA to access information included in the marketing authorization application for authorized medicinal products. Commercially confidential information and protected personal data, however, may not be accessed.</w:t>
      </w: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On May 3, 2022, the European Commission published a proposal for a regulation on the European Health Data Space (EHDS), which aims to further enable exchange of electronic health data both for primary use (among national EU healthcare systems for patient care) and secondary use (among private companies and regulators to enable scientific research). Whilst the regulation is currently under discussions among the EU legislators, the text is expected to be finalized by the end of 2023 and for the EHDS to become reality in 2025. This will impose new obligations, but also create opportunities, for entities engaged in health-related research to share and access health data on a scale much larger than what is foreseen under current applicable transparency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in the UK following Brexit</w:t>
      </w:r>
    </w:p>
    <w:p>
      <w:pPr>
        <w:spacing w:after="0" w:line="12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UK officially left the EU on January 31, 2020. A transition period during which EU law remained applicable to the UK began on February 1, 2020 and ended on December 31, 2020. The EU regulatory framework for medicinal products in place before the end of the transition period has been preserved in UK domestic legislation as “retained EU law” but the UK may diverge from EU law in the future should it wish to do so. Pursuant to the Northern Ireland Protocol, the EU pharmaceutical legal framework acquis continues to apply in Northern Ireland and medicines can only be placed in the Northern Ireland market if they comply with EU law. The UK government reached a new agreement with the EU, the “Windsor Framework,” which aims to replace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approval pathways</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 In addition, Accelerated Approval offers the potential for approval based on a surrogate or intermediate clinical endpoint. In May 2014, the FDA published a final Guidance for Industry titled “Expedited Programs for Serious Conditions Drugs and Biologics,” which provides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spacing w:after="0" w:line="8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FDA may designate a product for Fast Track review if it is intended, whether alone or in combination with one or more other products, for the treatment of a serious or life 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78"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7"/>
          <w:szCs w:val="17"/>
          <w:color w:val="auto"/>
        </w:rPr>
        <w:t>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available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rolling review; and taking other steps to design the clinical trials in an efficient manner.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The FDA may grant Accelerated Approval to a drug or biological product for a serious or life threatening condition that provides meaningful therapeutic advantage to patients over available treatments based upon a determination that the drug or biological product has an effect on a surrogate endpoint that is reasonably likely to predict clinical benefit. The FDA may also grant Accelerated Approval for such drug or biological product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Drugs and biological products granted Accelerated Approval must meet the same statutory standards for safety and effectiveness as those granted traditional approval.</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or biological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 or biological product.</w:t>
      </w:r>
    </w:p>
    <w:p>
      <w:pPr>
        <w:spacing w:after="0" w:line="7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or biological product, even if the effect on the surrogate or intermediate clinical endpoint occurs rapidly. Thus, Accelerated Approval has been used extensively in the development and approval of drugs and biological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6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drug or biological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or biological product from the market on an expedited basis. In addition, all promotional materials for drugs and biological products approved under accelerated regulations are subject to prior review by the FDA.</w:t>
      </w:r>
    </w:p>
    <w:p>
      <w:pPr>
        <w:spacing w:after="0" w:line="7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EU and UK operate accelerated evaluation and assessment schemes, which include, at EU level, PRIME (PRIority MEdicines) scheme and, at UK level, the Early Access to Medicines Scheme (EAMS), which may be granted in exceptional cases, often when there is unmet medical need for a life-threatening or serious debilitating condition and existing data show a positive benefit/risk balance that means the medicinal product is of a major public health interest. The CHMP of the EMA or the MHRA (or other national competent authority) will make this determination on a case-by-case basis and subject to meeting eligibility criteria. Accelerated assessment takes place within 150 days. Other regulatory facilitations for these pathways include additional scientific advice at key development milestones and frequent guidance and discussions throughout the approval process. In the UK, the MHRA has launched the Innovative Licensing and Access Pathway (ILAP), a new accelerated assessment procedure for marketing authorization applications that enables companies to enter the UK market faster, available since January 1, 2021. On January 1, 2024, the MHRA launched an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or biological products intended to treat a rare disease or condition—generally a disease or condition that affects fewer than 200,000 individuals in the United States. Orphan Drug Designation must be requested before submitting an NDA. After the FDA grants Orphan Drug Designation, the name of the drug or biological product and its potential orphan-designated use are disclosed publicly by the FDA. Orphan Drug Designation does not convey any advantage in, or shorten the duration of, the regulatory review and approval process.</w:t>
      </w:r>
    </w:p>
    <w:p>
      <w:pPr>
        <w:spacing w:after="0" w:line="7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first NDA or BLA applicant to receive FDA approval for a particular drug or biological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biological product for the same disease, except in limited circumstances, such as a showing of clinical superiority to the product with orphan drug exclusivity. Orphan drug exclusivity does not prevent the FDA from approving a different drug or biological product for the same disease or condition, or the same drug or biological product for a different disease or condition. Among the other benefits of Orphan Drug Designation are tax credits for certain research and an exemption from the NDA or BLA application user fee.</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 designated orphan drug or biological product may not receive orphan drug exclusivity if it is licensed for a use that is broader than the indication for which it received orphan designation. In addition, exclusive marketing rights in the United States may be rescinded if the FDA later determines that the request for designation was materially defective or if the manufacturer is unable to assure sufficient quantities of the product to meet the needs of patients with the rare disease or condition.</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the EU and UK, under Regulation (EC) 141/2000 and the UK Human Medicines Regulations 2012 SI 2012 No. 1916 (as amended), respectively, medicinal products may be granted an orphan drug designation if they are used to treat or prevent life-threatening or chronically debilitating conditions that affect no more than five in 10,000 people in the EU/UK and for which there is no satisfactory method of diagnosis, prevention or treatment when the application is made, or when the medicinal product is of significant benefit to those affected by the condition. In addition, orphan drug designation can be granted to drugs used to treat or prevent life-threatening or chronically debilitating conditions which, for economic reasons, would be unlikely to be developed without incentives.</w:t>
      </w:r>
    </w:p>
    <w:p>
      <w:pPr>
        <w:spacing w:after="0" w:line="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application for orphan designation must be submitted to and approved by the EMA in respect of the EU or to the MHRA for Great Britain before an application is made for marketing authorization for the product. Medicinal products which benefit from orphan status, which they successfully maintain post-grant of the marketing authorization, can benefit from up to ten years of market exclusivity in respect of the approved indication. This prevents regulatory authorities in the EU or Great Britain, as the case may be, from granting marketing authorizations for similar medicinal products for the same therapeutic indication, unless another applicant can show that the similar medicinal product in question is safer, more effective or clinically superior to the orphan-designated product or if the marketing authorization holder consents to the second orphan medicinal product application, or where the marketing authorization holder cannot supply the needs of the market.</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 Conversely, the 10-year exclusivity period can be further extended by two years, when pediatric studies are conducted in accordance with an agreed pediatric investigation plan (PIP) and in completion of all the legal requirements.</w:t>
      </w:r>
    </w:p>
    <w:p>
      <w:pPr>
        <w:spacing w:after="0" w:line="83"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It is noted that the general pharmaceutical legislative framework, as well as the framework applicable to orphan and pediatric medicinal products in the EU, is under review. On April 26, 2023, the European Commission adopted a proposal for a new Regulation set to replace Regulation (EC) No 726/2004 and a new Directive to replace Directive 2001/83 on the Community Code relating to medicinal products for human use. If made into law, this proposal will revise the existing general pharmaceutical legislation and may reduce applicable regulatory exclusivities which will significantly affect all medicinal products that will be authorized after the legislative changes have taken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Drugs and biological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through the applicant’s submission of a supplemental application, and approval. There also are continuing, annual user fee requirements for any marketed products and the establishments at which such products are manufactured, as well as new application fees for supplemental applications with clinical data.</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addition, drug and biological product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7" w:lineRule="exact"/>
        <w:rPr>
          <w:sz w:val="20"/>
          <w:szCs w:val="20"/>
          <w:color w:val="auto"/>
        </w:rPr>
      </w:pPr>
    </w:p>
    <w:p>
      <w:pPr>
        <w:ind w:left="660" w:right="3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including total or partial suspension of production, complete withdrawal of the product from the market or product recalls;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BLAs or supplements to approved NDAs or BLAs, or suspension or revocation of product license approvals;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biological products may be promoted only for the approved indications and consistently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69"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In addition, the distribution of prescription drug and biological products is subject to the Prescription Drug Marketing Act (PDMA) which regulates the distribution of drugs, biological products and drug or biological product samples at the federal level, and sets minimum standards for the registration and regulation of drug and biological product distributors by the states. Both the PDMA and state laws limit the distribution of prescription drug and biological product samples and impose requirements to ensure accountability in distribution.</w:t>
      </w:r>
    </w:p>
    <w:p>
      <w:pPr>
        <w:spacing w:after="0" w:line="6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Many jurisdictions, including the EU and the UK, require each marketing authorization holder, national competent authority and the EMA to operate a pharmacovigilance system to ensure that the safety of all medicines is monitored throughout the lifetime of a medicinal product. The overall EU pharmacovigilance system operates through cooperation between the EU Member States, EMA and the European Commission. Applicable obligations extend to all activities consisting of procuring, holding, supplying or exporting medicinal products to the public and may therefore be incumbent upon importers, distributors and other economic operators in the supply chain.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Abbreviated new drug applications for generic drugs</w:t>
      </w:r>
    </w:p>
    <w:p>
      <w:pPr>
        <w:spacing w:after="0" w:line="121"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 listed drug (RLD).</w:t>
      </w:r>
    </w:p>
    <w:p>
      <w:pPr>
        <w:spacing w:after="0" w:line="9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7"/>
          <w:szCs w:val="17"/>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Abridged marketing authorization applications for generic and biosimilar drugs in the EU and the UK</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Generic and hybrid medicinal products of reference medicinal products authorized via the centralized procedure have automatic access to the centralized procedure. Generic and hybrid products can refer to the complete dossier (i.e., the quality, preclinical and clinical data) of the reference medicinal product in their marketing authorization application, by demonstration of bioequivalence, usually through the submission of the appropriate bioavailability studies after the period of regulatory data protection (also called “data exclusivity”) has expired, namely eight years after the grant of the marketing authorization of the reference medicinal product. Applicants will be able to cross-refer to the dossier of the reference medicinal product, as long as the data protection period has expired. This abridged application procedure avoids the requirement to repeat trials and allows generic applicants a faster entry to the market. If a biosimilar of a reference biological product does not meet the conditions in the definition of generic medicinal products, owing to, in particular, differences relating to raw materials or differences in manufacturing processes of the biological medicinal product and the reference biological medicinal product, the results of appropriate preclinical studies or clinical trials relating to these conditions must be provided. The type and quantity of supplementary data to be provided must comply with the relevant criteria stated in Annex I of Directive 2001/83 as amended and the related detailed guidelines. The results of other tests and trials from the reference medicinal product’s dossier do not need to be provided.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505(b)(2) New Drug Applications</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Orange Book.</w:t>
      </w:r>
    </w:p>
    <w:p>
      <w:pPr>
        <w:spacing w:after="0" w:line="4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would be required of an ANDA applicant.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known as a Section VIII statement.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 under the Hatch-Waxman Amendments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addition, under the Hatch-Waxman Amendments, the FDA may not approve an ANDA or 505(b)(2) NDA referencing a particular drug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submitted to the FDA until the expiration of five years from the date the NDA is approved, unless the submission is accompanied by a Paragraph IV certification, in which case the applicant may submit its application four years following the original product approval.</w:t>
      </w:r>
    </w:p>
    <w:p>
      <w:pPr>
        <w:spacing w:after="0" w:line="73"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it does, however, block the FDA from approving ANDAs or 505(b)(2) NDAs during the period of exclusivity. The FDA typically makes decisions about awards of data exclusivity shortly before a product is approved.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 candidates shown to be highly similar, or “biosimilar,” to or interchangeable with an FDA licensed reference biological product. Biosimilarity, which requires that a product is highly similar to the reference product notwithstanding minor differences in clinically inactive components, and that there be no clinically meaningful differences between the biological product and the reference product in terms of safety, purity, and potency, can generally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interchangeable biosimilar and the reference biological product may be alternated or switched after one has been previously administered without increasing safety risks or risks of diminished efficacy relative to exclusive use of the reference biological product.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and have slowed implementation of the BPCIA by the FDA.</w:t>
      </w:r>
    </w:p>
    <w:p>
      <w:pPr>
        <w:spacing w:after="0" w:line="77"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reference product exclusivity, another company may obtain FDA licensure and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3"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there has been discussion of whether Congress should reduce the 12-year reference product exclusivity period. Other aspects of the BPCIA, some of which may impact the BPCIA exclusivity provisions, have also been the subject of recent litigation. As a result, the ultimate implementation of the BPCIA is subject to significant uncertainty.</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In the EU and the UK, an abridged procedure is available for the regulatory approval of biosimilars, on the basis of comparability studies to the reference biological medicine to substantiate the safety and efficacy profile of the biosimilar product. This comparability with the reference biological medicinal product is only available after the period of regulatory data protection has expired namely eight years after the grant of the marketing authorization of the reference biological medicinal product has expired. Recently, the MHRA and the EMA have stated that comparative data may not be required across all therapeutic indications and may be extrapolated to other indications already approved for the reference medicinal product. The interchangeability of biosimilars remains subject to national determination, on a case-by-case basis; however a recent scientific recommendation by the EMA may lead to a default assumption of interchangeability across all biosimilars in the EU and in the UK.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 and exclusivity</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Pediatric Research Equity Act of 2003, an NDA, BLA or supplement thereto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(FDASIA), sponsors must also submit pediatric study plans prior to the assessment data.</w:t>
      </w:r>
    </w:p>
    <w:p>
      <w:pPr>
        <w:spacing w:after="0" w:line="8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6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FDASIA. Unless otherwise required by regulation, the pediatric data requirements do not apply to products with Orphan Drug Designation.</w:t>
      </w:r>
    </w:p>
    <w:p>
      <w:pPr>
        <w:spacing w:after="0" w:line="6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8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Under the European Pediatric Regulation (Regulation (EC) No 1901/2006), which has also been reflected in and retained by UK law, applicants must submit to the national competent authority or the EMA data from pediatric studies in compliance with an agreed PIP for the validation or acceptance of a marketing authorization application, unless the medicine is exempt because of a deferral or waiver. The conduct of the pediatric studies in accordance with the agreed PIP will result in the grant of a reward (period of protection) which will depend on the type of product (i.e., orphan medicinal product will benefit from an extension of the orphan exclusivity by two years, bringing it to 12 years of marketing exclusivity; or an extension of the supplementary protection certificate by six months).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121"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After NDA approval, owners of relevant drug or biological product patents may apply for up to a five-year patent extension, which permits patent term restoration as compensation for the patent term lost during the FDA regulatory process. The allowable patent term extension is typically calculated as one-half the time between the effective date of an IND application and the submission date of a NDA or BLA, plus the time between submission date and the approval date of the NDA or BLA, up to a maximum of five years. The time can be shortened if the FDA determines that the applicant did not pursue approval with due diligence. The total patent term after the extension may not exceed 14 years from the date of product approval. Only one patent applicable to an approved drug or biological product is eligible for extension and only those claims covering the approved drug or biological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ind w:firstLine="648"/>
        <w:spacing w:after="0" w:line="246" w:lineRule="auto"/>
        <w:rPr>
          <w:sz w:val="20"/>
          <w:szCs w:val="20"/>
          <w:color w:val="auto"/>
        </w:rPr>
      </w:pPr>
      <w:r>
        <w:rPr>
          <w:rFonts w:ascii="Times New Roman" w:cs="Times New Roman" w:eastAsia="Times New Roman" w:hAnsi="Times New Roman"/>
          <w:sz w:val="18"/>
          <w:szCs w:val="18"/>
          <w:color w:val="auto"/>
        </w:rPr>
        <w:t>In the EU and the UK, a patent may be extended by up to a maximum of five years and the protection conferred by the certificate shall extend only to the product covered by the authorization to place the corresponding medicinal product on the market (in the EU and UK) and for any use of the product as a medicinal product that has been authorized before the expiry of the certificate. The aim is to compensate for the erosion of patent term between the filing of a patent and the grant of an MA for a medicinal product incorporating the relevant invention. The term of a supplementary protection certification may be extended by a further six months if the pediatric studies have been conducted in accordance with an agreed PIP within the applicable timeframe.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drug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73"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We will also be subject to certain ex-U.S. privacy laws in connection with our clinical trial activities outside the United States such as the EU General Data Protection Regulation (EU GDPR), non-compliance with which could result in administrative fines of up to the greater of €20.0 million or 4% of global annual revenues. The EU GDPR also confers a private right of action on data subjects and consumer associations to lodge complaints with supervisory authorities, seek judicial remedies and obtain compensation for damages resulting from violations of the EU GDPR.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medicines in Europe</w:t>
      </w:r>
    </w:p>
    <w:p>
      <w:pPr>
        <w:spacing w:after="0" w:line="12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7"/>
          <w:szCs w:val="17"/>
          <w:color w:val="auto"/>
        </w:rPr>
        <w:t>In the EU, pricing and reimbursement methods can differ in each Member State. Some Member States and the UK may require that health technology assessments (HTA) be completed for the product to be recommended for funding under the NHS. The outcome of HTAs is decided on a national basis and some Member States may decide not to reimburse the use of medicines or may reduce the rate of reimbursement. In December 2021, the EU adopted a new Regulation on Health Technology Assessment which allows Member States to carry out joint clinical assessments and operate joint clinical consultations. It is expected that the new Regulation will come into effect in 2025. In the UK, NICE is the body in England and Wales, which conducts HTAs and issues guidance on whether a product is considered to be “cost-effective” and therefore recommended for use and reimbursement under the national health service. This means that if a positive recommendation has been obtained, then the medicinal product will be widely available to patients in England and Wales. For avoidance of doubt, Scotland and Northern Ireland have their own HTA bodies which will conduct their own assessment.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in addition to FDA restrictions on marketing of pharmaceutical and biological products, we are also subject to healthcare statutory and regulatory requirements and enforcement by the U.S. federal and state governments.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federal and state governments. These laws include anti-kickback statutes, false claims statutes and other healthcare laws and regulations.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directly or indirectly, in cash or in kind, to induce, or in return for, purchasing, leasing, ordering or arranging for, referring, or recommending the purchase, lease or order of any healthcare item or service that may be reimbursable, in whole or in part, under Medicare, Medicaid, or other federal health care program. The Patient Protection and Affordable Care Act, as amended by the Health Care and Education Reconciliation Act (collectively, the ACA) amended the intent element of the federal Anti-Kickback Statute to clarify that a person or entity need not have actual knowledge of the statute or specific intent to violate it in order to commit a violation. Among others, this statute applies to arrangements between pharmaceutical and biological product manufacturers on the one hand and prescribers, pharmacies, purchasers and formulary managers on the other, including, for example, consulting/speaking arrangements, discount and rebate offers, grants, charitable contributions and patient support offerings. A conviction for violation of the federal Anti-Kickback Statute can result in criminal fines and/or imprisonment and requires mandatory exclusion from participation in federal health care programs. Exclusion from the federal healthcare programs may also be imposed if the government determines that an entity has committed acts that are prohibited by the federal Anti-Kickback Statute.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w:t>
      </w:r>
    </w:p>
    <w:p>
      <w:pPr>
        <w:spacing w:after="0" w:line="8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federal civil False Claims Act prohibits, among other things, any person or entity from knowingly presenting, or causing to be presented, a false claim for payment to the federal government, or knowingly making, or causing to be made, a false record or statement material to a false claim. The False Claims Act covers claims made to programs where the federal government reimburses (directly or indirectly) individuals and entities, such as under the Medicare and Medicaid programs, as well as programs where the federal government is a direct purchaser, such as when it purchases off of the Federal Supply Schedule. The law also prohibits avoiding, decreasing or concealing an obligation to pay money to the federal government. The government can bring claims directly or through a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and potential liability includes mandatory treble damages and significant per claim penalties currently set at $13,946 up to $27,894 per false claim or statement for penalties assessed after January 15, 2024. Numerous pharmaceutical and other healthcare companies have been prosecuted under these laws for allegedly inflating drug or biological product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to commercially reimbursed items or services or regardless of whether reimbursement from a federal or state healthcare program is available for the item or service. There is also the Federal Criminal False Claims Act, which is similar to the Federal Civil False Claims Act and imposes criminal liability on those that make or present a false, fictitious or fraudulent claim to the federal government.</w:t>
      </w:r>
    </w:p>
    <w:p>
      <w:pPr>
        <w:spacing w:after="0" w:line="76"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or receive a reimbursable item or service from a particular provider, practitioner or supplier (although pharmaceutical and biological product manufacturers are not considered providers, practitioners or suppliers for purposes of this law), and contracting with an individual or entity that the person knows or should know is excluded from participation in a federal health care program. In addition, federal criminal statutes created by the Health Insurance Portability and Accountability Act of 1996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3" w:name="page44"/>
    <w:bookmarkEnd w:id="43"/>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(HITECH) and their respective implementing regulations, including the Final Omnibus Rule published on January 25, 2013, imposes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requirements to facilitate certain patient rights, requirements to safeguard the privacy, security, and transmission of individually identifiable health information, and requirements to provide notice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On December 10, 2020, the Office of Civil Rights within the Department of Health and Human Services (HHS) issued proposed revisions to the HIPAA Privacy Rule aimed at reducing regulatory burdens that may exist in discouraging coordination of care and patient access to their health information, among other changes. While a final rule has not yet been issued, if adopted, these proposed changes may require us to update our policies and procedures to comply with the new requirements. In addition, many state laws govern the privacy and security of health information and other personal information in certain circumstances (such as the California Consumer Privacy Act of 2018, the Virginia Consumer Data Protection Act, and similar state privacy laws in Colorado, Connecticut and Utah, along with health privacy focused laws such as the Washington My Health My Data Act), and these state laws may differ from each other in significant ways and may not have the same effect. These laws are rapidly evolving and may impose additional regulatory compliance burden and legal risks on our operations.</w:t>
      </w:r>
    </w:p>
    <w:p>
      <w:pPr>
        <w:spacing w:after="0" w:line="7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(CMS) has promulgated regulations to implement what is commonly known as the federal Physician Payment Sunshine Act, which, among other things, requires manufacturers of prescription drugs and biological products, among others, to collect and report information on certain payments or transfers of value they make to U.S.-licensed physicians, teaching hospitals, physician assistants, nurse practitioners or clinical nurse specialists, certified registered nurse anesthetists, anesthesiologist assistants and certified nurse-midwives, as well as investment interests in the manufacturer held by physicians and their immediate family members. The reports must be submitted on an annual basis, and the reported data is made available in searchable form on a public website. Failure to submit required information may result in civil monetary penalties.</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addition, several states require prescription drug and biological product companies to report certain expenses relating to the marketing and promotion of drug and biological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78"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company to incur significant legal expenses and divert management’s attention from the operation of the business, even if such action is successfully defended.</w:t>
      </w:r>
    </w:p>
    <w:p>
      <w:pPr>
        <w:spacing w:after="0" w:line="92"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In the EU and the UK companies must comply with national general anti-bribery legislation, including the UK Bribery Act 2010, as well as medicines legislation which prohibits the supply, offer or promise of certain gifts and benefits in connection with the promotion of medicinal products to any person qualified to prescribe, recommend, use, procure or supply them. Companies that breach these laws may incur substantial fines and imprisonment.</w:t>
      </w:r>
    </w:p>
    <w:p>
      <w:pPr>
        <w:spacing w:after="0" w:line="6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In the EU and the UK, payments made to healthcare professionals must be publicly disclosed under applicable transparency provisions and agreements with healthcare professionals must be the subject of prior notification and approval by the healthcare professional’s employer. Such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costs of health care and, more generally, to reform the U.S. healthcare system. The pharmaceutical industry has been a particular focus of these efforts and has been significantly affected by major legislative initiatives. For example, in March 2010, the ACA was enacted, which was intended to substantially change the way healthcare is financed by both governmental and private insurers, and significantly impacts the U.S. pharmaceutical industry. The ACA, among other things, (i) proscribed a new methodology by which rebates owed by manufacturers under the Medicaid Drug Rebate Program are calculated for drugs and therapeutic biologics that are inhaled, infused, instilled, implanted or injected, (ii) increased the minimum Medicaid rebates owed by manufacturers under the Medicaid Drug Rebate Program and extended the rebate program to individuals enrolled in Medicaid managed care organizations, (iii) established annual nondeductible fees and taxes on manufacturers of certain branded prescription drugs and therapeutic biologics, apportioned among these entities according to their market share in certain government healthcare programs, (iv) expanded eligibility criteria for Medicaid programs by, among other things, allowing states to offer Medicaid coverage to additional individuals and by adding new mandatory eligibility categories for individuals with income at or below 138% of the federal poverty level, thereby potentially increasing manufacturers’ Medicaid rebate liability, (v) expanded the entities eligible for discounts under the 340B Public Health program, (vi) required annual reporting of certain information regarding drug samples that manufacturers and distributors provide to licensed practitioners, (vii) created a new Patient-Centered Outcomes Research Institute to oversee, identify priorities in and conduct comparative clinical effectiveness research, along with funding for such research, and (viii) established a Center for Medicare Innovation at CMS to test innovative payment and service delivery models to lower Medicare and Medicaid spending, potentially including prescription drug spending. Some of these cost-savings pilots and projects, such as the Enhancing Oncology Model, are directed specifically at oncology.</w:t>
      </w:r>
    </w:p>
    <w:p>
      <w:pPr>
        <w:spacing w:after="0" w:line="9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ACA and certain of its provisions have been subject to judicial challenges as well as legislative and regulatory efforts to repeal or replace them or to alter their interpretation or implementation. For example, the Tax Cuts and Jobs Act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Additionally, the Further Consolidated Appropriations Act of 2020, signed into law December 20, 2019, fully repealed the ACA’s “Cadillac Tax” on certain high-cost employer-sponsored insurance plans (for tax years beginning after December 31, 2019), the annual fee imposed on certain health insurance providers based on market share (for calendar year 2021) and the medical device excise tax on non-exempt medical devices. On June 17, 2021, the U.S. Supreme Court dismissed the most recent judicial challenge to the ACA brought by several states who argued that, without the individual mandate, the entire ACA was unconstitutional. The Supreme Court’s dismissal of the lawsuit did not specifically rule on the constitutionality of the ACA.</w:t>
      </w:r>
    </w:p>
    <w:p>
      <w:pPr>
        <w:spacing w:after="0" w:line="8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is no longer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Most recently, the Inflation Reduction Act of 2022 extended this increased tax credit assistance and removal of the 400% federal poverty limit through 2025.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and biological products.</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ind w:firstLine="648"/>
        <w:spacing w:after="0" w:line="24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the first six months of the FY 2032 sequestration order unless additional Congressional action is taken, with the exception of a temporary suspension from May 1, 2020 through July 1, 2022 due to the COVID-19 pandemic. The American Taxpayer Relief Act of 2012 made other changes, including the reduction of Medicare payments to several types of providers and an increase in the statute of limitations period for the government to recover overpayments to providers from three to five years. More recently, in August 2022, President Biden signed into law the Inflation Reduction Act of 2022, which implements substantial changes to the Medicare program, including drug pricing reforms and changes to the Medicare Part D benefit design. Among other reforms, the Inflation Reduction Act of 2022 imposes inflation rebates on drug and biological product manufacturers for products reimbursed under Medicare Parts B and D if the prices of those products increase faster than inflation beginning in 2023; implements changes to the Medicare Part D benefit that, beginning in 2025, will cap benefit annual out-of-pocket spending at $2,000, with new discount obligations for pharmaceutical manufacturers; and, beginning in 2026, establishes a “maximum fair price” for a fixed number of pharmaceutical and biological products covered under Medicare Parts B and D following a price negotiation process with the CMS. CMS has also taken steps to implement the IRA, including: on June 30, 2023, issuing guidance detailing the requirements and parameters of the first round of price negotiations, to take place during 2023 and 2024, for products subject to the “maximum fair price” provision that would become effective in 2026; on August 29, 2023, releasing the initial list of ten drugs subject to price negotiations; on November 17, 2023, releasing guidance outlining the methodology for identifying certain manufacturers eligible to participate in a phase-in period where discounts on applicable products will be lower than those required by the Medicare Part D Manufacturer Discount Program; and on December 14, 2023, releasing a list of 48 Medicare Part B products that had an adjusted coinsurance rate based on the inflationary rebate provisions of the IRA for the time period of January 1, 2024 to March 31, 2024. If federal spending is further reduced, anticipated budgetary shortfalls may also impact the ability of relevant agencies, such as the FDA or the NIH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85"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Additionally, the cost of prescription pharmaceuticals and biological products has recently been the subject of considerable discussion in the United States. For example, in response to an Executive Order dated July 9, 2021, on September 9, 2021, the HHS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In addition,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 In alignment with President Biden’s Cancer Moonshot initiative, on June 27, 2023, the Center for Medicare Innovation at CMS announced a new model, the Enhancing Oncology Model, that is designed to make high-quality cancer care more affordable to both patients and Medicare. On September 12, 2022, President Biden issued an Executive Order to promote biotechnology and biomanufacturing innovation. The Order noted several methods through which the Biden administration would support the advancement of biotechnology and biomanufacturing in healthcare, and instructed the HHS to submit, within 180 days of the Order, a report assessing how to use biotechnology and biomanufacturing to achieve medical breakthroughs, reduce the overall burden of disease, and improve health outcomes. Additionally, on October 14, 2022 President Biden issued an Executive Order on Lowering Prescription Drug Costs for Americans, which instructed the Secretary of the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the HHS to submit, within 90 days after the date of the Executive Order, a report regarding any models that may lead to lower cost-sharing for commonly used drugs and support value-based payment that promotes high-quality care. Moreover, there have been several recent U.S. Congressional inquiries and proposed federal legislation designed to, among other things, bring more transparency to drug and biological product pricing, review the relationship between pricing and manufacturer patient support programs, reduce the cost of prescription drugs and biological products under Medicare and reform government program reimbursement methodologies for drug and biological products. While several proposed reform measures will require Congress to pass legislation to become effective, Congress and the Biden administration have each indicated that it will continue to seek new legislative and/or administrative measures to address prescription drug and biological product costs, as discussed in greater detail in the section titled “Risk Factors.”</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 Most recently, on January 5, 2024, the FDA approved Florida’s importation plan to allow pharmacists and wholesalers in the state to import certain medications from Canada. The implementation of cost containment measures or other healthcare reforms may prevent us from being able to generate revenue, attain profitability, or commercialize any product that is ultimately approved, if approved.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future reporting actions could be subject to the penalty provisions of the pertinent federal and state laws and regulations.</w:t>
      </w:r>
    </w:p>
    <w:p>
      <w:pPr>
        <w:spacing w:after="0" w:line="7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or biological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or biological products under the current federal right to try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2023, we had 284 full-time or part-time employees, of which approximately 40% have earned an M.D. or a Ph.D. As of November 30, 2023, 249 of our full-time or part-time employees are engaged in research and development. From time to time, we retain independent contractors to support our organization. None of our employees are represented by a labor union or covered by collective bargaining agreements, and we believe our relationship with our employees is good.</w:t>
      </w:r>
    </w:p>
    <w:p>
      <w:pPr>
        <w:spacing w:after="0" w:line="6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consider the intellectual capital of our employees to be an essential driver of our business. We continually evaluate our business needs and opportunities and strive to balance in-house expertise and capacity with outsourced expertise and capacity. Currently, we outsource substantially all clinical trial work to clinical research organizations and drug substance and finished drug product manufacturing to contract manufacturers.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pay and benefits</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Drug development is a complex endeavor which requires deep expertise and experience across a broad array of disciplines. Biotechnology and pharmaceutical companies both large and small compete for a limited number of qualified applicants to fill specialized positions. We monitor our compensation programs closely and provide what we consider to be a very competitive mix of compensation, insurance and wellness benefits for all our employees, as well as participation in our equity and other enhanced benefit programs. To attract qualified applicants, we offer a total rewards package consisting of a base salary and cash target bonus, a comprehensive benefits package and equity compensation for all full-time and part-time employees. Bonus opportunity and equity compensation increase as a percentage of total compensation based on level of responsibility. Actual bonus payout is based on company and individual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biennial training to help prevent, identify, report and stop any type of discrimination and harassment. Recruitment, hiring, development, training, compensation and advancement at our company is based on qualifications, performance, skills and experience without regard to gender, race and ethnicity.</w:t>
      </w:r>
    </w:p>
    <w:p>
      <w:pPr>
        <w:spacing w:after="0" w:line="7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November 30, 2023, approximately 52% of our full-time and part-time employees were self-reported as female. Of our vice president-level and above employees, approximately 42% were self-reported as female.</w:t>
      </w:r>
    </w:p>
    <w:p>
      <w:pPr>
        <w:spacing w:after="0" w:line="6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In addition, as of November 30, 2023, approximately 57% of our full-time employees were self-reported as ethnic or racial minorities in the United States, with 42% Asian, 2% Black or African American, 8% Hispanic or Latino and 6% of other minority groups or two or more races. Of our vice president-level and above employees, 25% were self-reported as ethnic or racial minorities in the United States, with 17% Asian and 8% Black or African American.</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training</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Board of Directors (Board) recognizes the critical importance of our team and the necessity to ensure a diverse, inclusive, and innovative work environment that is centered around a values-based culture. Our Board meets regularly with management to discuss issues impacting our employees, and to focus on ways to support our workforce. Our focus on culture comes from our Board and flows throughout our company. In evaluating our Chief Executive Officer and management team, significant emphasis is place on their contributions to our overall culture.</w:t>
      </w:r>
    </w:p>
    <w:p>
      <w:pPr>
        <w:spacing w:after="0" w:line="6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Board’s Compensation Committee is responsible for reviewing with management our human resources activities, which include, among other things, matters relating to employee development, management and engagement, pay equity, and our demographics, diversity and inclusion.</w:t>
      </w:r>
    </w:p>
    <w:p>
      <w:pPr>
        <w:spacing w:after="0" w:line="4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Our Board’s Nominating and Corporate Governance Committee is responsible for developing and recommending to the Board any company program relating to corporate responsibility and sustainability, including environmental, social and governance matters.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August 2009 under the name Kura Therapeutics, Inc. We subsequently changed our name to Nurix, Inc. in February 2012 and then to Nurix Therapeutics, Inc. in October 2018. Our principal executive offices are located at 1700 Owens Street, Suite 205, San Francisco, California 94158, and our telephone number is (415) 660-5320.</w:t>
      </w:r>
    </w:p>
    <w:p>
      <w:pPr>
        <w:spacing w:after="0" w:line="82"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The mark “Nurix” is our registered trademark in Canada, France, Germany, Italy, Japan, Mexico, Spain, the United Kingdom and the United States. The mark “DELigase” is our registered trademarks in the United States. The Nurix logo is our common law trademark. All other service marks, trademarks and trade names appearing in this Annual Report on Form 10-K are the property of their respective owners. Solely for convenience, the trademarks and trade 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 names.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Nurix’s Internet website address is http://www.nurixtx.com. On our website, we make available, free of charge, our annual, quarterly and current reports, including amendments to such reports, as soon as reasonably practicable after we electronically file such material with, or furnish such material to, the Securities and Exchange Commission (SEC). The SEC maintains a website at www.sec.gov that contains reports as well as other information regarding us and other companies that file materials with the SEC electronically.</w:t>
      </w:r>
    </w:p>
    <w:p>
      <w:pPr>
        <w:spacing w:after="0" w:line="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Also available on our website is information relating to corporate governance at Nurix and our Board, including our Corporate Governance Guidelines; our Code of Business Conduct and Ethics (for our directors, officers and employees); and our Board Committee Charters. We will provide any of the foregoing information without charge upon written request to our Corporate Secretary, Nurix Therapeutics, Inc., 1700 Owens Street, Suite 205, San Francisco, California 94158.</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use our Investor Relations website (http://ir.nurixtx.com) as a means of disclosing material non-public information and for complying with our disclosure obligations under Regulation FD promulgated by the SEC. These disclosures are included in the “News” and “Events and Presentations” sections of our website. Accordingly, investors should monitor these portions of our website, in addition to following our press releases, SEC filings and public conference calls and webcasts.</w:t>
      </w:r>
    </w:p>
    <w:p>
      <w:pPr>
        <w:spacing w:after="0" w:line="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the accompanying notes and the information contained in our other public filings before deciding whether to invest in shares of our common stock.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part or all of your investment.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Our net loss was $143.9 million and $180.4 million for the fiscal years ended November 30, 2023 and 2022, respectively. As of November 30, 2023, we had an accumulated deficit of $545.2 million. To date, we have not generated any revenue from product sales and have financed our operations primarily through our collaborations and sales of our equity interests. We are in the early stages of development of our drug candidates. Our lead drug candidates, NX-5948,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enrollment in and further development of our Phase 1 clinical trials of our drug candidates NX-5948, NX-2127 and NX-1607;</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DELigase platform and apply our DELigase platform to advance additional drug candidates into preclinical and clinical development;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negotiations with the pricing authorities and submission to the health technology appraisal (HTA) bodies;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drug candidates for which we may obtain marketing approval;</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7" w:lineRule="exact"/>
        <w:rPr>
          <w:rFonts w:ascii="Times New Roman" w:cs="Times New Roman" w:eastAsia="Times New Roman" w:hAnsi="Times New Roman"/>
          <w:sz w:val="18"/>
          <w:szCs w:val="18"/>
          <w:color w:val="auto"/>
        </w:rPr>
      </w:pPr>
    </w:p>
    <w:p>
      <w:pPr>
        <w:ind w:left="660" w:right="80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U.S. Food and Drug Administration (FDA), the European</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7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are in the early stages of clinical development of our drug candidates NX-5948,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6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NX-5948, NX-2127 and NX-1607,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71" w:lineRule="exact"/>
        <w:rPr>
          <w:sz w:val="20"/>
          <w:szCs w:val="20"/>
          <w:color w:val="auto"/>
        </w:rPr>
      </w:pPr>
    </w:p>
    <w:p>
      <w:pPr>
        <w:ind w:right="300" w:firstLine="648"/>
        <w:spacing w:after="0" w:line="247"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$295.3 million as of November 30, 2023.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72" w:lineRule="exact"/>
        <w:rPr>
          <w:sz w:val="20"/>
          <w:szCs w:val="20"/>
          <w:color w:val="auto"/>
        </w:rPr>
      </w:pPr>
    </w:p>
    <w:p>
      <w:pPr>
        <w:ind w:left="660" w:right="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NX-5948, NX-2127 and NX-1607 and any future clinical development of such drug candidates;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Sciences, Inc. (Gilead), Sanofi S.A. (Sanofi) and Seagen Inc. (now a part of Pfizer Inc. (Pfizer)) and any other collaborations we may establish;</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40"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0" w:name="page51"/>
    <w:bookmarkEnd w:id="50"/>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87"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78"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7"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are early in our development efforts. Our lead drug candidates, NX-5948, NX-2127 and NX-1607, are in the early stages of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7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1" w:name="page52"/>
    <w:bookmarkEnd w:id="51"/>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 as well as obtaining relevant exclusivity extensions (due to the conduct of pediatric studies);</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our drug candidates and maintaining such a profile following approval;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8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19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8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NX-5948 and NX-2127 degrade BTK with mutations that confer resistance to currently marketed BTK inhibitors, and we believe that preliminary data from our ongoing Phase 1 trials of NX-5948 and NX-2127 may provide evidence of clinical benefit to patients with such resistance mutations. However, any inherent primary or acquired secondary resistance to our BTK degraders in patients would prevent or diminish their clinical benefit.</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We are in the early stages of clinical development of NX-5948 and NX-2127 and we currently have limited safety data of NX-5948 and NX-2127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69"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spacing w:after="0" w:line="87" w:lineRule="exact"/>
        <w:rPr>
          <w:sz w:val="20"/>
          <w:szCs w:val="20"/>
          <w:color w:val="auto"/>
        </w:rPr>
      </w:pPr>
    </w:p>
    <w:p>
      <w:pPr>
        <w:ind w:left="660" w:right="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1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5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spacing w:after="0" w:line="7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5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1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82" w:lineRule="exact"/>
        <w:rPr>
          <w:rFonts w:ascii="Times New Roman" w:cs="Times New Roman" w:eastAsia="Times New Roman" w:hAnsi="Times New Roman"/>
          <w:sz w:val="18"/>
          <w:szCs w:val="18"/>
          <w:color w:val="auto"/>
        </w:rPr>
      </w:pPr>
    </w:p>
    <w:p>
      <w:pPr>
        <w:ind w:left="660" w:right="7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ind w:left="660" w:right="1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under human tissue act legislation and restrictions across various jurisdictions;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4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to suspend or terminate the trials;</w:t>
      </w:r>
    </w:p>
    <w:p>
      <w:pPr>
        <w:spacing w:after="0" w:line="67"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w:t>
      </w:r>
    </w:p>
    <w:p>
      <w:pPr>
        <w:spacing w:after="0" w:line="115"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trials for various reasons, including noncompliance with regulatory requirements;</w:t>
      </w:r>
    </w:p>
    <w:p>
      <w:pPr>
        <w:spacing w:after="0" w:line="6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1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5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40"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spacing w:after="0" w:line="6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4" w:name="page55"/>
    <w:bookmarkEnd w:id="54"/>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NX-5948, NX-2127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NX-5948,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72"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w:t>
      </w:r>
    </w:p>
    <w:p>
      <w:pPr>
        <w:spacing w:after="0" w:line="8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5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NX-5948,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NX-5948, NX-2127 and NX-1607. We cannot predict how difficult it will be to enroll patients for these trials. Therefore, our ability to identify and enroll eligible patients for our NX-5948, NX-2127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6" w:name="page57"/>
    <w:bookmarkEnd w:id="56"/>
    <w:p>
      <w:pPr>
        <w:ind w:firstLine="648"/>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6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NX-2127, the FDA placed a partial clinical hold on our ongoing Phase 1 clinical trial evaluating NX-2127. Currently-enrolled patients who are deriving clinical benefit may continue to receive treatment in accordance with the ongoing study protocol, but no additional patients may be enrolled until the partial clinical hold is resolved. We remain actively engaged in discussions with FDA as part of our efforts to lift the partial clinical hold. However, there can be no assurance that we can address the issues resulting in the partial clinical hold in a timely manner or at all, and we may incur additional expenses in connection with our efforts to advance our NX-2127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04"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DELigase platform.</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key element of our strategy is to expand the capabilities of our DELigase platform and leverage our platform to discover, develop and</w:t>
      </w:r>
    </w:p>
    <w:p>
      <w:pPr>
        <w:spacing w:after="0" w:line="1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3"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7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are aware of a number of biotechnology companies focused on developing small molecules that degrade target proteins or inhibit E3 ligases, including, but not limited to, Accutar Biotechnology Inc., Arvinas, Inc., BeiGene, Ltd., BioTheryX, Inc., C4 Therapeutics, Inc., Cullgen Inc., Foghorn Therapeutics Inc., HotSpot Therapeutics, Inc., Kymera Therapeutics, Inc. and Monte Rosa Therapeutics, all of which currently are in preclinical or clinical development. In addition, certain large pharmaceutical companies have disclosed investments in this field, including AbbVie Inc., Amgen Inc., AstraZeneca plc, Bayer AG, Bristol-Myers Squibb Company, Genentech, Inc., GlaxoSmithKline plc and Novartis International AG. Furthermore, we are aware of multiple other BTK degrader programs in clinical development, including programs from AbbVie Inc., Accutar Biotechnology, Inc., BeiGene, Ltd, Haisco Pharmaceutical Group Co., Ltd. and Ubix Therapeutics, Inc.</w:t>
      </w:r>
    </w:p>
    <w:p>
      <w:pPr>
        <w:spacing w:after="0" w:line="8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8" w:name="page59"/>
    <w:bookmarkEnd w:id="58"/>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5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on Form 10-K.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Gilead, Sanofi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Pfizer, pose risks to us, including:</w:t>
      </w:r>
    </w:p>
    <w:p>
      <w:pPr>
        <w:spacing w:after="0" w:line="9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 with us.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jc w:val="both"/>
        <w:ind w:left="660" w:right="8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59" w:name="page60"/>
    <w:bookmarkEnd w:id="59"/>
    <w:p>
      <w:pPr>
        <w:ind w:left="660" w:right="26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61" w:lineRule="exact"/>
        <w:rPr>
          <w:rFonts w:ascii="Times New Roman" w:cs="Times New Roman" w:eastAsia="Times New Roman" w:hAnsi="Times New Roman"/>
          <w:sz w:val="18"/>
          <w:szCs w:val="18"/>
          <w:color w:val="auto"/>
        </w:rPr>
      </w:pPr>
    </w:p>
    <w:p>
      <w:pPr>
        <w:ind w:left="660" w:right="8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660" w:right="60" w:hanging="328"/>
        <w:spacing w:after="0" w:line="24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7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40" w:lineRule="exact"/>
        <w:rPr>
          <w:rFonts w:ascii="Times New Roman" w:cs="Times New Roman" w:eastAsia="Times New Roman" w:hAnsi="Times New Roman"/>
          <w:sz w:val="18"/>
          <w:szCs w:val="18"/>
          <w:color w:val="auto"/>
        </w:rPr>
      </w:pPr>
    </w:p>
    <w:p>
      <w:pPr>
        <w:ind w:left="660" w:right="64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6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w:t>
      </w:r>
    </w:p>
    <w:p>
      <w:pPr>
        <w:spacing w:after="0" w:line="69" w:lineRule="exact"/>
        <w:rPr>
          <w:rFonts w:ascii="Times New Roman" w:cs="Times New Roman" w:eastAsia="Times New Roman" w:hAnsi="Times New Roman"/>
          <w:sz w:val="18"/>
          <w:szCs w:val="18"/>
          <w:color w:val="auto"/>
        </w:rPr>
      </w:pPr>
    </w:p>
    <w:p>
      <w:pPr>
        <w:ind w:left="660" w:right="44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Annual Report on Form 10-K apply to the activities of our collaborators.</w:t>
      </w:r>
    </w:p>
    <w:p>
      <w:pPr>
        <w:spacing w:after="0" w:line="73"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0" w:name="page61"/>
    <w:bookmarkEnd w:id="60"/>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78" w:lineRule="exact"/>
        <w:rPr>
          <w:sz w:val="20"/>
          <w:szCs w:val="20"/>
          <w:color w:val="auto"/>
        </w:rPr>
      </w:pPr>
    </w:p>
    <w:p>
      <w:pPr>
        <w:ind w:right="240" w:firstLine="648"/>
        <w:spacing w:after="0" w:line="280"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1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NX-5948,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69" w:lineRule="exact"/>
        <w:rPr>
          <w:sz w:val="20"/>
          <w:szCs w:val="20"/>
          <w:color w:val="auto"/>
        </w:rPr>
      </w:pPr>
    </w:p>
    <w:p>
      <w:pPr>
        <w:ind w:right="320" w:firstLine="648"/>
        <w:spacing w:after="0" w:line="246"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8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ind w:right="280" w:firstLine="648"/>
        <w:spacing w:after="0" w:line="24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1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6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8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1"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5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natural health products (NHPs) for toxicology testing in countries affected by macroeconomic events and conditions, including inflation, increasing interest rates,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7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sales and distribution support;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HTA recommendation for the product to be prescribed and reimbursed under the national health system;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3" w:name="page64"/>
    <w:bookmarkEnd w:id="63"/>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04" w:lineRule="exact"/>
        <w:rPr>
          <w:sz w:val="20"/>
          <w:szCs w:val="20"/>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4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0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76"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64" w:name="page65"/>
    <w:bookmarkEnd w:id="64"/>
    <w:p>
      <w:pPr>
        <w:ind w:firstLine="648"/>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8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5" w:name="page66"/>
    <w:bookmarkEnd w:id="65"/>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9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8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7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88"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w:t>
      </w:r>
    </w:p>
    <w:p>
      <w:pPr>
        <w:spacing w:after="0" w:line="7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7" w:name="page68"/>
    <w:bookmarkEnd w:id="6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7"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00" w:lineRule="exact"/>
        <w:rPr>
          <w:sz w:val="20"/>
          <w:szCs w:val="20"/>
          <w:color w:val="auto"/>
        </w:rPr>
      </w:pPr>
    </w:p>
    <w:p>
      <w:pPr>
        <w:spacing w:after="0" w:line="38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intellectual property from third parties, such licenses may not be available or may not be available on commercially reasonable terms and we may not be successful in obtaining or maintaining necessary rights to our drug candidates through acquisitions and in-licenses.</w:t>
      </w:r>
    </w:p>
    <w:p>
      <w:pPr>
        <w:spacing w:after="0" w:line="2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19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82"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69" w:name="page70"/>
    <w:bookmarkEnd w:id="69"/>
    <w:p>
      <w:pPr>
        <w:ind w:firstLine="648"/>
        <w:spacing w:after="0" w:line="242"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NX-5948 and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8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87"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9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7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spacing w:after="0" w:line="7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spacing w:after="0" w:line="7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We may choose to challenge the enforceability or validity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spacing w:after="0" w:line="8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1" w:name="page72"/>
    <w:bookmarkEnd w:id="71"/>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w:t>
      </w:r>
    </w:p>
    <w:p>
      <w:pPr>
        <w:spacing w:after="0" w:line="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90"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pursue or guarantee protection of our intellectual property rights in jurisdictions outside the United States.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spacing w:after="0" w:line="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of any litigation. As a single court system can invalidate a European patent, we, where applicable, may opt out of the UPC, and as such, each European patent would need to be challenged in each individual country.</w:t>
      </w:r>
    </w:p>
    <w:p>
      <w:pPr>
        <w:spacing w:after="0" w:line="173"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2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5"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7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7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jc w:val="both"/>
        <w:ind w:left="660" w:right="8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8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utilizing issued patents and other intellectual property that we hold may prove to be ineffective for their intended treatment or we may not obtain regulatory approval for such drug candidates;</w:t>
      </w:r>
    </w:p>
    <w:p>
      <w:pPr>
        <w:spacing w:after="0" w:line="5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40"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w:t>
      </w:r>
    </w:p>
    <w:p>
      <w:pPr>
        <w:spacing w:after="0" w:line="5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current patents or patent issuing based on patent applications that we own may not provide protection against competitors or any competitive advantages or may be challenged by third parties;</w:t>
      </w:r>
    </w:p>
    <w:p>
      <w:pPr>
        <w:spacing w:after="0" w:line="40"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6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60" w:right="40" w:hanging="328"/>
        <w:spacing w:after="0" w:line="296" w:lineRule="auto"/>
        <w:tabs>
          <w:tab w:leader="none" w:pos="6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30"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drug candidates;</w:t>
      </w:r>
    </w:p>
    <w:p>
      <w:pPr>
        <w:spacing w:after="0" w:line="4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enforce and/or defend our patent rights, a court may not hold that our patents are valid, enforceable and infringed;</w:t>
      </w:r>
    </w:p>
    <w:p>
      <w:pPr>
        <w:spacing w:after="0" w:line="103"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subject matter that is covered by our patent applications.</w:t>
      </w:r>
    </w:p>
    <w:p>
      <w:pPr>
        <w:spacing w:after="0" w:line="54"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0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17" w:lineRule="exact"/>
        <w:rPr>
          <w:rFonts w:ascii="Times New Roman" w:cs="Times New Roman" w:eastAsia="Times New Roman" w:hAnsi="Times New Roman"/>
          <w:sz w:val="18"/>
          <w:szCs w:val="18"/>
          <w:color w:val="auto"/>
        </w:rPr>
      </w:pPr>
    </w:p>
    <w:p>
      <w:pPr>
        <w:ind w:left="660" w:right="80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0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 a manner rendering our clinical data insufficient for approval.</w:t>
      </w:r>
    </w:p>
    <w:p>
      <w:pPr>
        <w:spacing w:after="0" w:line="104" w:lineRule="exact"/>
        <w:rPr>
          <w:sz w:val="20"/>
          <w:szCs w:val="20"/>
          <w:color w:val="auto"/>
        </w:rPr>
      </w:pPr>
    </w:p>
    <w:p>
      <w:pPr>
        <w:jc w:val="both"/>
        <w:ind w:right="120" w:firstLine="648"/>
        <w:spacing w:after="0" w:line="247"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w:t>
      </w:r>
    </w:p>
    <w:p>
      <w:pPr>
        <w:spacing w:after="0" w:line="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Even if we believe the data collected from clinical trials of our drug candidates are promising, such data may not be sufficient to support approval by the FDA.</w:t>
      </w:r>
    </w:p>
    <w:p>
      <w:pPr>
        <w:spacing w:after="0" w:line="6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7" w:name="page78"/>
    <w:bookmarkEnd w:id="77"/>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spacing w:after="0" w:line="6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January 2024, the FDA granted Fast Track designation for NX-5948 in the United States for the treatment of adult patients with relapsed or refractory CLL or small lymphocytic lymphoma after at least two lines of therapy, including a BTK inhibitory and a B-cell lymphoma 2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w:t>
      </w:r>
    </w:p>
    <w:p>
      <w:pPr>
        <w:spacing w:after="0" w:line="77"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spacing w:after="0" w:line="8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Under FDA policies, a drug candidate is eligible for Priority Review, or review within a six-month time frame from the time a complete NDA is accepted for filing, if the drug candidate provides a significant improvement compared to marketed drugs in the treatment, diagnosis or prevention of a disease.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spacing w:after="0" w:line="19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If such confirmatory trials fail to confirm the drug’s clinical profile or risks and benefits, the FDA may withdraw its approval of the drug.</w:t>
      </w: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8" w:name="page79"/>
    <w:bookmarkEnd w:id="78"/>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9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93"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8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spacing w:after="0" w:line="87"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8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9" w:name="page80"/>
    <w:bookmarkEnd w:id="7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7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replace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80" w:name="page81"/>
    <w:bookmarkEnd w:id="80"/>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7"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73"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w:t>
      </w:r>
    </w:p>
    <w:p>
      <w:pPr>
        <w:spacing w:after="0" w:line="18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93"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7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81" w:name="page82"/>
    <w:bookmarkEnd w:id="81"/>
    <w:p>
      <w:pPr>
        <w:ind w:left="660" w:right="32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10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7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ind w:right="200" w:firstLine="648"/>
        <w:spacing w:after="0" w:line="264"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2" w:name="page83"/>
    <w:bookmarkEnd w:id="82"/>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7"/>
          <w:szCs w:val="17"/>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6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72" w:lineRule="exact"/>
        <w:rPr>
          <w:sz w:val="20"/>
          <w:szCs w:val="20"/>
          <w:color w:val="auto"/>
        </w:rPr>
      </w:pPr>
    </w:p>
    <w:p>
      <w:pPr>
        <w:jc w:val="both"/>
        <w:ind w:right="420" w:firstLine="648"/>
        <w:spacing w:after="0" w:line="250" w:lineRule="auto"/>
        <w:rPr>
          <w:sz w:val="20"/>
          <w:szCs w:val="20"/>
          <w:color w:val="auto"/>
        </w:rPr>
      </w:pPr>
      <w:r>
        <w:rPr>
          <w:rFonts w:ascii="Times New Roman" w:cs="Times New Roman" w:eastAsia="Times New Roman" w:hAnsi="Times New Roman"/>
          <w:sz w:val="18"/>
          <w:szCs w:val="18"/>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8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73"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3" w:name="page84"/>
    <w:bookmarkEnd w:id="83"/>
    <w:p>
      <w:pPr>
        <w:ind w:right="80" w:firstLine="648"/>
        <w:spacing w:after="0" w:line="260" w:lineRule="auto"/>
        <w:rPr>
          <w:sz w:val="20"/>
          <w:szCs w:val="20"/>
          <w:color w:val="auto"/>
        </w:rPr>
      </w:pPr>
      <w:r>
        <w:rPr>
          <w:rFonts w:ascii="Times New Roman" w:cs="Times New Roman" w:eastAsia="Times New Roman" w:hAnsi="Times New Roman"/>
          <w:sz w:val="17"/>
          <w:szCs w:val="17"/>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7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54" w:lineRule="exact"/>
        <w:rPr>
          <w:sz w:val="20"/>
          <w:szCs w:val="20"/>
          <w:color w:val="auto"/>
        </w:rPr>
      </w:pPr>
    </w:p>
    <w:p>
      <w:pPr>
        <w:ind w:left="660" w:right="8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0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4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6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w:t>
      </w:r>
    </w:p>
    <w:p>
      <w:pPr>
        <w:spacing w:after="0" w:line="19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ind w:firstLine="648"/>
        <w:spacing w:after="0" w:line="24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77"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9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76"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 Additionally, the European Commission’s new proposed legislation, if implemented, will also affect the current EU legal framework of pediatric medicines.</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U.S. federal and state and non-U.S. healthcare laws and regulations include the following:</w:t>
      </w:r>
    </w:p>
    <w:p>
      <w:pPr>
        <w:spacing w:after="0" w:line="104" w:lineRule="exact"/>
        <w:rPr>
          <w:sz w:val="20"/>
          <w:szCs w:val="20"/>
          <w:color w:val="auto"/>
        </w:rPr>
      </w:pPr>
    </w:p>
    <w:p>
      <w:pPr>
        <w:ind w:left="660" w:hanging="328"/>
        <w:spacing w:after="0" w:line="247"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71" w:lineRule="exact"/>
        <w:rPr>
          <w:rFonts w:ascii="Times New Roman" w:cs="Times New Roman" w:eastAsia="Times New Roman" w:hAnsi="Times New Roman"/>
          <w:sz w:val="18"/>
          <w:szCs w:val="18"/>
          <w:color w:val="auto"/>
        </w:rPr>
      </w:pPr>
    </w:p>
    <w:p>
      <w:pPr>
        <w:ind w:left="660" w:right="20" w:hanging="328"/>
        <w:spacing w:after="0" w:line="24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86" w:lineRule="exact"/>
        <w:rPr>
          <w:rFonts w:ascii="Times New Roman" w:cs="Times New Roman" w:eastAsia="Times New Roman" w:hAnsi="Times New Roman"/>
          <w:sz w:val="18"/>
          <w:szCs w:val="18"/>
          <w:color w:val="auto"/>
        </w:rPr>
      </w:pPr>
    </w:p>
    <w:p>
      <w:pPr>
        <w:ind w:left="660" w:right="60" w:hanging="328"/>
        <w:spacing w:after="0" w:line="24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3"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82" w:lineRule="exact"/>
        <w:rPr>
          <w:rFonts w:ascii="Times New Roman" w:cs="Times New Roman" w:eastAsia="Times New Roman" w:hAnsi="Times New Roman"/>
          <w:sz w:val="18"/>
          <w:szCs w:val="18"/>
          <w:color w:val="auto"/>
        </w:rPr>
      </w:pPr>
    </w:p>
    <w:p>
      <w:pPr>
        <w:jc w:val="both"/>
        <w:ind w:left="660" w:right="48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82"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82" w:lineRule="exact"/>
        <w:rPr>
          <w:rFonts w:ascii="Times New Roman" w:cs="Times New Roman" w:eastAsia="Times New Roman" w:hAnsi="Times New Roman"/>
          <w:sz w:val="18"/>
          <w:szCs w:val="18"/>
          <w:color w:val="auto"/>
        </w:rPr>
      </w:pPr>
    </w:p>
    <w:p>
      <w:pPr>
        <w:jc w:val="both"/>
        <w:ind w:left="660" w:right="40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86" w:name="page87"/>
    <w:bookmarkEnd w:id="86"/>
    <w:p>
      <w:pPr>
        <w:ind w:left="660" w:right="10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1"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54"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w:t>
      </w:r>
    </w:p>
    <w:p>
      <w:pPr>
        <w:spacing w:after="0" w:line="82"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7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5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7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8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CMS has recently taken steps to implement the IRA, including:</w:t>
      </w:r>
    </w:p>
    <w:p>
      <w:pPr>
        <w:spacing w:after="0" w:line="73" w:lineRule="exact"/>
        <w:rPr>
          <w:sz w:val="20"/>
          <w:szCs w:val="20"/>
          <w:color w:val="auto"/>
        </w:rPr>
      </w:pPr>
    </w:p>
    <w:p>
      <w:pPr>
        <w:ind w:left="660" w:right="2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2023, issuing guidance detailing the requirements and parameters of the first round of price negotiations, to take place during 2023 and 2024, for products subject to the “maximum fair price” provision that would become effective in 2026;</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releasing the initial list of 10 drugs subject to price negotiations;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96" w:lineRule="auto"/>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17, 2023, releasing guidance outlining the methodology for identifying certain manufacturers eligible to participate in a phase-in period where discounts on applicable products will be lower than those required by the Medicare Part D Manufacturer Discount Program; and</w:t>
      </w:r>
    </w:p>
    <w:p>
      <w:pPr>
        <w:spacing w:after="0" w:line="44" w:lineRule="exact"/>
        <w:rPr>
          <w:rFonts w:ascii="Times New Roman" w:cs="Times New Roman" w:eastAsia="Times New Roman" w:hAnsi="Times New Roman"/>
          <w:sz w:val="17"/>
          <w:szCs w:val="17"/>
          <w:color w:val="auto"/>
        </w:rPr>
      </w:pPr>
    </w:p>
    <w:p>
      <w:pPr>
        <w:ind w:left="660" w:right="50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2023, releasing a list of 48 Medicare Part B products that had adjusted coinsurance rates based on the inflationary rebate provisions of the IRA for the time period of January 1, 2024 to March 31, 2024 as well as issuing revised guidance for manufacturers in the Medicare Part B and D drug discount programs.</w:t>
      </w:r>
    </w:p>
    <w:p>
      <w:pPr>
        <w:spacing w:after="0" w:line="8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It is unclear how future regulatory actions to implement the IRA, as well as the outcome of pending litigation against the IRA, may affect our products and future profitability.</w:t>
      </w:r>
    </w:p>
    <w:p>
      <w:pPr>
        <w:spacing w:after="0" w:line="54"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On October 14, 2022, President Biden issued an Executive Order on Lowering Prescription Drug Costs for Americans, which instructed the Secretary of the Department of Health and Human Services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HHS to submit, within 90 days after the date of the Executive Order, a report regarding any models that may lead to lower cost-sharing for commonly used drugs and support value-based payment that promotes high-quality care. On February 14, 2023, the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w:t>
      </w:r>
    </w:p>
    <w:p>
      <w:pPr>
        <w:spacing w:after="0" w:line="94"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We cannot be sure what impact, if any, the foregoing changes will have on the profitability of any of our drug candidates, if approved for commercial use, in the future.</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88" w:name="page89"/>
    <w:bookmarkEnd w:id="88"/>
    <w:p>
      <w:pPr>
        <w:ind w:firstLine="648"/>
        <w:spacing w:after="0" w:line="245"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7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6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8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8" w:lineRule="exact"/>
        <w:rPr>
          <w:sz w:val="20"/>
          <w:szCs w:val="20"/>
          <w:color w:val="auto"/>
        </w:rPr>
      </w:pPr>
    </w:p>
    <w:p>
      <w:pPr>
        <w:ind w:left="660" w:right="22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0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90" w:name="page91"/>
    <w:bookmarkEnd w:id="90"/>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w:t>
      </w:r>
    </w:p>
    <w:p>
      <w:pPr>
        <w:spacing w:after="0" w:line="9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w:t>
      </w:r>
    </w:p>
    <w:p>
      <w:pPr>
        <w:spacing w:after="0" w:line="7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0" w:lineRule="exact"/>
        <w:rPr>
          <w:sz w:val="20"/>
          <w:szCs w:val="20"/>
          <w:color w:val="auto"/>
        </w:rPr>
      </w:pPr>
    </w:p>
    <w:p>
      <w:pPr>
        <w:spacing w:after="0" w:line="38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1" w:name="page92"/>
    <w:bookmarkEnd w:id="91"/>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Additionally, the SEC also adopted a new cybersecurity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w:t>
      </w:r>
    </w:p>
    <w:p>
      <w:pPr>
        <w:spacing w:after="0" w:line="8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17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 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2" w:name="page93"/>
    <w:bookmarkEnd w:id="92"/>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states have shown an increased interest in protecting the privacy of health data. Washington state passed the My Health My Data Act, which will take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will take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9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Personal data privacy remains an evolving landscape at both the U.S. state and international level, with new regulations coming into effect. For example, the CCPA, which came into effect on January 1, 2020, and was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as amended,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among others,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newly created state agency from the CPRA legislation that is charged with creating new rules and enforcing the CCPA, and the California Attorney General, who also still maintains some CCPA enforcement powers. Notably, following California’s lead, several other states enacted privacy laws that took effect in 2023: the Colorado Privacy Act, the Connecticut Personal Data Privacy and Online Monitoring Act, the Utah Consumer Privacy Act, and the Virginia Consumer Data Protection Act. Additional state privacy laws are set to take effect in 2024: the Florida Digital Bill of Rights (July 1, 2024), Montana’s Consumer Data Privacy Act (October 1, 2024), Oregon’s protections for the personal data of consumer enacted through SB 619 (July 1, 2024), and the Texas Data Privacy and Security Act (July 1, 2024). Compliance with this new privacy legislation adds complexity and may require investment in additional resources for compliance programs, thus potentially result in additional costs and expense of resources to maintain compliance.</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3" w:name="page94"/>
    <w:bookmarkEnd w:id="93"/>
    <w:p>
      <w:pPr>
        <w:ind w:firstLine="648"/>
        <w:spacing w:after="0" w:line="242" w:lineRule="auto"/>
        <w:rPr>
          <w:sz w:val="20"/>
          <w:szCs w:val="20"/>
          <w:color w:val="auto"/>
        </w:rPr>
      </w:pPr>
      <w:r>
        <w:rPr>
          <w:rFonts w:ascii="Times New Roman" w:cs="Times New Roman" w:eastAsia="Times New Roman" w:hAnsi="Times New Roman"/>
          <w:sz w:val="18"/>
          <w:szCs w:val="18"/>
          <w:color w:val="auto"/>
        </w:rPr>
        <w:t>In the EU, the EU GDPR governs the collection, use, disclosure, transfer, or other processing of personal data. The UK has implemented the EU GDPR as the UK GDPR which sits alongside the UK Data Protection Act 2018 (the UK GDPR, and together with the EU GDPR, the GDPR). The GDPR imposes compliance obligations on controllers, including (among others) mandating burdensome documentation requirements, granting certain privacy rights to individuals to control how companies collect, use, disclose, retain and otherwise process information about them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supervisory authorities of notifiable personal data breaches without undue delay (and no later than 72 hours) after becoming aware of the personal data breach, and the requirement for more detailed notices for clinical trial subjects and investigators. In addition, the EU GDPR prohibits the international transfer of personal data from clinical trial sites and other third parties (e.g., CROs) located in the EEA to jurisdictions that the European Commission does not recognize as having ‘adequate’ data protection laws, unless a data transfer mechanism has been put in place or a derogation under the EU GDPR can be relied upon. After years of uncertainty following the July 16, 2020 decision of the Court of Justice of the European Union invalidating the EU-U.S. Privacy Shield Framework for purposes of international transfers and imposing further restrictions on the use of standard contractual clauses (EU SCCs), including a requirement for companies to carry out a transfer privacy impact assessment (TIA),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spacing w:after="0" w:line="7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w:t>
      </w:r>
    </w:p>
    <w:p>
      <w:pPr>
        <w:spacing w:after="0" w:line="69"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UK GDPR also imposes similar restrictions on transfers of personal data from the UK to jurisdictions that the UK Government does not consider adequate, including the U.S.. The UK’s Information Commissioner’s Office (ICO) published: (i) its own form of EU SCCs, known as the International Data Transfer Agreement to replace the old Standard Contractual Clauses for transfers to outside the UK; (ii) a “UK addendum” to the new EU SCCs which amends the relevant provisions of such clauses to work in a UK context; and (iii) its own version of the TIA and guidance on international transfers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the DPF.</w:t>
      </w:r>
    </w:p>
    <w:p>
      <w:pPr>
        <w:spacing w:after="0" w:line="92"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As a company, we have invested, and expect to continue to invest, significant time and resources in our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 There is a risk that we could be impacted by a cybersecurity incident that results in loss or unauthorized disclosure of personal data, potentially resulting in us facing harms similar to those described above.</w:t>
      </w:r>
    </w:p>
    <w:p>
      <w:pPr>
        <w:spacing w:after="0" w:line="7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p>
      <w:pPr>
        <w:ind w:firstLine="648"/>
        <w:spacing w:after="0" w:line="242"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spacing w:after="0" w:line="87"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5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2023, we had federal and state net operating loss (NOL) carryforwards of approximately $269.3 million and $410.9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5" w:name="page96"/>
    <w:bookmarkEnd w:id="95"/>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or post-change income tax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tax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03"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67"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5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96" w:name="page97"/>
    <w:bookmarkEnd w:id="96"/>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9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82"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increasing interest rates and inflation, uncertainty with respect to the federal budget and debt ceiling and potential government shutdowns related thereto, as well as the possibility of a recession or further economic downturn. Moreover, there have been recent concerns with respect to the stability of the global banking system. For example, on March 10, 2023, Silicon Valley Bank (SVB), which was one of our banking partners, was closed by the California Department of Financial Protection and Innovation, which appointed the Federal Deposit Insurance Corporation (FDIC) as receiver. Similarly, on March 12, 2023, Silvergate Capital Corp. and Signature Bank were each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200"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We expect our results of operations to be subject to quarterly fluctuations. Our net loss and other results of operations will be affected by numerous factors, including:</w:t>
      </w:r>
    </w:p>
    <w:p>
      <w:pPr>
        <w:spacing w:after="0" w:line="68"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the level of expense related to the ongoing development of our drug candidates, DELigase platform, or future development programs;</w:t>
      </w:r>
    </w:p>
    <w:p>
      <w:pPr>
        <w:spacing w:after="0" w:line="115" w:lineRule="exact"/>
        <w:rPr>
          <w:rFonts w:ascii="Times New Roman" w:cs="Times New Roman" w:eastAsia="Times New Roman" w:hAnsi="Times New Roman"/>
          <w:sz w:val="17"/>
          <w:szCs w:val="17"/>
          <w:color w:val="auto"/>
        </w:rPr>
      </w:pPr>
    </w:p>
    <w:p>
      <w:pPr>
        <w:ind w:left="660" w:right="3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 or funding support by us or by existing or future collaborators or licensing partners;</w:t>
      </w:r>
    </w:p>
    <w:p>
      <w:pPr>
        <w:spacing w:after="0" w:line="67"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03"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660" w:right="80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increasing interest rates, inflation, uncertainty with respect to the federal budget and debt ceiling and potential government shutdowns related thereto, instability in the global banking system and the possibility of a recession or further economic downturn.</w:t>
      </w:r>
    </w:p>
    <w:p>
      <w:pPr>
        <w:spacing w:after="0" w:line="8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w:t>
      </w:r>
    </w:p>
    <w:p>
      <w:pPr>
        <w:spacing w:after="0" w:line="6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0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trials, manufacturing process or sales and marketing terms;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99" w:name="page100"/>
    <w:bookmarkEnd w:id="99"/>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0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any additional capital is raised;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regional conflicts around the world;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03"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increasing interest rates, inflation, uncertainty with respect to the federal budget and debt ceiling and potential government shutdowns related thereto, instability in the global banking system and the possibility of a recession or further economic downturn.</w:t>
      </w:r>
    </w:p>
    <w:p>
      <w:pPr>
        <w:spacing w:after="0" w:line="61"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8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w:t>
      </w:r>
    </w:p>
    <w:p>
      <w:pPr>
        <w:spacing w:after="0" w:line="8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0" w:name="page101"/>
    <w:bookmarkEnd w:id="100"/>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up to $450.0 million of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November 30, 2023,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for gross proceeds to us of $95.0 million before deducting offering expenses.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November 30, 2023, we have issued pre-funded warrants to purchase a total of 6,814,920 shares of our common stock, of which 6,097,560 were outstanding as of November 30, 2023.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pre-funded warrants.</w:t>
      </w:r>
    </w:p>
    <w:p>
      <w:pPr>
        <w:spacing w:after="0" w:line="121"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01" w:name="page102"/>
    <w:bookmarkEnd w:id="101"/>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7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68"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86"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2" w:name="page103"/>
    <w:bookmarkEnd w:id="102"/>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8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For example, in 2023 the SEC adopted rules requiring disclosure of material cybersecurity incidents suffered by public companies, as well as annual disclosure regarding cybersecurity governance and risk management.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w:t>
      </w:r>
    </w:p>
    <w:p>
      <w:pPr>
        <w:spacing w:after="0" w:line="7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3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3" w:name="page104"/>
    <w:bookmarkEnd w:id="103"/>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results of operations, investors’ views of us and, as a result, the value of our common stock.</w:t>
      </w:r>
    </w:p>
    <w:p>
      <w:pPr>
        <w:spacing w:after="0" w:line="5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92"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Moreover, in the event that we qualify as a large accelerated filer or accelerated filer under SEC rules in future years, our independent registered public accounting firm will be required to audit the effectiveness of our internal control over financial reporting pursuant to Section 404(b) of the Sarbanes-Oxley Act (Section 404(b)). Any mandatory or voluntary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w:t>
      </w:r>
    </w:p>
    <w:p>
      <w:pPr>
        <w:spacing w:after="0" w:line="78"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6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became a “smaller reporting company” as of May 31, 2022. We will continue to be a smaller reporting company so long as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As a smaller reporting company, we may take advantage of many of the same exemptions from disclosure requirements as an emerging growth company,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right"/>
        <w:ind w:right="9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 and Facilities</w:t>
      </w:r>
    </w:p>
    <w:p>
      <w:pPr>
        <w:spacing w:after="0" w:line="12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Our principal executive office is located in San Francisco, California, where we lease a total of 77,222 square feet of office and laboratory spaces that we use for our administrative, research and development and other activities. The lease for 19,320 square feet of space expires in June 2024, and the lease for 57,902 square feet of space expires in April 2025. Additionally, we lease a total of 50,094 square feet of office and laboratory space in The Woodlands, Texas that expires in February 2035. We believe that our existing facilities are suitable and adequate for our current requirements and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consolidated financial statements. Regardless of outcome, litigation can have an adverse impact on us due to defense and settlement costs, diversion of management resources, negative publicity and reputational harm and other factors.</w:t>
      </w:r>
    </w:p>
    <w:p>
      <w:pPr>
        <w:spacing w:after="0" w:line="295"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3"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5" w:name="page106"/>
    <w:bookmarkEnd w:id="105"/>
    <w:p>
      <w:pPr>
        <w:ind w:left="56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“NRIX” since July 24, 2020. Prior to that date, there was no public trading market for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close of business on February 5, 2024, there were 16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finance the growth and development of our business, and we do not anticipate paying any cash dividends in the foreseeable future. Any future determination regarding the declaration and payment of dividends will fall within the discretion of our Board of Directors, and will depend on various factors, including our operating results, financial condition, and capital requirements, restrictions that may be imposed by applicable law, and other factors deemed relevant by our Board of Directors.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this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in Part III, Item 12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648"/>
        <w:spacing w:after="0" w:line="213"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w:t>
      </w:r>
    </w:p>
    <w:p>
      <w:pPr>
        <w:spacing w:after="0" w:line="80" w:lineRule="exact"/>
        <w:rPr>
          <w:sz w:val="20"/>
          <w:szCs w:val="20"/>
          <w:color w:val="auto"/>
        </w:rPr>
      </w:pPr>
    </w:p>
    <w:p>
      <w:pPr>
        <w:jc w:val="both"/>
        <w:ind w:right="100" w:firstLine="648"/>
        <w:spacing w:after="0" w:line="240" w:lineRule="exact"/>
        <w:rPr>
          <w:sz w:val="20"/>
          <w:szCs w:val="20"/>
          <w:color w:val="auto"/>
        </w:rPr>
      </w:pPr>
      <w:r>
        <w:rPr>
          <w:rFonts w:ascii="Times New Roman" w:cs="Times New Roman" w:eastAsia="Times New Roman" w:hAnsi="Times New Roman"/>
          <w:sz w:val="18"/>
          <w:szCs w:val="18"/>
          <w:color w:val="auto"/>
        </w:rPr>
        <w:t>Our portfolio of targeted protein degraders of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orally bioavailable BTK degrader for the treatment of relapsed or refractory B-cell malignancies and potentially autoimmune diseases,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orally bioavailable BTK degrader that also degrades cereblon neosubstrates IKZF1 (Ikaros) and IKZF3 (Aiolos)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w:t>
      </w:r>
    </w:p>
    <w:p>
      <w:pPr>
        <w:spacing w:after="0" w:line="5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NX-5948: We are currently treating patients in a Phase 1a/1b dose-escalation and cohort expansion study in patients with relapsed or refractory B-cell malignancies. In January 2024, the U.S. Food and Drug Administration (FDA) granted Fast Track designation for NX-5948 for the treatment of adult patients with relapsed or refractory chronic lymphocytic leukemia (CLL) or small lymphocytic lymphoma (SLL) after at least two lines of therapy, including a BTK inhibitor (BTKi) and a B-cell lymphoma 2 (BCL2) inhibitor.</w:t>
      </w:r>
    </w:p>
    <w:p>
      <w:pPr>
        <w:spacing w:after="0" w:line="42"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treating patients in a Phase 1a/1b dose-escalation and cohort expansion study of NX-2127 in patients with relapsed or refractory B-cell malignancies. We have initiated Phase 1b expansion cohorts for patients with relapsed CLL, diffuse large B-cell lymphoma (DLBCL) and mantle cell lymphoma (MCL). Enrollment of new patients in this clinical trial is paused pending resolution of a partial clinical hold, which followed our communication to the FDA of our intention to transition to an improved manufacturing process. Patients already enrolled who are receiving clinical benefit may continue treatment.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Elevation</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targeted protein elevation program includes NX-1607, an orally bioavailable inhibitor of CBL-B, an E3 ligase that regulates the activation of multiple immune cell types including T cells and NK cells. NX-1607 is targeted for immuno-oncology indications.</w:t>
      </w:r>
    </w:p>
    <w:p>
      <w:pPr>
        <w:spacing w:after="0" w:line="4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are currently treating patients in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NX-1607 was awarded an Innovative Passport from the UK Medicines and Healthcare products Regulatory Agency to accelerate time to market and facilitate patient access to novel drugs to treat serious and life-threatening diseases.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Pipeline</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clinical stage drug candidates, we are extending our protein modulation portfolio, both on our own and with partners by developing new targeted protein degraders and ligase inhibitors for a number of targets for which we believe the protein modulation modality can be clinically advantageous over existing therapies. These existing and future programs may have the potential to address diseases with significant unmet need, including cancer, autoimmunity, inflammation, and other challenging diseases.</w:t>
      </w:r>
    </w:p>
    <w:p>
      <w:pPr>
        <w:spacing w:after="0" w:line="69"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have entered into several revenue generating collaborations with large biopharmaceutical companies, including with Gilead, Sanofi and Seagen (now a part of Pfizer), to leverage our DELigase platform for drug discovery. These collaborations allow us to further advance our future pipeline with multiple currently identified targets included in these collaborations. In aggregate, we have received $413.0 million in non-dilutive financing from our collaborators to date, and as of November 30, 2023, we are eligible to receive up to $8.1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 These amendments had no impact on revenue recognition.</w:t>
      </w:r>
    </w:p>
    <w:p>
      <w:pPr>
        <w:spacing w:after="0" w:line="6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8"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November 30, 2023, we received payments of $47.0 million for research milestones and additional payments and $20.0 million for a license option exercise payment. As of November 30, 2023, we are eligible to receive up to approximately $2.3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8" w:name="page109"/>
    <w:bookmarkEnd w:id="108"/>
    <w:p>
      <w:pPr>
        <w:ind w:firstLine="648"/>
        <w:spacing w:after="0" w:line="245"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 to expire option period.</w:t>
      </w:r>
    </w:p>
    <w:p>
      <w:pPr>
        <w:spacing w:after="0" w:line="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$29.9 million and $23.7 million during the years ended November 30, 2023 and 2022, respectively. As of November 30, 2023 and 2022, there was $10.0 million and $27.4 million, respectively, of deferred revenue related to payments received by us under the Gilead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6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entered into the Fourth Amendment and Fifth Amendment, respectively, to the Sanofi Agreement to modify the research plan for certain targets, which had no impact on revenue recognition.</w:t>
      </w:r>
    </w:p>
    <w:p>
      <w:pPr>
        <w:spacing w:after="0" w:line="73"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7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7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November 30, 2023, we received payments of $7.0 million for research milestones. Additionally, we achieved two research milestones in November 2023 and received payments totaling $4.0 million in January 2024 as a result. As of November 30, 2023, we are eligible to receive up to approximately $2.5 billion in total additional payments based on certain additional fees, payments and the successful completion of certain research development, regulatory and sales milestones, as well as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9" w:name="page110"/>
    <w:bookmarkEnd w:id="109"/>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87"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$25.4 million and $15.0 million during the years ended November 30, 2023 and 2022, respectively. As of November 30, 2023 and 2022, there was $24.9 million and $46.2 million, respectively, of deferred revenue related to payments received by us under the Sanofi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6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exercised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8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Under the terms of the Pfizer Agreement, we received an upfront payment of $60.0 million. We are eligible to receive up to approximately $3.4 billion in contingent payments based on specified research, development, regulatory and commercial milestones across multiple programs, and are eligible for mid-single to low double digit percentage tiered royalties on future sales.</w:t>
      </w:r>
    </w:p>
    <w:p>
      <w:pPr>
        <w:spacing w:after="0" w:line="82"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8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recognized collaboration revenue from the Pfizer Agreement of $1.7 million during the year ended November 30, 2023. As of November 30, 2023, there was $58.3 million of deferred revenue related to payments received by us under the Pfizer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72"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years ended November 30, 2023 and 2022, we incurred net losses of $143.9 million and $180.4 million, respectively. As of November 30, 2023, we had an accumulated deficit of $545.2 million. These losses have resulted primarily from costs incurred in connection with research and development activities and general and administrative costs associated with our operations.</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0" w:name="page111"/>
    <w:bookmarkEnd w:id="110"/>
    <w:p>
      <w:pPr>
        <w:ind w:right="180" w:firstLine="648"/>
        <w:spacing w:after="0" w:line="244"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6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November 30, 2023, we had $295.3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Global Business, Political and Macroeconomic Conditions</w:t>
      </w:r>
    </w:p>
    <w:p>
      <w:pPr>
        <w:spacing w:after="0" w:line="121"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Uncertainty in the global business, political and macroeconomic environments present significant risks to our business. We are subject to continuing risks and uncertainties, including increasing financial market volatility and uncertainty, inflation, increasing interest rates,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are closely monitoring the impact of these factors on all aspects of our business, including the impacts on our clinical trial patients, employees, partner, suppliers, and vendors.</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ultimate extent of the impact of global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section titled “Risk Factors” in this Annual Report on Form 10-K.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54"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7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1" w:name="page112"/>
    <w:bookmarkEnd w:id="111"/>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license revenue consists of a payment received from the Gilead License Option Exercise that was fully recognized during the second quarter of fiscal year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17" w:lineRule="exact"/>
        <w:rPr>
          <w:sz w:val="20"/>
          <w:szCs w:val="20"/>
          <w:color w:val="auto"/>
        </w:rPr>
      </w:pPr>
    </w:p>
    <w:p>
      <w:pPr>
        <w:ind w:left="980" w:right="640" w:hanging="324"/>
        <w:spacing w:after="0" w:line="266"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 and</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research and development expenses consist primarily of costs incurred for the development of our drug candidates and may include:</w:t>
      </w:r>
    </w:p>
    <w:p>
      <w:pPr>
        <w:spacing w:after="0" w:line="104" w:lineRule="exact"/>
        <w:rPr>
          <w:sz w:val="20"/>
          <w:szCs w:val="20"/>
          <w:color w:val="auto"/>
        </w:rPr>
      </w:pPr>
    </w:p>
    <w:p>
      <w:pPr>
        <w:ind w:left="980" w:right="20" w:hanging="324"/>
        <w:spacing w:after="0" w:line="266"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67" w:lineRule="exact"/>
        <w:rPr>
          <w:rFonts w:ascii="Times New Roman" w:cs="Times New Roman" w:eastAsia="Times New Roman" w:hAnsi="Times New Roman"/>
          <w:sz w:val="18"/>
          <w:szCs w:val="18"/>
          <w:color w:val="auto"/>
        </w:rPr>
      </w:pPr>
    </w:p>
    <w:p>
      <w:pPr>
        <w:ind w:left="980" w:right="560" w:hanging="324"/>
        <w:spacing w:after="0" w:line="266"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1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of the consolidated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Actual results could differ significantly from those estimates. We believe that the following discussion addresses our most critical accounting policies and estimates, which are those that are most important to the portrayal of our financial condition and results of operations and require management’s most difficult, subjective and complex judgments.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determine if an arrangement contains a lease and the classification of the lease at inception. An arrangement contains a lease if there is an identified asset and if we control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We use our incremental borrowing rate, if an implicit rate is not readily available, and the information available at the date of lease commencement in determining our lease liabilities. Our incremental borrowing rate is based on the rate of interest that we would have to pay to borrow on a collateralized basis over a similar term for an amount equal to the lease payments in a similar economic environment, and the determination of the rate requires us to make certain assumptions and judgements, including on our synthetic credit rating. Leases may include options to extend or early terminate the lease term. If we, using judgement, are reasonably certain that an option will be exercised, then the option will be included in the calculation of the lease term. The determination of the lease liabilities is sensitive to the incremental borrowing rate and the expected lease term. Lease expense for operating leases is recognized on a straight-line basis over the lease term. We do not have any finance leases.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recognize revenue when our customer obtains control of promised goods or services, in an amount that reflects the consideration which we expect to receive in exchange for those goods or services. At contract inception, we assess the goods or services promised within each contract, whether each promised good or service is distinct, and determine those that are performance obligations. We then recognize as revenue the amount of the transaction price that is allocated to the respective performance obligation when or as the performance obligation is satisfied.</w:t>
      </w:r>
    </w:p>
    <w:p>
      <w:pPr>
        <w:spacing w:after="0" w:line="8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enter into collaboration agreements under which we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term and the participation of alliance managers and in joint research committees, joint patent committees and joint steering committees. We assess these promises within the context of the agreements to determine the performance obligations.</w:t>
      </w:r>
    </w:p>
    <w:p>
      <w:pPr>
        <w:spacing w:after="0" w:line="67"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7"/>
          <w:szCs w:val="17"/>
          <w:i w:val="1"/>
          <w:iCs w:val="1"/>
          <w:color w:val="auto"/>
        </w:rPr>
        <w:t>Exclusive license rights</w:t>
      </w:r>
      <w:r>
        <w:rPr>
          <w:rFonts w:ascii="Times New Roman" w:cs="Times New Roman" w:eastAsia="Times New Roman" w:hAnsi="Times New Roman"/>
          <w:sz w:val="17"/>
          <w:szCs w:val="17"/>
          <w:color w:val="auto"/>
        </w:rPr>
        <w:t>: If a license to our intellectual property is determined to be distinct from the other promises identified in the arrangement,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recognize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68"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Research and collaboration licenses</w:t>
      </w:r>
      <w:r>
        <w:rPr>
          <w:rFonts w:ascii="Times New Roman" w:cs="Times New Roman" w:eastAsia="Times New Roman" w:hAnsi="Times New Roman"/>
          <w:sz w:val="18"/>
          <w:szCs w:val="18"/>
          <w:color w:val="auto"/>
        </w:rPr>
        <w:t>: Collaboration agreements may include research licenses and research and development services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us. For research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We evaluate the measure of proportional performance each reporting period and, if necessary, adjust the measure of performance and related revenue recognition.</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3" w:name="page114"/>
    <w:bookmarkEnd w:id="113"/>
    <w:p>
      <w:pPr>
        <w:jc w:val="both"/>
        <w:ind w:right="22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we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2"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7"/>
          <w:szCs w:val="17"/>
          <w:i w:val="1"/>
          <w:iCs w:val="1"/>
          <w:color w:val="auto"/>
        </w:rPr>
        <w:t>Customer options</w:t>
      </w:r>
      <w:r>
        <w:rPr>
          <w:rFonts w:ascii="Times New Roman" w:cs="Times New Roman" w:eastAsia="Times New Roman" w:hAnsi="Times New Roman"/>
          <w:sz w:val="17"/>
          <w:szCs w:val="17"/>
          <w:color w:val="auto"/>
        </w:rPr>
        <w:t>: Customer options, such as options granted to allow a licensee to extend a license or research term, to select additional research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we allocate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6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For performance obligations satisfied over time, we recognize revenue using the cost-based input method and evaluate the measure of proportional performance each reporting period and, if necessary, adjust the measure of performance and related revenue recognition. To measure the proportional performance, we are required to make our best estimates of forecasted expenditures and development timelines, which are subject to uncertainties, including the timing of replacement targets, if any, associated with pharmaceutical product development. Forecasted total expenditures are driven primarily by the number of full-time employees, and the assumptions over the number of full-time employees require significant management judgement. The number of full-time employees may change based on the progress and timing of our product development, and may be influenced by resource allocation decisions on internal programs and overall constraint on resources. The model is highly sensitive to changes in resources assigned over the research term. Forecasted total expenditures also include other direct costs related to product development, including third-party contract costs, and may also require management’s estimate of costs and market conditions that may impact costs.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November 30, 2023 and 2022</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for the years ended November 30, 2023 and 2022 are summarized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9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3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56,987</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2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232,050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collaboration revenue for the years ended November 30, 2023 and 2022 is summarized as follows (in thousands):</w:t>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41910</wp:posOffset>
            </wp:positionV>
            <wp:extent cx="17919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91970" cy="8890"/>
                    </a:xfrm>
                    <a:prstGeom prst="rect">
                      <a:avLst/>
                    </a:prstGeom>
                    <a:noFill/>
                  </pic:spPr>
                </pic:pic>
              </a:graphicData>
            </a:graphic>
          </wp:anchor>
        </w:drawing>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9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Gilead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Sanofi</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6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Our collaboration revenue increased by $18.4 million during the year ended November 30, 2023, compared to the year ended November 30, 2022, primarily due to increased effort resulting in a higher percentage of completion of performance obligations under our collaborations with Gilead and Sanofi in the current period. The increase was also due to higher achievement of research milestones that resulted in higher revenue recognized in each period and impacted the cumulative catch up in revenue for activities satisfied in previous periods. In addition, we recognized revenue of $1.7 million related to activities performed during the fourth fiscal quarter ended November 30, 2023 pursuant to the Pfizer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license revenue was $20.0 million for the year ended November 30, 2023, and is related to the Gilead License Option Exercise. There was no license revenue for the year ended November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for the years ended November 30, 2023 and 2022 are summarized as follows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8"/>
              </w:rPr>
              <w:t>7,540</w:t>
            </w: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8"/>
              </w:rPr>
              <w:t>1,831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and contract research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(5,792)</w:t>
            </w: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Clinical costs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8"/>
              </w:rPr>
              <w:t>3,613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and other costs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8"/>
              </w:rPr>
              <w:t>5,590</w:t>
            </w:r>
          </w:p>
        </w:tc>
        <w:tc>
          <w:tcPr>
            <w:tcW w:w="0" w:type="dxa"/>
            <w:vAlign w:val="bottom"/>
          </w:tcPr>
          <w:p>
            <w:pPr>
              <w:spacing w:after="0"/>
              <w:rPr>
                <w:sz w:val="1"/>
                <w:szCs w:val="1"/>
                <w:color w:val="auto"/>
              </w:rPr>
            </w:pPr>
          </w:p>
        </w:tc>
      </w:tr>
      <w:tr>
        <w:trPr>
          <w:trHeight w:val="26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189,148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8"/>
              </w:rPr>
              <w:t>4,651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0" w:firstLine="648"/>
        <w:spacing w:after="0" w:line="245" w:lineRule="auto"/>
        <w:rPr>
          <w:sz w:val="20"/>
          <w:szCs w:val="20"/>
          <w:color w:val="auto"/>
        </w:rPr>
      </w:pPr>
      <w:r>
        <w:rPr>
          <w:rFonts w:ascii="Times New Roman" w:cs="Times New Roman" w:eastAsia="Times New Roman" w:hAnsi="Times New Roman"/>
          <w:sz w:val="18"/>
          <w:szCs w:val="18"/>
          <w:color w:val="auto"/>
        </w:rPr>
        <w:t>Our research and development expense increased by $4.7 million during the year ended November 30, 2023, compared to the year ended November 30, 2022. There was an increase in compensation and related personnel costs and in non-cash stock-based compensation expense that were primarily attributable to higher headcount and the issuance of restricted stock units (RSUs) and incentive stock options. There was also an increase in clinical costs as we continued our clinical trial programs and ongoing patient enrollment and an increase in facility and other costs primarily driven by investments in equipment and expenses related to our leases of office and laboratory space, including the lease in The Woodlands, Texas. There was a decrease in research related costs as we concluded certain studies and sponsored research agreements and a decrease in contract manufacturing as we stabilized the supply needed for our clinical trials.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520" w:firstLine="648"/>
        <w:spacing w:after="0" w:line="250" w:lineRule="auto"/>
        <w:rPr>
          <w:sz w:val="20"/>
          <w:szCs w:val="20"/>
          <w:color w:val="auto"/>
        </w:rPr>
      </w:pPr>
      <w:r>
        <w:rPr>
          <w:rFonts w:ascii="Times New Roman" w:cs="Times New Roman" w:eastAsia="Times New Roman" w:hAnsi="Times New Roman"/>
          <w:sz w:val="18"/>
          <w:szCs w:val="18"/>
          <w:color w:val="auto"/>
        </w:rPr>
        <w:t>Our general and administrative expenses increased by $4.9 million during the year ended November 30, 2023, compared to the year ended November 30, 2022. There was an increase in non-cash stock-based compensation expense primarily driven by the increased issuance of RSUs and incentive stock options and an increase in professional service costs related to the Pfizer Agreement, offset by a decrease in outside consulting costs.</w:t>
      </w: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interest and other income, net increased by $7.6 million during the year ended November 30, 2023, compared to the year ended November 30, 2022, primarily attributable to higher interest rates earning higher interest income on our deposits, money market funds and marketable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82"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8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August 2021, we entered into an Equity Distribution Agreement with Piper Sandler &amp; Co. (Piper Sandler) pursuant to which, from time to time, we may offer and sell through Piper Sandler up to $150.0 million of the common stock registered under our shelf registration statement on Form S-3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$10.0001 per share of common stock for net proceeds of approximately $19.3 million after deducting offering commissions and expenses paid by us (the June 2022 ATM Offering). As of November 30, 2023, we had $130.0 million of common stock remaining available for sale under the Equity Distribution Agreement.</w:t>
      </w:r>
    </w:p>
    <w:p>
      <w:pPr>
        <w:spacing w:after="0" w:line="33" w:lineRule="exact"/>
        <w:rPr>
          <w:sz w:val="20"/>
          <w:szCs w:val="20"/>
          <w:color w:val="auto"/>
        </w:rPr>
      </w:pPr>
    </w:p>
    <w:p>
      <w:pPr>
        <w:ind w:right="80" w:firstLine="648"/>
        <w:spacing w:after="0" w:line="217" w:lineRule="exact"/>
        <w:rPr>
          <w:sz w:val="20"/>
          <w:szCs w:val="20"/>
          <w:color w:val="auto"/>
        </w:rPr>
      </w:pPr>
      <w:r>
        <w:rPr>
          <w:rFonts w:ascii="Times New Roman" w:cs="Times New Roman" w:eastAsia="Times New Roman" w:hAnsi="Times New Roman"/>
          <w:sz w:val="18"/>
          <w:szCs w:val="18"/>
          <w:color w:val="auto"/>
        </w:rPr>
        <w:t>In July 2022, we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our common stock in registered direct offerings (RDOs) at a price of $13.939 per pre-funded warrant. Net proceeds from the RDOs were approximately $94.8 million, after deducting offering expenses of $0.2 million. The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As of November 30, 2023, a total of 6,097,560 pre-funded warrants remained available for exercise.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November 30, 2023, our operations have primarily been funded through the net proceeds from equity offerings of $650.5 million and proceeds from collaborations of $409.0 million. We do not have any products approved for sale, and we have not generated any revenue from product sales. As of November 30, 2023, we had $295.3 million in cash, cash equivalents and marketable securities.</w:t>
      </w:r>
    </w:p>
    <w:p>
      <w:pPr>
        <w:spacing w:after="0" w:line="6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are sufficient to meet our cash requirements and continue operating activities, including the clinical trials of our drug candidates NX-5948,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71"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54" w:lineRule="exact"/>
        <w:rPr>
          <w:sz w:val="20"/>
          <w:szCs w:val="20"/>
          <w:color w:val="auto"/>
        </w:rPr>
      </w:pPr>
    </w:p>
    <w:p>
      <w:pPr>
        <w:ind w:left="980" w:right="180" w:hanging="324"/>
        <w:spacing w:after="0" w:line="282" w:lineRule="auto"/>
        <w:tabs>
          <w:tab w:leader="none" w:pos="9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clinical trials for our lead drug candidates NX-5948, NX-2127 and NX-1607, and any future clinical development of such drug candidates;</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6" w:name="page117"/>
    <w:bookmarkEnd w:id="116"/>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Sanofi, Pfizer and any other collaborations we may establish;</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40"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considered whether there are conditions or events that raise substantial doubt about our ability to continue as a going concern and evaluated the funds necessary to maintain operations. If we are unable to obtain additional funding, we will be required to implement plans that are within our control, which may include the delay or scaling back of certain research and development programs, to maintain liquidity and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9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contractual obligations mostly consist of our operating lease obligations for our facilities in San Francisco, California and The Woodlands, Texas. Our total operating lease commitments as of November 30, 2023, were approximately $42.4 million, of which $7.6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69" w:lineRule="exact"/>
        <w:rPr>
          <w:sz w:val="20"/>
          <w:szCs w:val="20"/>
          <w:color w:val="auto"/>
        </w:rPr>
      </w:pPr>
    </w:p>
    <w:p>
      <w:pPr>
        <w:ind w:right="260" w:firstLine="648"/>
        <w:spacing w:after="0" w:line="280"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for the years ended November 30, 2023 and 2022 are summarized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117,192</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$81.4 million for the year ended November 30, 2023, and consisted of our net loss of $143.9 million,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non-cash adjustments of $42.5 million and a decrease in net assets of $20.1 million. Non-cash adjustments primarily consisted of stock-based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expenses of $33.7 million, depreciation and amortization expenses of $7.5 million and amortization of operating lease ROU assets of</w:t>
      </w:r>
    </w:p>
    <w:p>
      <w:pPr>
        <w:spacing w:after="0" w:line="234" w:lineRule="auto"/>
        <w:rPr>
          <w:sz w:val="20"/>
          <w:szCs w:val="20"/>
          <w:color w:val="auto"/>
        </w:rPr>
      </w:pPr>
      <w:r>
        <w:rPr>
          <w:rFonts w:ascii="Times New Roman" w:cs="Times New Roman" w:eastAsia="Times New Roman" w:hAnsi="Times New Roman"/>
          <w:sz w:val="18"/>
          <w:szCs w:val="18"/>
          <w:color w:val="auto"/>
        </w:rPr>
        <w:t>$6.1 million, offset by net accretion of discount on marketable securities of $5.4 million. The decrease in net assets consisted of an increase in deferred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of $19.5 million mainly from the upfront payment received pursuant to the Pfizer Agreement, an increase in accrued expenses and other liabilities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$3.1 million primarily related to the accrual of annual incentive compensation, a decrease in prepaid expenses and other assets of $2.1 million primarily</w:t>
      </w:r>
    </w:p>
    <w:p>
      <w:pPr>
        <w:spacing w:after="0" w:line="234" w:lineRule="auto"/>
        <w:rPr>
          <w:sz w:val="20"/>
          <w:szCs w:val="20"/>
          <w:color w:val="auto"/>
        </w:rPr>
      </w:pPr>
      <w:r>
        <w:rPr>
          <w:rFonts w:ascii="Times New Roman" w:cs="Times New Roman" w:eastAsia="Times New Roman" w:hAnsi="Times New Roman"/>
          <w:sz w:val="18"/>
          <w:szCs w:val="18"/>
          <w:color w:val="auto"/>
        </w:rPr>
        <w:t>due to the recognition of expenses for prepaid services and an increase in accounts payable of $1.6 million from outstanding payments to vendors, offset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decrease in operating lease liabilities of $6.3 million due to payments made on operating leases.</w:t>
      </w:r>
    </w:p>
    <w:p>
      <w:pPr>
        <w:spacing w:after="0" w:line="9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Net cash used in operating activities was $159.8 million for the year ended November 30, 2022, and consisted of our net loss of $180.4 million and an increase in net assets of $19.0 million, offset by non-cash adjustments of $39.6 million. The increase in net assets consisted primarily of a decrease in deferred revenue of $26.6 million as we increased effort in our programs and recognized revenue, a decrease in operating lease liabilities of $4.9 million due to payments made on operating leases and an increase in prepaid expenses and other assets of $1.1 million primarily related to increased prepaid clinical and contract manufacturing costs and software license costs, offset by an increase in accrued expenses and other liabilities of $7.5 million primarily related to the accrual of contract research, laboratory supplies and annual incentive compensation and a decrease in accounts receivable of $6.0 million related to payments received under the Gilead Agreement. Non-cash adjustments primarily consisted of stock-based compensation expenses of $28.1 million, amortization of operating lease ROU assets of $5.5 million and depreciation and amortization expenses of $5.3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$68.3 million for the year ended November 30, 2023, and consisted of the maturity of marketable securities of $323.0 million, offset by the purchase of marketable securities of $246.3 million and purchases of property and equipment of $8.4 million.</w:t>
      </w:r>
    </w:p>
    <w:p>
      <w:pPr>
        <w:spacing w:after="0" w:line="4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$27.2 million for the year ended November 30, 2022, and consisted of the maturity of marketable securities of $278.8 million, offset by the purchase of marketable securities of $239.4 million and purchases of property and equipment of $12.2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$3.2 million for the year ended November 30, 2023, and consisted primarily of proceeds from the issuance of common stock under our Employee Stock Purchase Plan.</w:t>
      </w:r>
    </w:p>
    <w:p>
      <w:pPr>
        <w:spacing w:after="0" w:line="54"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was $117.2 million for the year ended November 30, 2022, and consisted primarily of net proceeds from the issuance of pre-funded warrants in the RDOs of $94.8 million and from the issuance of common stock in the June 2022 ATM Offering of $19.4 million.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Segments</w:t>
      </w:r>
    </w:p>
    <w:p>
      <w:pPr>
        <w:spacing w:after="0" w:line="121"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We currently operate in a single business segment. See additional information in our financial statements contained in Part II, Item 8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22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0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w:t>
            </w:r>
          </w:p>
        </w:tc>
        <w:tc>
          <w:tcPr>
            <w:tcW w:w="20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6"/>
          </w:tcPr>
          <w:p>
            <w:pPr>
              <w:spacing w:after="0"/>
              <w:rPr>
                <w:sz w:val="21"/>
                <w:szCs w:val="21"/>
                <w:color w:val="auto"/>
              </w:rPr>
            </w:pPr>
          </w:p>
        </w:tc>
        <w:tc>
          <w:tcPr>
            <w:tcW w:w="50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6"/>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20" w:type="dxa"/>
            <w:vAlign w:val="bottom"/>
          </w:tcPr>
          <w:p>
            <w:pPr>
              <w:spacing w:after="0"/>
              <w:rPr>
                <w:sz w:val="21"/>
                <w:szCs w:val="21"/>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5660" w:type="dxa"/>
            <w:vAlign w:val="bottom"/>
            <w:gridSpan w:val="2"/>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340" w:type="dxa"/>
            <w:vAlign w:val="bottom"/>
            <w:gridSpan w:val="5"/>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60" w:type="dxa"/>
            <w:vAlign w:val="bottom"/>
            <w:gridSpan w:val="4"/>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952"/>
        </w:trPr>
        <w:tc>
          <w:tcPr>
            <w:tcW w:w="9240" w:type="dxa"/>
            <w:vAlign w:val="bottom"/>
            <w:gridSpan w:val="9"/>
          </w:tcPr>
          <w:p>
            <w:pPr>
              <w:jc w:val="right"/>
              <w:ind w:right="3070"/>
              <w:spacing w:after="0"/>
              <w:rPr>
                <w:sz w:val="20"/>
                <w:szCs w:val="20"/>
                <w:color w:val="auto"/>
              </w:rPr>
            </w:pPr>
            <w:r>
              <w:rPr>
                <w:rFonts w:ascii="Times New Roman" w:cs="Times New Roman" w:eastAsia="Times New Roman" w:hAnsi="Times New Roman"/>
                <w:sz w:val="18"/>
                <w:szCs w:val="18"/>
                <w:color w:val="auto"/>
              </w:rPr>
              <w:t>117</w:t>
            </w:r>
          </w:p>
        </w:tc>
        <w:tc>
          <w:tcPr>
            <w:tcW w:w="20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9" w:name="page120"/>
    <w:bookmarkEnd w:id="119"/>
    <w:p>
      <w:pPr>
        <w:ind w:left="28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Nurix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Nurix Therapeutics, Inc. and its subsidiaries (the “Company”) as of November 30, 2023 and 2022,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November 30, 2023 and 2022,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will need substantial additional funding to support its continuing operations and pursue its long-term business plan. Management’s plans in regard to this matter are described in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Estimated Costs of Internal Full-Time Employees (FTEs) - Sanofi</w:t>
      </w:r>
    </w:p>
    <w:p>
      <w:pPr>
        <w:spacing w:after="0" w:line="119"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Company’s consolidated revenue was $76.9 million for the year ended November 30, 2023 of which there was revenue of $25.4 million generated from the Company’s collaboration agreement with Sanofi. During the contract term, management uses a cost-based input method, which the Company determined most faithfully depicts the transfer of its performance obligation to Sanofi, to recognize revenue based on the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20" w:name="page121"/>
    <w:bookmarkEnd w:id="120"/>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estimated costs of internal FTEs is a critical audit matter are (i) the high degree of auditor judgment and subjectivity in performing procedures relating to the estimated costs of internal FTEs due to the significant judgment by management when determining the estimate and (ii) the significant audit effort in evaluating the significant assumption related to the number of estimated FTEs.</w:t>
      </w:r>
    </w:p>
    <w:p>
      <w:pPr>
        <w:spacing w:after="0" w:line="69"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evaluating and testing management’s process for determining the estimated costs of internal FTEs, which included evaluating the reasonableness of the significant assumption related to the number of estimated FTEs, by (i) performing a comparison of management’s estimated costs of internal FTEs to the actual internal FTE costs driven by the number of estimated FTEs; (ii) testing the completeness and accuracy of the data used by management in the estimate; (iii) evaluating management’s timely identification of changes in estimated costs of internal FTEs driven by the number of estimated FTEs; and (iv) evaluating whether the estimate and assumption were consistent with evidence obtained in other areas of the audit.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64,474</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233,281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244,667</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r>
      <w:tr>
        <w:trPr>
          <w:trHeight w:val="237"/>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295,503</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318,449</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63,879</w:t>
            </w: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w:t>
            </w: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64"/>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355,598</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416,759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Arial" w:cs="Arial" w:eastAsia="Arial" w:hAnsi="Arial"/>
                <w:sz w:val="18"/>
                <w:szCs w:val="18"/>
                <w:color w:val="auto"/>
                <w:highlight w:val="black"/>
              </w:rPr>
              <w:t>ʼ</w:t>
            </w:r>
            <w:r>
              <w:rPr>
                <w:rFonts w:ascii="Times New Roman" w:cs="Times New Roman" w:eastAsia="Times New Roman" w:hAnsi="Times New Roman"/>
                <w:sz w:val="18"/>
                <w:szCs w:val="18"/>
                <w:b w:val="1"/>
                <w:bCs w:val="1"/>
                <w:color w:val="auto"/>
              </w:rPr>
              <w:t xml:space="preserve"> equity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37,633</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70,655</w:t>
            </w: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w:t>
            </w:r>
          </w:p>
        </w:tc>
      </w:tr>
      <w:tr>
        <w:trPr>
          <w:trHeight w:val="237"/>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155,105</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113,063</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as of November 30, 2023 and 2022; no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shares issued and outstanding as of November 30, 2023 and 2022</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as of November 30, 2023 and 2022;</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48,718,552 and 47,172,299 shares issued and outstanding as of November 30, 2023 and 2022,</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709,220</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(545,200)</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(401,252)</w:t>
            </w:r>
          </w:p>
        </w:tc>
      </w:tr>
      <w:tr>
        <w:trPr>
          <w:trHeight w:val="236"/>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200,493</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303,696</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355,598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27" w:right="399"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38,627</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w:t>
            </w: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184,497</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w:t>
            </w:r>
          </w:p>
        </w:tc>
      </w:tr>
      <w:tr>
        <w:trPr>
          <w:trHeight w:val="237"/>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222,494</w:t>
            </w: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(183,867)</w:t>
            </w:r>
          </w:p>
        </w:tc>
      </w:tr>
      <w:tr>
        <w:trPr>
          <w:trHeight w:val="24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54,337,901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48,607,990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27" w:right="39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r>
      <w:tr>
        <w:trPr>
          <w:trHeight w:val="24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6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(184,071)</w:t>
            </w: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27" w:right="399" w:bottom="1440" w:gutter="0" w:footer="0" w:header="0"/>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ectPr>
          <w:pgSz w:w="11900" w:h="16838" w:orient="portrait"/>
          <w:cols w:equalWidth="0" w:num="1">
            <w:col w:w="11180"/>
          </w:cols>
          <w:pgMar w:left="360" w:top="927" w:right="359" w:bottom="1440" w:gutter="0" w:footer="0" w:header="0"/>
        </w:sect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6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November 30, 2021</w:t>
            </w: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44,664,371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pre-funded warrants, net of</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issuance costs of $234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in "at the market"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financing, net of issuance costs of $672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available-for-sale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marketable securities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November 30, 2022</w:t>
            </w: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47,172,299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marketable securities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6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November 30, 2023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48,718,552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-3007995</wp:posOffset>
            </wp:positionV>
            <wp:extent cx="7115175"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-2605405</wp:posOffset>
            </wp:positionV>
            <wp:extent cx="711517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-2313940</wp:posOffset>
            </wp:positionV>
            <wp:extent cx="711517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-2022475</wp:posOffset>
            </wp:positionV>
            <wp:extent cx="7115175"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-1319530</wp:posOffset>
            </wp:positionV>
            <wp:extent cx="711517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-1028065</wp:posOffset>
            </wp:positionV>
            <wp:extent cx="711517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-736600</wp:posOffset>
            </wp:positionV>
            <wp:extent cx="711517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-333375</wp:posOffset>
            </wp:positionV>
            <wp:extent cx="711517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-1619250</wp:posOffset>
            </wp:positionV>
            <wp:extent cx="711517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-3419475</wp:posOffset>
            </wp:positionV>
            <wp:extent cx="711517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563,757</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(220,892)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342,302</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94,759</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19,326</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19,328</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1,078</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1,955</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28,200</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28,200</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(180,360)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(180,360)</w:t>
            </w:r>
          </w:p>
        </w:tc>
        <w:tc>
          <w:tcPr>
            <w:tcW w:w="0" w:type="dxa"/>
            <w:vAlign w:val="bottom"/>
          </w:tcPr>
          <w:p>
            <w:pPr>
              <w:spacing w:after="0"/>
              <w:rPr>
                <w:sz w:val="1"/>
                <w:szCs w:val="1"/>
                <w:color w:val="auto"/>
              </w:rPr>
            </w:pPr>
          </w:p>
        </w:tc>
      </w:tr>
      <w:tr>
        <w:trPr>
          <w:trHeight w:val="37"/>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709,220</w:t>
            </w: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(401,252)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303,696</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2,229</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33,747</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33,747</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(143,948)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(143,948)</w:t>
            </w:r>
          </w:p>
        </w:tc>
        <w:tc>
          <w:tcPr>
            <w:tcW w:w="0" w:type="dxa"/>
            <w:vAlign w:val="bottom"/>
          </w:tcPr>
          <w:p>
            <w:pPr>
              <w:spacing w:after="0"/>
              <w:rPr>
                <w:sz w:val="1"/>
                <w:szCs w:val="1"/>
                <w:color w:val="auto"/>
              </w:rPr>
            </w:pPr>
          </w:p>
        </w:tc>
      </w:tr>
      <w:tr>
        <w:trPr>
          <w:trHeight w:val="37"/>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746,299</w:t>
            </w: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(545,200)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200,493</w:t>
            </w:r>
          </w:p>
        </w:tc>
        <w:tc>
          <w:tcPr>
            <w:tcW w:w="0" w:type="dxa"/>
            <w:vAlign w:val="bottom"/>
          </w:tcPr>
          <w:p>
            <w:pPr>
              <w:spacing w:after="0"/>
              <w:rPr>
                <w:sz w:val="1"/>
                <w:szCs w:val="1"/>
                <w:color w:val="auto"/>
              </w:rPr>
            </w:pPr>
          </w:p>
        </w:tc>
      </w:tr>
      <w:tr>
        <w:trPr>
          <w:trHeight w:val="37"/>
        </w:trPr>
        <w:tc>
          <w:tcPr>
            <w:tcW w:w="1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-33655</wp:posOffset>
            </wp:positionV>
            <wp:extent cx="8229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-7620</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-187960</wp:posOffset>
            </wp:positionV>
            <wp:extent cx="8229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780" w:space="240"/>
            <w:col w:w="5160"/>
          </w:cols>
          <w:pgMar w:left="360" w:top="927" w:right="35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type w:val="continuous"/>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40" w:type="dxa"/>
            <w:vAlign w:val="bottom"/>
          </w:tcPr>
          <w:p>
            <w:pPr>
              <w:spacing w:after="0"/>
              <w:rPr>
                <w:sz w:val="14"/>
                <w:szCs w:val="14"/>
                <w:color w:val="auto"/>
              </w:rPr>
            </w:pPr>
          </w:p>
        </w:tc>
        <w:tc>
          <w:tcPr>
            <w:tcW w:w="2460" w:type="dxa"/>
            <w:vAlign w:val="bottom"/>
            <w:gridSpan w:val="4"/>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Year Ended November 30,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(143,948)</w:t>
            </w:r>
          </w:p>
        </w:tc>
        <w:tc>
          <w:tcPr>
            <w:tcW w:w="100" w:type="dxa"/>
            <w:vAlign w:val="bottom"/>
          </w:tcPr>
          <w:p>
            <w:pPr>
              <w:spacing w:after="0"/>
              <w:rPr>
                <w:sz w:val="16"/>
                <w:szCs w:val="16"/>
                <w:color w:val="auto"/>
              </w:rPr>
            </w:pP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(180,360)</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33,673</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28,131</w:t>
            </w:r>
          </w:p>
        </w:tc>
        <w:tc>
          <w:tcPr>
            <w:tcW w:w="0" w:type="dxa"/>
            <w:vAlign w:val="bottom"/>
          </w:tcPr>
          <w:p>
            <w:pPr>
              <w:spacing w:after="0"/>
              <w:rPr>
                <w:sz w:val="1"/>
                <w:szCs w:val="1"/>
                <w:color w:val="auto"/>
              </w:rPr>
            </w:pP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amortization (accretion) of premium (discount) on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(26,627)</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0" w:type="dxa"/>
            <w:vAlign w:val="bottom"/>
          </w:tcPr>
          <w:p>
            <w:pPr>
              <w:spacing w:after="0"/>
              <w:rPr>
                <w:sz w:val="1"/>
                <w:szCs w:val="1"/>
                <w:color w:val="auto"/>
              </w:rPr>
            </w:pP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(81,365)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(159,807)</w:t>
            </w:r>
          </w:p>
        </w:tc>
        <w:tc>
          <w:tcPr>
            <w:tcW w:w="0" w:type="dxa"/>
            <w:vAlign w:val="bottom"/>
          </w:tcPr>
          <w:p>
            <w:pPr>
              <w:spacing w:after="0"/>
              <w:rPr>
                <w:sz w:val="1"/>
                <w:szCs w:val="1"/>
                <w:color w:val="auto"/>
              </w:rPr>
            </w:pPr>
          </w:p>
        </w:tc>
      </w:tr>
      <w:tr>
        <w:trPr>
          <w:trHeight w:val="173"/>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(246,334)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(239,366)</w:t>
            </w:r>
          </w:p>
        </w:tc>
        <w:tc>
          <w:tcPr>
            <w:tcW w:w="0" w:type="dxa"/>
            <w:vAlign w:val="bottom"/>
          </w:tcPr>
          <w:p>
            <w:pPr>
              <w:spacing w:after="0"/>
              <w:rPr>
                <w:sz w:val="1"/>
                <w:szCs w:val="1"/>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323,036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278,808</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(12,244)</w:t>
            </w:r>
          </w:p>
        </w:tc>
        <w:tc>
          <w:tcPr>
            <w:tcW w:w="0" w:type="dxa"/>
            <w:vAlign w:val="bottom"/>
          </w:tcPr>
          <w:p>
            <w:pPr>
              <w:spacing w:after="0"/>
              <w:rPr>
                <w:sz w:val="1"/>
                <w:szCs w:val="1"/>
                <w:color w:val="auto"/>
              </w:rPr>
            </w:pPr>
          </w:p>
        </w:tc>
      </w:tr>
      <w:tr>
        <w:trPr>
          <w:trHeight w:val="186"/>
        </w:trPr>
        <w:tc>
          <w:tcPr>
            <w:tcW w:w="8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68,301</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issuances of pre-funded warrants, net of issuance costs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issuances of common stock in equity financing, net of issuance costs</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0" w:type="dxa"/>
            <w:vAlign w:val="bottom"/>
          </w:tcPr>
          <w:p>
            <w:pPr>
              <w:spacing w:after="0"/>
              <w:rPr>
                <w:sz w:val="1"/>
                <w:szCs w:val="1"/>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stock options and pre-funded warrants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under employee stock purchase plan</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186"/>
        </w:trPr>
        <w:tc>
          <w:tcPr>
            <w:tcW w:w="8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117,192</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0" w:type="dxa"/>
            <w:vAlign w:val="bottom"/>
          </w:tcPr>
          <w:p>
            <w:pPr>
              <w:spacing w:after="0"/>
              <w:rPr>
                <w:sz w:val="1"/>
                <w:szCs w:val="1"/>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65,375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80,792</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0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 to property and equipment included in accounts payable and accrued expenses and other liabilities</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recognized in exchange for lease obligations</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issuance costs recognized related to equity financing</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8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As of November 30,</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8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54,627</w:t>
            </w:r>
          </w:p>
        </w:tc>
        <w:tc>
          <w:tcPr>
            <w:tcW w:w="100" w:type="dxa"/>
            <w:vAlign w:val="bottom"/>
          </w:tcPr>
          <w:p>
            <w:pPr>
              <w:spacing w:after="0"/>
              <w:rPr>
                <w:sz w:val="16"/>
                <w:szCs w:val="16"/>
                <w:color w:val="auto"/>
              </w:rPr>
            </w:pP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64,474</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218"/>
        </w:trPr>
        <w:tc>
          <w:tcPr>
            <w:tcW w:w="8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55,528</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65,375</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00"/>
          </w:cols>
          <w:pgMar w:left="400" w:top="92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27" w:right="399" w:bottom="1440" w:gutter="0" w:footer="0" w:header="0"/>
          <w:type w:val="continuous"/>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which was amended in February 2023. This shelf registration statement, which includes a base prospectus, allows the Company at any time to offer and sell up to $450.0 million of the Company’s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72"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$10.0001 per share of common stock for net proceeds of $19.3 million, after deducting offering commissions and expenses paid by the Company. As of November 30, 2023, the Company had $130.0 million of common stock remaining available for sale under the Equity Distribution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80" w:lineRule="exact"/>
        <w:rPr>
          <w:sz w:val="20"/>
          <w:szCs w:val="20"/>
          <w:color w:val="auto"/>
        </w:rPr>
      </w:pPr>
    </w:p>
    <w:p>
      <w:pPr>
        <w:ind w:right="220" w:firstLine="648"/>
        <w:spacing w:after="0" w:line="224" w:lineRule="exact"/>
        <w:rPr>
          <w:sz w:val="20"/>
          <w:szCs w:val="20"/>
          <w:color w:val="auto"/>
        </w:rPr>
      </w:pPr>
      <w:r>
        <w:rPr>
          <w:rFonts w:ascii="Times New Roman" w:cs="Times New Roman" w:eastAsia="Times New Roman" w:hAnsi="Times New Roman"/>
          <w:sz w:val="18"/>
          <w:szCs w:val="18"/>
          <w:color w:val="auto"/>
        </w:rPr>
        <w:t>In July 2022, the Company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the Company’s common stock in registered direct offerings (RDOs) at a price of $13.939 per pre-funded warrant. Net proceeds from the RDOs were $94.8 million, after deducting offering expenses of $0.2 million. Refer to Note 7 for more information regarding the pre-funded warrants issued in the RDOs.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As of November 30, 2023, the Company had cash, cash equivalents and short-term marketable securities of $287.9 million, working capital of $208.5 million and an accumulated deficit of $545.2 million. 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7" w:name="page128"/>
    <w:bookmarkEnd w:id="127"/>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Management believes that its cash, cash equivalents and short-term marketable securities are sufficient to continue operating activities for at least 12 months following the issuance date of these consolidated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If the Company is unable to obtain additional funding, management will be required to implement plans that are within the Company’s control, which may include the delay or scaling back of certain research and development programs, to maintain liquidity and operations. Based on the Company’s current forecast of future operating results and management’s plans to improve liquidity, the Company has concluded that its cash, cash equivalents and short-term marketable securities are sufficient to continue operating activities for at least 12 months following the issuance date of these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generally accepted accounting principles (U.S. GAAP) and include the accounts of the Company and its wholly owned subsidiaries, including DeCART Therapeutics Inc., which was legally dissolved in July 2022. All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marketable</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8" w:name="page129"/>
    <w:bookmarkEnd w:id="128"/>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Moreover, the Company is subject to risks and uncertainties as a result of global business, political and macroeconomic events and conditions, including increasing financial market volatility and uncertainty, inflation, increasing interest rates,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7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increasing financial market volatility and uncertainty may directly or indirectly impact the Company’s financial statements is highly uncertain and subject to change.</w:t>
      </w:r>
    </w:p>
    <w:p>
      <w:pPr>
        <w:spacing w:after="0" w:line="6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who reviews consolidated financial information on a company-wide basis for purposes of allocating resources and assessing financial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considers all highly liquid marketable securities with a maturity of three months or less when purchased to be cash equivalents.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which consist of money market funds, are stated at fair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had $0.9 million of restricted cash recorded as a non-current asset as of each of November 30, 2023 and 2022. Restricted cash as of each of November 30, 2023 and 2022 consisted of $0.1 million that serves as collateral for a business credit card account and $0.8 million for letters of credit required under operating leases. These balances are included within the cash, cash equivalents and restricted cash balance in the accompanying consolidated statements of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equivalents, accounts payable and accrued liabilities included in the Company’s consolidated financial statements approximate their fair value due to the nature of the financial instruments. Refer to Note 5 for more information regarding the fair value of the Company’s marketable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Marketable securities consist of money market funds, U.S. Treasuries, corporate debt securities, U.S. government agency securities, corporate commercial paper and foreign government securities. The Company’s marketable securities are classified as available-for-sale and carried at estimated fair values and reported in cash equivalents, short-term marketable securities or long-term marketable securities. Management determines the appropriate classification of the marketable securities at the time they are acquired and evaluates the appropriateness of such classifications at each consolidated balance sheet date. Marketable securities with contractual maturities greater than 12 months are considered long-term marketable securities.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29" w:name="page130"/>
    <w:bookmarkEnd w:id="129"/>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The Company regularly reviews its marketable securities for declines in estimated fair value below amortized cost. The factors considered in determining whether a credit loss exists include the creditworthiness of the security issuers, the number of marketable securities in an unrealized loss position, the severity and duration of the unrealized losses, and whether it is more likely than not that the Company will be required to sell the marketable securities before the recovery of their amortized cost basis. The cost of marketable securities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as interest and other income, net in the consolidated statements of operations, and an allowance for credit loss is recorded on the consolidated balance sheet. In circumstances when the decline in fair value is non-credit related, the difference is reported in accumulated other comprehensive income (loss), net of tax as a separate component of stockholders’ equity.</w:t>
      </w:r>
    </w:p>
    <w:p>
      <w:pPr>
        <w:spacing w:after="0" w:line="77" w:lineRule="exact"/>
        <w:rPr>
          <w:sz w:val="20"/>
          <w:szCs w:val="20"/>
          <w:color w:val="auto"/>
        </w:rPr>
      </w:pPr>
    </w:p>
    <w:p>
      <w:pPr>
        <w:jc w:val="both"/>
        <w:ind w:right="660" w:firstLine="648"/>
        <w:spacing w:after="0" w:line="258" w:lineRule="auto"/>
        <w:rPr>
          <w:sz w:val="20"/>
          <w:szCs w:val="20"/>
          <w:color w:val="auto"/>
        </w:rPr>
      </w:pPr>
      <w:r>
        <w:rPr>
          <w:rFonts w:ascii="Times New Roman" w:cs="Times New Roman" w:eastAsia="Times New Roman" w:hAnsi="Times New Roman"/>
          <w:sz w:val="18"/>
          <w:szCs w:val="18"/>
          <w:color w:val="auto"/>
        </w:rPr>
        <w:t>The Company excludes accrued interest from both the fair value and the amortized cost basis of marketable securities for the purposes of identifying and measuring an impairment. The Company writes off accrued interest receivables that have become more than 90 days delinquent by reversing interest income. To date, the Company has not written off any accrued interest receivables associated with its marketable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Major improvements are capitalized, while maintenance and repairs are expensed when incurred. Depreciation is computed using the straight-line method over the estimated useful lives of the assets. The useful life of laboratory equipment, computer equipment, furniture and fixtures and software is generally three years. Tenant improvements are depreciated over the shorter of the lease term or the estimated useful life of the improvements. When assets are retired or disposed of, the cost together with related accumulated depreciation is removed from the Company’s accounts and the resulting gain or loss is reflected in the Company’s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the lease at inception. An arrangement contains a lease if there is an identified asset and if the Company controls the use of the identified asset throughout the period of use.The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available,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judgements, including on its synthetic credit rating. Leases may include options to extend or early terminate the lease term. If the Company, using judgement,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12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Company capitalizes qualifying costs incurred during the application development stage related to software developed for internal-use and amortizes them over the estimated useful life of three years. Amortization of such costs begins when the project is substantially complete and ready for its intended use. Capitalized software development costs are classified as property and equipment, net on the consolidated balance sheet. The Company expenses costs incurred related to the planning and post-implementation phases of development as incurred.</w:t>
      </w:r>
    </w:p>
    <w:p>
      <w:pPr>
        <w:spacing w:after="0" w:line="200" w:lineRule="exact"/>
        <w:rPr>
          <w:sz w:val="20"/>
          <w:szCs w:val="20"/>
          <w:color w:val="auto"/>
        </w:rPr>
      </w:pPr>
    </w:p>
    <w:p>
      <w:pPr>
        <w:spacing w:after="0" w:line="3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November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320" w:firstLine="648"/>
        <w:spacing w:after="0" w:line="246" w:lineRule="auto"/>
        <w:rPr>
          <w:sz w:val="20"/>
          <w:szCs w:val="20"/>
          <w:color w:val="auto"/>
        </w:rPr>
      </w:pPr>
      <w:r>
        <w:rPr>
          <w:rFonts w:ascii="Times New Roman" w:cs="Times New Roman" w:eastAsia="Times New Roman" w:hAnsi="Times New Roman"/>
          <w:sz w:val="18"/>
          <w:szCs w:val="18"/>
          <w:color w:val="auto"/>
        </w:rPr>
        <w:t>The Company capitalizes within other assets certain legal, accounting and other third-party fees that are directly related to the Company’s in-process equity financings until such financings are consummated. After consummation of an equity financing, these costs are recorded in stockholder’s equity as a reduction of additional paid-in capital generated as a result of the offering. Should a planned equity financing be abandoned, terminated or significantly delayed, the deferred offering costs are immediately written off to operating expenses. As of both November 30, 2023 and 2022, there was $0.5 million of deferred offering costs included in other assets on the consolidated balance sheet.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82"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04" w:lineRule="exact"/>
        <w:rPr>
          <w:sz w:val="20"/>
          <w:szCs w:val="20"/>
          <w:color w:val="auto"/>
        </w:rPr>
      </w:pPr>
    </w:p>
    <w:p>
      <w:pPr>
        <w:jc w:val="both"/>
        <w:ind w:right="520" w:firstLine="648"/>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6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Exclusive license rights</w:t>
      </w:r>
      <w:r>
        <w:rPr>
          <w:rFonts w:ascii="Times New Roman" w:cs="Times New Roman" w:eastAsia="Times New Roman" w:hAnsi="Times New Roman"/>
          <w:sz w:val="18"/>
          <w:szCs w:val="18"/>
          <w:color w:val="auto"/>
        </w:rPr>
        <w:t>: If a license to the Company’s intellectual property is determined to be distinct from the other promises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72"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Research and collaboration licenses</w:t>
      </w:r>
      <w:r>
        <w:rPr>
          <w:rFonts w:ascii="Times New Roman" w:cs="Times New Roman" w:eastAsia="Times New Roman" w:hAnsi="Times New Roman"/>
          <w:sz w:val="18"/>
          <w:szCs w:val="18"/>
          <w:color w:val="auto"/>
        </w:rPr>
        <w:t>: Collaboration agreements may include research licenses and research and development services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200" w:lineRule="exact"/>
        <w:rPr>
          <w:sz w:val="20"/>
          <w:szCs w:val="20"/>
          <w:color w:val="auto"/>
        </w:rPr>
      </w:pPr>
    </w:p>
    <w:p>
      <w:pPr>
        <w:spacing w:after="0" w:line="3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1" w:name="page132"/>
    <w:bookmarkEnd w:id="131"/>
    <w:p>
      <w:pPr>
        <w:ind w:right="12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2"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Sales-based milestones and royalties</w:t>
      </w:r>
      <w:r>
        <w:rPr>
          <w:rFonts w:ascii="Times New Roman" w:cs="Times New Roman" w:eastAsia="Times New Roman" w:hAnsi="Times New Roman"/>
          <w:sz w:val="18"/>
          <w:szCs w:val="18"/>
          <w:color w:val="auto"/>
        </w:rPr>
        <w:t>: For arrangements that include sales-based milestone or royalty payments based on the level of sales,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6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Customer options</w:t>
      </w:r>
      <w:r>
        <w:rPr>
          <w:rFonts w:ascii="Times New Roman" w:cs="Times New Roman" w:eastAsia="Times New Roman" w:hAnsi="Times New Roman"/>
          <w:sz w:val="18"/>
          <w:szCs w:val="18"/>
          <w:color w:val="auto"/>
        </w:rPr>
        <w:t>: Customer options, such as options granted to allow a licensee to extend a license or research term, to select additional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79"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revenue was derived from customers located in the United States during the years ended November 30, 2023 and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but are not limited to, payroll and personnel expenses, laboratory supplies, preclinical study costs, clinical trial costs, compound manufacturing costs, consulting costs and allocated overhead, including rent, equipment, depreciation and utilities.</w:t>
      </w:r>
    </w:p>
    <w:p>
      <w:pPr>
        <w:spacing w:after="0" w:line="6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consolidated balance sheet.</w:t>
      </w:r>
    </w:p>
    <w:p>
      <w:pPr>
        <w:spacing w:after="0" w:line="69"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Company accounts for stock-based compensation using a fair value-based method, which requires the recognition of compensation expense for costs related to all stock-based payments including stock options, restricted stock units (RSUs) and purchase rights under the Company’s 2020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highly complex and subjective variables. The model requires management to make a number of assumptions including expected volatility, expected term, risk-free interest rate and expected dividend yield. The Company determines the fair value of stock options, RSUs and purchase rights under the ESPP using the market closing price of the Company’s common stock on the date of grant.</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For stock-based payments with service conditions only, the Company uses the straight-line method to allocate compensation cost to reporting periods over the requisite service period, which is generally the vesting period. 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the Company evaluates the probability of achieving performance conditions at each reporting date. The Company begins to recognize compensation cost using an accelerated attribution method when it is deemed probable that the performance condition will be met. The Company accounts for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w:t>
      </w:r>
    </w:p>
    <w:p>
      <w:pPr>
        <w:spacing w:after="0" w:line="8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Financial statement effects of uncertain tax positions are recognized when it is more likely than not, based on the technical merits of the position, that it will be sustained upon examination. It is the Company’s policy to include penalties and interest expense related to income taxes as a component of the provision for income taxes. Non-income-based taxes are expensed as incurred within operating expenses on the Company’s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7"/>
          <w:szCs w:val="17"/>
          <w:color w:val="auto"/>
        </w:rPr>
        <w:t>Comprehensive loss represents the net loss for the period and other comprehensive income (loss). Other comprehensive income (loss) reflects certain gains and losses that are recorded as a component of stockholders’ equity (deficit) and are not reflected in the consolidated statements of operations. The Company’s other comprehensive income (loss) consists of changes in unrealized gains and losses on available-for-sale marketable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(including non-voting common stock and pre-funded warrants) outstanding during the period, without consideration for all other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is calculated by dividing the net loss by the weighted-average number of common stock and potentially dilutive securities outstanding for the period. For purposes of the diluted net loss per share calculation, options to purchase common stock, options early exercised subject to vesting, RSUs and shares expected to be purchased under the ESPP are considered to be potentially dilutive securities. Diluted net loss per share is the same as basic net loss per share, since the effects of potentially dilutive securities are antidilutive given the net loss for each period presented.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80" w:lineRule="exact"/>
        <w:rPr>
          <w:sz w:val="20"/>
          <w:szCs w:val="20"/>
          <w:color w:val="auto"/>
        </w:rPr>
      </w:pPr>
    </w:p>
    <w:p>
      <w:pPr>
        <w:ind w:right="160" w:firstLine="648"/>
        <w:spacing w:after="0" w:line="220" w:lineRule="exact"/>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Segment Reporting (Topic 280)—Improvements to Reportable Segment Disclosures (ASU 2023-07), which is intended to improve reportable segment disclosure requirements, primarily through enhanced disclosures about significant segment expenses. ASU 2023-07 should be applied on a retrospective basis. ASU 2023-07 is effective for annual periods beginning after December 15, 2023, and interim periods within fiscal years beginning after December 15, 2024. Early adoption is permitted. The Company is in the process of evaluating the impact of this new guidance on its disclosures.</w:t>
      </w:r>
    </w:p>
    <w:p>
      <w:pPr>
        <w:spacing w:after="0" w:line="200" w:lineRule="exact"/>
        <w:rPr>
          <w:sz w:val="20"/>
          <w:szCs w:val="20"/>
          <w:color w:val="auto"/>
        </w:rPr>
      </w:pPr>
    </w:p>
    <w:p>
      <w:pPr>
        <w:spacing w:after="0" w:line="37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33" w:name="page134"/>
    <w:bookmarkEnd w:id="133"/>
    <w:p>
      <w:pPr>
        <w:jc w:val="both"/>
        <w:ind w:firstLine="648"/>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w:t>
      </w:r>
    </w:p>
    <w:p>
      <w:pPr>
        <w:spacing w:after="0" w:line="1"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2023-09 is effective for annual periods beginning after December 15, 2024. Early adoption is permitted. The Company is in the process of evaluating the impact of this new guidance on its disclosures.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entered into the First Amendment and the Second Amendment, respectively, to the Gilead Agreement to clarify certain language of the Gilead Agreement. These amendments had no impact on revenue recognition.</w:t>
      </w:r>
    </w:p>
    <w:p>
      <w:pPr>
        <w:spacing w:after="0" w:line="7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5" w:lineRule="exact"/>
        <w:rPr>
          <w:sz w:val="20"/>
          <w:szCs w:val="20"/>
          <w:color w:val="auto"/>
        </w:rPr>
      </w:pPr>
    </w:p>
    <w:p>
      <w:pPr>
        <w:ind w:right="160" w:firstLine="648"/>
        <w:spacing w:after="0" w:line="243"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92"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November 30, 2023, the Company has received payments of $47.0 million for research milestones and additional payments and $20.0 million for a license option exercise payment. As of November 30, 2023, the Company is eligible to receive up to approximately $2.3 billion in total additional payments based on certain additional fees, payments and the successful completion of certain preclinical, clinical, development and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spacing w:after="0" w:line="9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34" w:name="page135"/>
    <w:bookmarkEnd w:id="134"/>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7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November 30, 2023. The Company re-evaluates the transaction price in each reporting period and as uncertain events are resolved or other changes in circumstances occur. The Company determined that the transaction price at the inception of the Gilead Agreement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five years. The contract term was determined to be the five-year initial research term which represents the estimated timing of completion of the identified deliverables. Additionally, the Company considered the impact of Gilead terminating the Gilead Agreement prior to the completion of the research services during the initial five-year research term and determined that there were significant economic costs to Gilead for doing so, and as such, did not adjust the contract term.</w:t>
      </w:r>
    </w:p>
    <w:p>
      <w:pPr>
        <w:spacing w:after="0" w:line="7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For the year ended November 30, 2023, the Company recognized collaboration revenue related to the Gilead Agreement of $29.9 million, of which $20.3 million was included in deferred revenue as of November 30, 2022, and $7.9 million was related to performance obligations satisfied in previous periods. For the year ended November 30, 2022, the Company recognized collaboration revenue related to the Gilead Agreement of $23.7 million, of which $18.4 million was included in deferred revenue as of November 30, 2021, and $4.0 million was related to performance obligations satisfied in previous periods. As of November 30, 2023, deferred revenue related to the Gilead Agreement was $10.0 million, all of which was current. As of November 30, 2022, deferred revenue related to the Gilead Agreement was $27.4 million, of which $18.2 million was current.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35" w:name="page136"/>
    <w:bookmarkEnd w:id="135"/>
    <w:p>
      <w:pPr>
        <w:ind w:firstLine="648"/>
        <w:spacing w:after="0" w:line="245" w:lineRule="auto"/>
        <w:rPr>
          <w:sz w:val="20"/>
          <w:szCs w:val="20"/>
          <w:color w:val="auto"/>
        </w:rPr>
      </w:pPr>
      <w:r>
        <w:rPr>
          <w:rFonts w:ascii="Times New Roman" w:cs="Times New Roman" w:eastAsia="Times New Roman" w:hAnsi="Times New Roman"/>
          <w:sz w:val="18"/>
          <w:szCs w:val="18"/>
          <w:color w:val="auto"/>
        </w:rPr>
        <w:t>In January 2021, the Company entered into the First Amendment to the Sanofi Agreement to modify the research term on all targets (the First Sanofi Amendment). In December 2021, the Company entered into the Second Amendment to the Sanofi Agreement to extend the substitution deadline on certain targets. In July 2022, the Company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entered into the Fourth Amendment and Fifth Amendment, respectively, to the Sanofi Agreement to modify the research plan for certain targets, which had no impact on revenue recognition.</w:t>
      </w:r>
    </w:p>
    <w:p>
      <w:pPr>
        <w:spacing w:after="0" w:line="7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7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92"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7"/>
          <w:szCs w:val="17"/>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November 30, 2023, the Company has received payments of $7.0 million for research milestones. Additionally, the Company achieved two research milestones in November 2023 and received payments totaling $4.0 million in January 2024 as a result.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2023, the Company is eligible to receive up to approximately $2.5 billion in total additional payments based on certain additional fees, payments and the successful completion of certain research development, regulatory and sales milestones, as well as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93" w:lineRule="exact"/>
        <w:rPr>
          <w:sz w:val="20"/>
          <w:szCs w:val="20"/>
          <w:color w:val="auto"/>
        </w:rPr>
      </w:pPr>
    </w:p>
    <w:p>
      <w:pPr>
        <w:ind w:right="32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73"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36" w:name="page137"/>
    <w:bookmarkEnd w:id="136"/>
    <w:p>
      <w:pPr>
        <w:ind w:firstLine="648"/>
        <w:spacing w:after="0" w:line="244"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November 30, 2023.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$11.0 million in variable consideration was added to the transaction price, which includes $4.0 million added during the three months ended November 30, 2023,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w:t>
      </w:r>
    </w:p>
    <w:p>
      <w:pPr>
        <w:spacing w:after="0" w:line="7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For the year ended November 30, 2023, the Company recognized collaboration revenue related to the Sanofi Agreement of $25.4 million, of which $21.0 million was included in deferred revenue as of November 30, 2022, and $2.6 million was related to performance obligations satisfied in previous periods. For the year ended November 30, 2022, the Company recognized collaboration revenue related to the Sanofi Agreement of $15.0 million, of which $14.0 million was included in deferred revenue as of November 30, 2021, and $0.6 million was related to performance obligations satisfied in previous periods. As of November 30, 2023, deferred revenue related to the Sanofi Agreement was $24.9 million, of which $20.3 million was current and includes $4.0 million in contract assets representing the unbilled amount related to the research milestones recognized in November 2023. As of November 30, 2022, deferred revenue related to the Sanofi Agreement was $46.2 million, of which $19.4 million was current and includes $1.0 million in contract assets representing the unbilled amount related to the research milestone recognized in November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83" w:lineRule="exact"/>
        <w:rPr>
          <w:sz w:val="20"/>
          <w:szCs w:val="20"/>
          <w:color w:val="auto"/>
        </w:rPr>
      </w:pPr>
    </w:p>
    <w:p>
      <w:pPr>
        <w:jc w:val="both"/>
        <w:ind w:right="580"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6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spacing w:after="0" w:line="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Pfizer Agreement, the Company received an upfront payment of $60.0 million. The Company is eligible to receive up to approximately $3.4 billion in contingent payments based on specified research, development, regulatory and commercial milestones across multiple programs, and is eligible for mid-single to low double digit percentage tiered royalties on future sales.</w:t>
      </w:r>
    </w:p>
    <w:p>
      <w:pPr>
        <w:spacing w:after="0" w:line="61"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7" w:name="page138"/>
    <w:bookmarkEnd w:id="137"/>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spacing w:after="0" w:line="7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November 30, 2023.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The Company has not yet achieved any research milestones and no variable consideration has been added to the transaction price. The transaction price is recognized as collaboration revenue using the cost-based input method over the estimated research term of four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spacing w:after="0" w:line="7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November 30, 2023, the Company recognized collaboration revenue related to the Pfizer Agreement of $1.7 million. As of November 30, 2023, deferred revenue related to the Pfizer Agreement was $58.3 million, of which $17.9 million was current.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November 30, 2023 and 2022, depreciation and amortization expense was $7.5 million and $5.3 million, respectively, which includes amortization expense related to capitalized software of $1.4 million and $1.2 million, respectively. All long-lived assets are maintained in the United States.</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6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24,970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22,428</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440" w:firstLine="648"/>
        <w:spacing w:after="0" w:line="246"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04"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61" w:lineRule="exact"/>
        <w:rPr>
          <w:sz w:val="20"/>
          <w:szCs w:val="20"/>
          <w:color w:val="auto"/>
        </w:rPr>
      </w:pPr>
    </w:p>
    <w:p>
      <w:pPr>
        <w:ind w:right="2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available-for-sale marketable securities, that are measured at fair value on a recurring basis as of November 30, 2023 and 2022 (in thousands):</w:t>
      </w: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161,023</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233,281</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non-current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2022</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59,452</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74,202</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79,747</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74,896</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government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54,923</w:t>
            </w: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59,452</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59,452</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244,667</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non-current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63,879</w:t>
            </w:r>
          </w:p>
        </w:tc>
      </w:tr>
    </w:tbl>
    <w:p>
      <w:pPr>
        <w:spacing w:after="0" w:line="21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available-for-sale marketable securities in an unrealized loss position for which an allowance for credit losses has not been recorded as of November 30, 2023 and 2022, aggregated by investment category and length of time in a continuous unrealized loss position (in thousands):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4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960" w:type="dxa"/>
            <w:vAlign w:val="bottom"/>
          </w:tcPr>
          <w:p>
            <w:pPr>
              <w:spacing w:after="0"/>
              <w:rPr>
                <w:sz w:val="16"/>
                <w:szCs w:val="16"/>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58"/>
        </w:trPr>
        <w:tc>
          <w:tcPr>
            <w:tcW w:w="3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gridSpan w:val="2"/>
          </w:tcPr>
          <w:p>
            <w:pPr>
              <w:jc w:val="center"/>
              <w:ind w:left="8"/>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80" w:type="dxa"/>
            <w:vAlign w:val="bottom"/>
          </w:tcPr>
          <w:p>
            <w:pPr>
              <w:spacing w:after="0"/>
              <w:rPr>
                <w:sz w:val="13"/>
                <w:szCs w:val="13"/>
                <w:color w:val="auto"/>
              </w:rPr>
            </w:pPr>
          </w:p>
        </w:tc>
        <w:tc>
          <w:tcPr>
            <w:tcW w:w="1380" w:type="dxa"/>
            <w:vAlign w:val="bottom"/>
            <w:gridSpan w:val="2"/>
          </w:tcPr>
          <w:p>
            <w:pPr>
              <w:jc w:val="center"/>
              <w:ind w:left="8"/>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960" w:type="dxa"/>
            <w:vAlign w:val="bottom"/>
          </w:tcPr>
          <w:p>
            <w:pPr>
              <w:spacing w:after="0"/>
              <w:rPr>
                <w:sz w:val="13"/>
                <w:szCs w:val="13"/>
                <w:color w:val="auto"/>
              </w:rPr>
            </w:pPr>
          </w:p>
        </w:tc>
        <w:tc>
          <w:tcPr>
            <w:tcW w:w="1400" w:type="dxa"/>
            <w:vAlign w:val="bottom"/>
          </w:tcPr>
          <w:p>
            <w:pPr>
              <w:jc w:val="center"/>
              <w:ind w:left="208"/>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Loss</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38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46,694</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52,630</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30, 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9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government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0" w:type="dxa"/>
            <w:vAlign w:val="bottom"/>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accrued interest receivable related to the Company’s marketable securities was $0.8 million and $1.1 million as of November 30, 2023 and 2022, respectively, and was included in prepaid expenses and other current assets on the consolidated balance sheet. Long-term marketable securities held by the Company generally mature within two years from the balance sheet date.</w:t>
      </w:r>
    </w:p>
    <w:p>
      <w:pPr>
        <w:spacing w:after="0" w:line="6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0" w:name="page141"/>
    <w:bookmarkEnd w:id="140"/>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classifies its marketable securities in corporate debt securities, U.S. government agency securities, corporate commercial paper and foreign government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years ended November 30, 2023 and 2022.</w:t>
      </w:r>
    </w:p>
    <w:p>
      <w:pPr>
        <w:spacing w:after="0" w:line="7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2023 and 2022, the unrealized losses for available-for-sale marketable securities were non-credit related, and the Company does not intend to sell the securities that were in an unrealized loss position, nor will it be required to sell those securities before recovery of their amortized cost basis, which may be maturity. As of November 30, 2023 and 2022, no allowance for credit losses for the Company’s marketable securities was recorded. During the years ended November 30, 2023 and 2022, the Company did not recognize any impairment losses related to marketable securities.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November 30, 2023, the Company was not a party to any material 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consolidated financial statements as management believes such liability is immaterial.</w:t>
      </w:r>
    </w:p>
    <w:p>
      <w:pPr>
        <w:spacing w:after="0" w:line="73" w:lineRule="exact"/>
        <w:rPr>
          <w:sz w:val="20"/>
          <w:szCs w:val="20"/>
          <w:color w:val="auto"/>
        </w:rPr>
      </w:pPr>
    </w:p>
    <w:p>
      <w:pPr>
        <w:ind w:right="380" w:firstLine="648"/>
        <w:spacing w:after="0" w:line="247"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Company leases office and laboratory facilities totaling approximately 57,902 square feet within the same building in San Francisco, California under several lease agreements. The terms of these lease agreements expire in April 2025. The Company has an option to renew these leases for an additional two years, and the renewal term has not been included in the lease term used to calculate the right-of-use asset and lease liability as it is not reasonably certain that the Company will exercise the option.</w:t>
      </w:r>
    </w:p>
    <w:p>
      <w:pPr>
        <w:spacing w:after="0" w:line="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in a different building in San Francisco, California. The lease commenced in December 2021 and will expire in June 2024, unless terminated earlier.</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1" w:name="page142"/>
    <w:bookmarkEnd w:id="141"/>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right-of-use asset and lease liability as it is not reasonably certain that the Company will exercise the option. The lease commenced in September 2023 when the underlying assets became available for use and will expire in March 2035.</w:t>
      </w:r>
    </w:p>
    <w:p>
      <w:pPr>
        <w:spacing w:after="0" w:line="8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$6.2 million and $4.4 million for the years ended November 30, 2023 and 2022, respectively. Additionally, for the year ended November 30, 2022, certain leased premises were subject to additional variable lease payments related to landlord-owned improvements which were not estimable at lease inception. The right-of-use asset recognized in exchange for lease obligations for these additional variable lease payments was $1.2 million for the year ended November 30, 2022.</w:t>
      </w:r>
    </w:p>
    <w:p>
      <w:pPr>
        <w:spacing w:after="0" w:line="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Operating lease expenses, excluding variable lease payments, were $6.8 million and $5.9 million for the years ended November 30, 2023 and 2022, respectively. Short-term lease expense was not material for the periods presented. As of November 30, 2023, the weighted average remaining lease term was 9.1 years and the weighted average discount rate was 6.45%.</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flows from operating leases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r>
      <w:tr>
        <w:trPr>
          <w:trHeight w:val="414"/>
        </w:trPr>
        <w:tc>
          <w:tcPr>
            <w:tcW w:w="112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lease agreements as of November 30, 2023 were as follows (in</w:t>
            </w: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1"/>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November 30,</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7"/>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to 2035</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w:t>
            </w:r>
          </w:p>
        </w:tc>
      </w:tr>
      <w:tr>
        <w:trPr>
          <w:trHeight w:val="26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30,614</w:t>
            </w:r>
          </w:p>
        </w:tc>
      </w:tr>
      <w:tr>
        <w:trPr>
          <w:trHeight w:val="20"/>
        </w:trPr>
        <w:tc>
          <w:tcPr>
            <w:tcW w:w="8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November 30, 2023 and 2022. Holders of common stock are entitled to dividends when and if declared by the Company’s board of directors, subject to the prior rights of the holders of shares of preferred stock. The holder of each share of common stock is entitled to one vote. As of November 30, 2023, no dividends have been declared.</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2" w:name="page143"/>
    <w:bookmarkEnd w:id="142"/>
    <w:p>
      <w:pPr>
        <w:ind w:firstLine="648"/>
        <w:spacing w:after="0" w:line="245" w:lineRule="auto"/>
        <w:rPr>
          <w:sz w:val="20"/>
          <w:szCs w:val="20"/>
          <w:color w:val="auto"/>
        </w:rPr>
      </w:pPr>
      <w:r>
        <w:rPr>
          <w:rFonts w:ascii="Times New Roman" w:cs="Times New Roman" w:eastAsia="Times New Roman" w:hAnsi="Times New Roman"/>
          <w:sz w:val="18"/>
          <w:szCs w:val="18"/>
          <w:color w:val="auto"/>
        </w:rPr>
        <w:t>In July 2022, the Company issued pre-funded warrants to purchase an aggregate of 6,814,920 shares of the Company’s common stock in RDOs at a price of $13.939 per pre-funded warrant. The pre-funded warrants were immediately exercisable,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November 30, 2023, there were pre-funded warrants to purchase an aggregate of 6,097,560 shares of the Company’s common stock that remained available for exercise.</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as of November 30, 2023 and 2022,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equity grants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1,614,035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834,291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1,325,523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784,824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6,097,560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6,814,920</w:t>
            </w:r>
          </w:p>
        </w:tc>
      </w:tr>
      <w:tr>
        <w:trPr>
          <w:trHeight w:val="26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18,828,875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18,016,515</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RSUs, performance awards and stock bonus awards to employees, directors, consultants, independent contractors and advisors of the Company.</w:t>
      </w:r>
    </w:p>
    <w:p>
      <w:pPr>
        <w:spacing w:after="0" w:line="6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Under the Stock Plans, the Company generally grants stock-based awards with service-based vesting conditions only. Options granted typically vest under various different vesting terms over a four-year period and expire ten years from the date of grant.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 RSUs issued typically vest under various different vesting terms over a two- to four-year period.</w:t>
      </w:r>
    </w:p>
    <w:p>
      <w:pPr>
        <w:spacing w:after="0" w:line="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Following the effectiveness of the 2020 Plan on July 22, 2020, the Company ceased making grants under the 2012 Plan. However, the 2012 Plan continues to govern the terms and conditions of the outstanding awards granted under it. Shares of common stock subject to awards granted under the 2012 Plan that cease to be subject to such awards by forfeiture or otherwise will be available for issuance under the 2020 Plan.</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30, 2023, there were 1,614,035 shares of common stock reserved for future issuance pursuant to the 2020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Stock Plans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2"/>
        </w:trPr>
        <w:tc>
          <w:tcPr>
            <w:tcW w:w="5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9"/>
        </w:trPr>
        <w:tc>
          <w:tcPr>
            <w:tcW w:w="50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5"/>
                <w:szCs w:val="15"/>
                <w:color w:val="auto"/>
              </w:rPr>
            </w:pPr>
          </w:p>
        </w:tc>
        <w:tc>
          <w:tcPr>
            <w:tcW w:w="1280" w:type="dxa"/>
            <w:vAlign w:val="bottom"/>
          </w:tcPr>
          <w:p>
            <w:pPr>
              <w:jc w:val="center"/>
              <w:ind w:right="119"/>
              <w:spacing w:after="0" w:line="179" w:lineRule="exact"/>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8"/>
                <w:szCs w:val="18"/>
                <w:b w:val="1"/>
                <w:bCs w:val="1"/>
                <w:color w:val="auto"/>
                <w:w w:val="95"/>
                <w:vertAlign w:val="superscript"/>
              </w:rPr>
              <w:t>(1)</w:t>
            </w:r>
          </w:p>
        </w:tc>
      </w:tr>
      <w:tr>
        <w:trPr>
          <w:trHeight w:val="190"/>
        </w:trPr>
        <w:tc>
          <w:tcPr>
            <w:tcW w:w="50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8,256,957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w:t>
            </w: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1,991,212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8,340,968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44"/>
        </w:trPr>
        <w:tc>
          <w:tcPr>
            <w:tcW w:w="5020" w:type="dxa"/>
            <w:vAlign w:val="bottom"/>
          </w:tcPr>
          <w:p>
            <w:pPr>
              <w:ind w:left="20"/>
              <w:spacing w:after="0" w:line="244" w:lineRule="exact"/>
              <w:rPr>
                <w:sz w:val="20"/>
                <w:szCs w:val="20"/>
                <w:color w:val="auto"/>
              </w:rPr>
            </w:pPr>
            <w:r>
              <w:rPr>
                <w:rFonts w:ascii="Times New Roman" w:cs="Times New Roman" w:eastAsia="Times New Roman" w:hAnsi="Times New Roman"/>
                <w:sz w:val="18"/>
                <w:szCs w:val="18"/>
                <w:color w:val="auto"/>
              </w:rPr>
              <w:t>Options vested and expected to vest as of November 30, 2023</w:t>
            </w:r>
            <w:r>
              <w:rPr>
                <w:rFonts w:ascii="Times New Roman" w:cs="Times New Roman" w:eastAsia="Times New Roman" w:hAnsi="Times New Roman"/>
                <w:sz w:val="23"/>
                <w:szCs w:val="23"/>
                <w:color w:val="auto"/>
                <w:vertAlign w:val="superscript"/>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8,345,877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November 30,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4,750,849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311"/>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2" w:lineRule="exact"/>
        <w:rPr>
          <w:sz w:val="20"/>
          <w:szCs w:val="20"/>
          <w:color w:val="auto"/>
        </w:rPr>
      </w:pPr>
    </w:p>
    <w:p>
      <w:pPr>
        <w:ind w:left="360" w:right="100" w:hanging="334"/>
        <w:spacing w:after="0" w:line="222" w:lineRule="exact"/>
        <w:tabs>
          <w:tab w:leader="none" w:pos="36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values were calculated as the pre-tax difference between the exercise price of stock options and the quoted market price of the Company’s common stock on November 30, 2023 for all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stock options. The total intrinsic value of stock options exercised during the years ended November 30, 2023 and 2022 was $0.2 million and $4.5 million, respectively.</w:t>
      </w:r>
    </w:p>
    <w:p>
      <w:pPr>
        <w:spacing w:after="0" w:line="159" w:lineRule="exact"/>
        <w:rPr>
          <w:rFonts w:ascii="Times New Roman" w:cs="Times New Roman" w:eastAsia="Times New Roman" w:hAnsi="Times New Roman"/>
          <w:sz w:val="23"/>
          <w:szCs w:val="23"/>
          <w:color w:val="auto"/>
          <w:vertAlign w:val="superscript"/>
        </w:rPr>
      </w:pPr>
    </w:p>
    <w:p>
      <w:pPr>
        <w:ind w:left="360" w:right="100" w:hanging="334"/>
        <w:spacing w:after="0" w:line="235" w:lineRule="auto"/>
        <w:tabs>
          <w:tab w:leader="none" w:pos="36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November 30, 2023, a total of 4,909 shares of common stock were early exercised and subject to repurchase by the Company at the lower of (i) the fair value of such shares on the date of repurchase, or (ii) the original exercise price of such shares. The corresponding exercise value was immaterial and recorded as a stock-based compensation liability.</w:t>
      </w:r>
    </w:p>
    <w:p>
      <w:pPr>
        <w:spacing w:after="0" w:line="213" w:lineRule="exact"/>
        <w:rPr>
          <w:sz w:val="20"/>
          <w:szCs w:val="20"/>
          <w:color w:val="auto"/>
        </w:rPr>
      </w:pPr>
    </w:p>
    <w:p>
      <w:pPr>
        <w:ind w:right="460" w:firstLine="648"/>
        <w:spacing w:after="0" w:line="262" w:lineRule="auto"/>
        <w:rPr>
          <w:sz w:val="20"/>
          <w:szCs w:val="20"/>
          <w:color w:val="auto"/>
        </w:rPr>
      </w:pPr>
      <w:r>
        <w:rPr>
          <w:rFonts w:ascii="Times New Roman" w:cs="Times New Roman" w:eastAsia="Times New Roman" w:hAnsi="Times New Roman"/>
          <w:sz w:val="18"/>
          <w:szCs w:val="18"/>
          <w:color w:val="auto"/>
        </w:rPr>
        <w:t>The fair value of options granted during the years ended November 30, 2023 and 2022 was estimated using the Black-Scholes option pricing model on the grant date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960" w:type="dxa"/>
            <w:vAlign w:val="bottom"/>
          </w:tcPr>
          <w:p>
            <w:pPr>
              <w:spacing w:after="0"/>
              <w:rPr>
                <w:sz w:val="16"/>
                <w:szCs w:val="16"/>
                <w:color w:val="auto"/>
              </w:rPr>
            </w:pPr>
          </w:p>
        </w:tc>
      </w:tr>
      <w:tr>
        <w:trPr>
          <w:trHeight w:val="37"/>
        </w:trPr>
        <w:tc>
          <w:tcPr>
            <w:tcW w:w="7500" w:type="dxa"/>
            <w:vAlign w:val="bottom"/>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820" w:type="dxa"/>
            <w:vAlign w:val="bottom"/>
            <w:gridSpan w:val="2"/>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2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- 6.07</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w:t>
            </w:r>
          </w:p>
        </w:tc>
      </w:tr>
      <w:tr>
        <w:trPr>
          <w:trHeight w:val="27"/>
        </w:trPr>
        <w:tc>
          <w:tcPr>
            <w:tcW w:w="7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- 4.22%</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gridSpan w:val="2"/>
          </w:tcPr>
          <w:p>
            <w:pPr>
              <w:jc w:val="right"/>
              <w:ind w:right="695"/>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8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11"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17"/>
          <w:szCs w:val="17"/>
          <w:color w:val="auto"/>
        </w:rPr>
        <w:t>The expected term represents the weighted-average period the stock-based payments are expected to remain outstanding. The expected term assumption for stock options was determined using the simplified method for “plain-vanilla” options. The expected stock price volatility assumption was determined by examining the historical volatilities for industry peers, as the Company does not have sufficient trading history for its common stock. The risk-free rate assumption is based on the U.S. Treasury instruments. The expected dividend assumption is based on the Company’s history and expectation of dividend payouts. The expected dividend yield is 0% as the Company has not paid and does not anticipate paying dividends on its common stock.</w:t>
      </w:r>
    </w:p>
    <w:p>
      <w:pPr>
        <w:spacing w:after="0" w:line="7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November 30, 2023 and 2022, the weighted-average grant date fair value of options granted was $7.22 and $11.80 per share, respectively.</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activity under the Stock Plans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RSUs 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 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November 30, 2023 and 2022, the weighted-average grant date fair value of RSUs granted was $10.53 and $19.11 per share, respectively, and the total fair value of RSUs vested was $7.9 million and $0.9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Under the Company’s ESPP, eligible employees are entitled to purchase shares of common stock at a discount with accumulated payroll deductions. The purchase price for shares of common stock purchased under the ESPP will be 85% of the lesser of the fair market value of the Company’s common stock on (i) the first trading day of the applicable offering period or (ii) the last trading day of each purchase period in the applicable offering period.</w:t>
      </w:r>
    </w:p>
    <w:p>
      <w:pPr>
        <w:spacing w:after="0" w:line="6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November 30, 2023, the Company issued 266,964 shares pursuant to the ESPP at a weighted-average price of $8.35 per share. As of November 30, 2023, there were 1,530,281 shares of common stock reserved for issuance pursuant to the ESPP.</w:t>
      </w:r>
    </w:p>
    <w:p>
      <w:pPr>
        <w:spacing w:after="0" w:line="68"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The fair value of ESPP granted during the years ended November 30, 2023 and 2022 was estimated using the Black-Scholes option pricing model on the grant date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74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37"/>
        </w:trPr>
        <w:tc>
          <w:tcPr>
            <w:tcW w:w="75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5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 - 101%</w:t>
            </w:r>
          </w:p>
        </w:tc>
      </w:tr>
      <w:tr>
        <w:trPr>
          <w:trHeight w:val="27"/>
        </w:trPr>
        <w:tc>
          <w:tcPr>
            <w:tcW w:w="7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4.98% - 5.54%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0.67% - 3.12%</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the Stock Plans and the ESPP that is included in the Company’s consolidated statements of operations is as follows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5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16,808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14,966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11,323</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33,673</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40" w:firstLine="648"/>
        <w:spacing w:after="0" w:line="254" w:lineRule="auto"/>
        <w:rPr>
          <w:sz w:val="20"/>
          <w:szCs w:val="20"/>
          <w:color w:val="auto"/>
        </w:rPr>
      </w:pPr>
      <w:r>
        <w:rPr>
          <w:rFonts w:ascii="Times New Roman" w:cs="Times New Roman" w:eastAsia="Times New Roman" w:hAnsi="Times New Roman"/>
          <w:sz w:val="18"/>
          <w:szCs w:val="18"/>
          <w:color w:val="auto"/>
        </w:rPr>
        <w:t>During the years ended November 30, 2023 and 2022, capitalized stock-based compensation related to internal-use software development was $74,000 and $69,000, respectively. As of November 30, 2023, the total compensation cost related to stock-based awards not yet recognized was</w:t>
      </w:r>
    </w:p>
    <w:p>
      <w:pPr>
        <w:spacing w:after="0"/>
        <w:rPr>
          <w:sz w:val="20"/>
          <w:szCs w:val="20"/>
          <w:color w:val="auto"/>
        </w:rPr>
      </w:pPr>
      <w:r>
        <w:rPr>
          <w:rFonts w:ascii="Times New Roman" w:cs="Times New Roman" w:eastAsia="Times New Roman" w:hAnsi="Times New Roman"/>
          <w:sz w:val="18"/>
          <w:szCs w:val="18"/>
          <w:color w:val="auto"/>
        </w:rPr>
        <w:t>$53.1 million, which is expected to be amortized on a straight-line basis over the weighted-average remaining vesting period of approximately 2.09 years.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$1.0 million and $0.9 million during the years ended November 30, 2023 and 2022, respectively.</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November 30, 2023 and 2022, the Company did not record any current income tax benefit or provision. The Company has generated net operating losses (NOLs) since inception and has established a valuation allowance against its deferred tax assets due to the uncertainty surrounding the realization of such assets.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before provision for income taxes includes the following component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0" w:type="dxa"/>
            <w:vAlign w:val="bottom"/>
          </w:tcPr>
          <w:p>
            <w:pPr>
              <w:spacing w:after="0"/>
              <w:rPr>
                <w:sz w:val="1"/>
                <w:szCs w:val="1"/>
                <w:color w:val="auto"/>
              </w:rPr>
            </w:pPr>
          </w:p>
        </w:tc>
      </w:tr>
      <w:tr>
        <w:trPr>
          <w:trHeight w:val="27"/>
        </w:trPr>
        <w:tc>
          <w:tcPr>
            <w:tcW w:w="81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effective tax rate differs from the federal statutory rate as follows: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rate</w:t>
            </w:r>
          </w:p>
        </w:tc>
        <w:tc>
          <w:tcPr>
            <w:tcW w:w="260" w:type="dxa"/>
            <w:vAlign w:val="bottom"/>
          </w:tcPr>
          <w:p>
            <w:pPr>
              <w:spacing w:after="0"/>
              <w:rPr>
                <w:sz w:val="21"/>
                <w:szCs w:val="21"/>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4"/>
                <w:szCs w:val="24"/>
                <w:color w:val="auto"/>
              </w:rPr>
            </w:pPr>
          </w:p>
        </w:tc>
        <w:tc>
          <w:tcPr>
            <w:tcW w:w="13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deferred tax assets for federal and state income taxes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research and experimental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141,663</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36"/>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Realization of the deferred tax assets is dependent upon future taxable income, the amount, if any, and timing of which are uncertain. The Company has established a valuation allowance to offset deferred tax assets as of November 30, 2023 and 2022 due to the uncertainty of realizing future tax benefits from its NOL carryforwards and other deferred tax assets. The valuation allowance increased by $55.4 million to $193.7 million during the year ended November 30, 2023, primarily related to an increase on the deferred tax asset for research and development (R&amp;D) credits, NOL carryforwards and Section 174 research and development capitalization. The valuation allowance increased by $54.8 million to $138.4 million during the year ended November 30, 2022, primarily related to an increase on the deferred tax asset for R&amp;D credits and NOL carryforwards.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46" w:name="page147"/>
    <w:bookmarkEnd w:id="146"/>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November 30, 2023, the Company had NOL carryforwards available to reduce future taxable income, if any, for federal and state income tax purposes of $269.3 million and $410.9 million, respectively. All outstanding federal NOL carryforwards were generated for tax years beginning after December 31, 2017, and carry forward indefinitely. State NOL carryforwards begin expiring in 2029. As of November 30, 2023, the Company had federal and state research credit carryforwards of $32.3 million and $20.2 million, respectively. If not utilized, the federal credit carryforwards will begin expiring in 2032 and the state credits carry forward indefinitely.</w:t>
      </w:r>
    </w:p>
    <w:p>
      <w:pPr>
        <w:spacing w:after="0" w:line="8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Section 382 of the Internal Revenue Code of 1986, as amended (IRC) places a limitation on the utilization of NOL and tax credit carryforwards in the event of certain cumulative changes in the ownership interest of significant stockholders over a three-year period in excess of 50 percentage points. The Company has identified two ownership changes that have triggered a limitation on pre-change NOLs under Section 382. A majority of the Company’s pre-change NOLs remain available within the carryforward period provided by the IRC, subject to availability of taxable income. As a result of the ownership changes, the Company has determined that approximately $0.4 million of NOLs will expire unutilized, and as such, these NOLs are not reflected in the Company’s deferred tax asset balance.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 has recorded a liability related to uncertain tax positions in the financial statements. The Company has unrecognized tax benefits of $15.5 million as of November 30, 2023, all of which are offset by a full valuation allowance. There are no tax benefits included in the balance of unrecognized tax benefits that, if recognized, would affect the effective tax rate. There are no interest and penalties accrued as of November 30, 2023.</w:t>
      </w:r>
    </w:p>
    <w:p>
      <w:pPr>
        <w:spacing w:after="0" w:line="8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income tax benefits during the years ended November 30, 2023 and 2022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Years ended November 30,</w:t>
            </w:r>
          </w:p>
        </w:tc>
        <w:tc>
          <w:tcPr>
            <w:tcW w:w="5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based on tax positions related to current period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15,508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648"/>
        <w:spacing w:after="0" w:line="264"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Pursuant to a measurement analysis, the Company has not recorded an unrecognized tax benefit related to the FTB’s sourcing position. The Company maintains an unrecognized tax benefit related to its California R&amp;D credits for all years. All of the Company’s tax years will remain open for examination by the federal and state authorities for three and four years, respectively, from the date of the utilization of any NOLs.</w:t>
      </w:r>
    </w:p>
    <w:p>
      <w:pPr>
        <w:spacing w:after="0" w:line="60"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In August 2022, the U.S. Inflation Reduction Act (the Act) was enacted into law. The Act includes various tax provisions, including an excise tax on stock repurchases, expanded tax credits for clean energy incentives and a corporate alternative minimum tax that generally applies to U.S. corporations with adjusted financial statement income in excess of $1.0 billion. The Company does not expect the Act to have a material impact on its financial statements.</w:t>
      </w:r>
    </w:p>
    <w:p>
      <w:pPr>
        <w:spacing w:after="0" w:line="6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December 2017, the Tax Cuts and Jobs Act (TCJA) was signed into law, significantly reforming the IRC. The TCJA contains a provision impacting Section 174 of the IRC whereby for tax years beginning on or after January 1, 2022, taxpayers are required to capitalize and amortize, rather than deduct, research and experimental (R&amp;E) expenses. The R&amp;E expenses under Section 174 must be amortized over five years for research performed in the United States and 15 years for research performed outside the United States. This rule became effective for the Company during the year ended November 30, 2023. For the year ended November 30, 2023, the Company recorded a deferred tax asset of $44.3 million pursuant to the provisions of Section 174 of the IRC.</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(180,360)</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Weighted-average number of shares outstanding, basic and diluted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54,337,901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48,607,990</w:t>
            </w: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right="540" w:hanging="334"/>
        <w:spacing w:after="0" w:line="229" w:lineRule="auto"/>
        <w:tabs>
          <w:tab w:leader="none" w:pos="36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shares underlying the pre-funded warrants to purchase shares of the Company’s common stock have been included in the calculation of the weighted-average number of shares outstanding, basic and diluted, for the years ended November 30, 2023 and 2022.</w:t>
      </w:r>
    </w:p>
    <w:p>
      <w:pPr>
        <w:spacing w:after="0" w:line="21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Years ended November 30,</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784,824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123,194</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9,795,222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9,187,221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Financial Officer is a trustee for the multiple employer welfare association that facilitates the acquisition and administration of the Company’s healthcare plans. Expenses related to the healthcare plan premiums were $4.4 million and $4.0 million for the years ended November 30, 2023 and 2022, respectively. As of November 30, 2023 and 2022, the amount recorded in accounts payable and accrued expenses and other current liabilities in connection with this healthcare plan provider was not material.</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7"/>
          <w:szCs w:val="17"/>
          <w:color w:val="auto"/>
        </w:rPr>
        <w:t>Our management, with the participation of our President and Chief Executive Officer (CEO) and our Chief Financial Officer (CFO),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November 30, 2023.</w:t>
      </w:r>
    </w:p>
    <w:p>
      <w:pPr>
        <w:spacing w:after="0" w:line="45"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CEO and our CFO, to allow timely decisions regarding required disclosure. Based on their evaluation, the CEO and CFO have concluded that our disclosure controls and procedures were effective as of November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safeguards into the process to reduce, though not eliminate, this risk.</w:t>
      </w:r>
    </w:p>
    <w:p>
      <w:pPr>
        <w:spacing w:after="0" w:line="72"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CEO and CFO, we conducted an evaluation of the effectiveness of our internal control over financial reporting as of November 30, 2023 based on the framework in “Internal Control — Integrated Framework” (2013) issued by the Committee of Sponsoring Organizations of the Treadway Commission. Based on this evaluation, our management concluded that our internal control over financial reporting was effective as of November 30, 2023.</w:t>
      </w:r>
    </w:p>
    <w:p>
      <w:pPr>
        <w:spacing w:after="0" w:line="83"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registered public accounting firm regarding internal control over financial reporting. For as long as we remain a “smaller reporting company” as defined by Rule 12b-2 of the Exchange Act and report less than $100 million of annual revenues in our most recent fiscal year,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November 30, 2023, that have materially affected, or are reasonably likely to materially affect, our internal control over financial reporting.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149" w:name="page150"/>
    <w:bookmarkEnd w:id="149"/>
    <w:p>
      <w:pPr>
        <w:ind w:left="55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definitive proxy statement for our 2024 Annual Meeting of Stockholders (Proxy Statement) to be filed with the Securities and Exchange Commission (SEC) within 120 days after the end of the fiscal year covered by this Annual Report on Form 10-K, and is incorporated herein by reference.</w:t>
      </w:r>
    </w:p>
    <w:p>
      <w:pPr>
        <w:spacing w:after="0" w:line="6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www.nurixtx.com.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150" w:name="page151"/>
    <w:bookmarkEnd w:id="150"/>
    <w:p>
      <w:pPr>
        <w:ind w:left="5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0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filed as part of this Annual Report on Form 10-K are listed in the “Index to Financial Statements” under Part II, Item 8 of this Annual Report on Form 10-K.</w:t>
      </w:r>
    </w:p>
    <w:p>
      <w:pPr>
        <w:spacing w:after="0" w:line="68" w:lineRule="exact"/>
        <w:rPr>
          <w:sz w:val="20"/>
          <w:szCs w:val="20"/>
          <w:color w:val="auto"/>
        </w:rPr>
      </w:pPr>
    </w:p>
    <w:p>
      <w:pPr>
        <w:ind w:left="1940" w:hanging="636"/>
        <w:spacing w:after="0"/>
        <w:tabs>
          <w:tab w:leader="none" w:pos="1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Financial statement schedules have been omitted in this Annual Report on Form 10-K because they are not applicable, not required under the instructions, or the information requested is set forth in the financial statements or related notes thereto.</w:t>
      </w:r>
    </w:p>
    <w:p>
      <w:pPr>
        <w:spacing w:after="0" w:line="68"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with this Annual Report on Form 10-K incorporated herein by reference (numbered in accordance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601 of Regulation S-K):</w:t>
      </w:r>
    </w:p>
    <w:p>
      <w:pPr>
        <w:spacing w:after="0" w:line="200" w:lineRule="exact"/>
        <w:rPr>
          <w:sz w:val="20"/>
          <w:szCs w:val="20"/>
          <w:color w:val="auto"/>
        </w:rPr>
      </w:pPr>
    </w:p>
    <w:p>
      <w:pPr>
        <w:spacing w:after="0" w:line="38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51" w:name="page152"/>
    <w:bookmarkEnd w:id="151"/>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Restated Certificate of Incorporation</w:t>
              </w:r>
            </w:hyperlink>
          </w:p>
        </w:tc>
        <w:tc>
          <w:tcPr>
            <w:tcW w:w="1100" w:type="dxa"/>
            <w:vAlign w:val="bottom"/>
            <w:gridSpan w:val="19"/>
          </w:tcPr>
          <w:p>
            <w:pPr>
              <w:spacing w:after="0"/>
              <w:rPr>
                <w:sz w:val="20"/>
                <w:szCs w:val="20"/>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8"/>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Bylaws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Common Stock Certificate</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Amended and Restated Investor Rights Agreement,</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dated March 9, 2020, by and among the Registrant</w:t>
              </w:r>
            </w:hyperlink>
          </w:p>
        </w:tc>
        <w:tc>
          <w:tcPr>
            <w:tcW w:w="10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8"/>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and certain of its stockholders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Description of Registrant’s Securities</w:t>
              </w:r>
            </w:hyperlink>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Form of Pre-funded Warrant</w:t>
              </w:r>
            </w:hyperlink>
          </w:p>
        </w:tc>
        <w:tc>
          <w:tcPr>
            <w:tcW w:w="640" w:type="dxa"/>
            <w:vAlign w:val="bottom"/>
            <w:tcBorders>
              <w:top w:val="single" w:sz="8" w:color="0000FF"/>
            </w:tcBorders>
            <w:gridSpan w:val="5"/>
          </w:tcPr>
          <w:p>
            <w:pPr>
              <w:spacing w:after="0"/>
              <w:rPr>
                <w:sz w:val="24"/>
                <w:szCs w:val="24"/>
                <w:color w:val="auto"/>
              </w:rPr>
            </w:pPr>
          </w:p>
        </w:tc>
        <w:tc>
          <w:tcPr>
            <w:tcW w:w="1060" w:type="dxa"/>
            <w:vAlign w:val="bottom"/>
            <w:gridSpan w:val="18"/>
          </w:tcPr>
          <w:p>
            <w:pPr>
              <w:spacing w:after="0"/>
              <w:rPr>
                <w:sz w:val="24"/>
                <w:szCs w:val="24"/>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Indemnity Agreement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2012 Equity Incentive Plan, as amended, and forms</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8"/>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of award 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2020 Equity Incentive Plan and forms of award</w:t>
              </w:r>
            </w:hyperlink>
          </w:p>
        </w:tc>
        <w:tc>
          <w:tcPr>
            <w:tcW w:w="320" w:type="dxa"/>
            <w:vAlign w:val="bottom"/>
            <w:gridSpan w:val="10"/>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8"/>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2020 Employee Stock Purchase Plan and forms of</w:t>
              </w:r>
            </w:hyperlink>
          </w:p>
        </w:tc>
        <w:tc>
          <w:tcPr>
            <w:tcW w:w="12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award agreements</w:t>
              </w:r>
            </w:hyperlink>
          </w:p>
        </w:tc>
        <w:tc>
          <w:tcPr>
            <w:tcW w:w="2440" w:type="dxa"/>
            <w:vAlign w:val="bottom"/>
            <w:gridSpan w:val="25"/>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and between the Registrant and Arthur T. Sands</w:t>
              </w:r>
            </w:hyperlink>
          </w:p>
        </w:tc>
        <w:tc>
          <w:tcPr>
            <w:tcW w:w="300" w:type="dxa"/>
            <w:vAlign w:val="bottom"/>
            <w:gridSpan w:val="9"/>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Letter Agreement, dated June 15, 2020, by and</w:t>
              </w:r>
            </w:hyperlink>
          </w:p>
        </w:tc>
        <w:tc>
          <w:tcPr>
            <w:tcW w:w="360" w:type="dxa"/>
            <w:vAlign w:val="bottom"/>
            <w:gridSpan w:val="1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8"/>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between the Registrant and Arthur T. Sands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and between the Registrant and Gwenn Hansen</w:t>
              </w:r>
            </w:hyperlink>
          </w:p>
        </w:tc>
        <w:tc>
          <w:tcPr>
            <w:tcW w:w="340" w:type="dxa"/>
            <w:vAlign w:val="bottom"/>
            <w:gridSpan w:val="11"/>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8"/>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and between the Registrant and Christine Ring</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40" w:type="dxa"/>
            <w:vAlign w:val="bottom"/>
            <w:gridSpan w:val="11"/>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and between the Registrant and Hans van Houte</w:t>
              </w:r>
            </w:hyperlink>
          </w:p>
        </w:tc>
        <w:tc>
          <w:tcPr>
            <w:tcW w:w="280" w:type="dxa"/>
            <w:vAlign w:val="bottom"/>
            <w:gridSpan w:val="8"/>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Executive Severance and Change in Control Plan,</w:t>
              </w:r>
            </w:hyperlink>
          </w:p>
        </w:tc>
        <w:tc>
          <w:tcPr>
            <w:tcW w:w="16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as amended and restated on January 19, 2022, and</w:t>
              </w:r>
            </w:hyperlink>
          </w:p>
        </w:tc>
        <w:tc>
          <w:tcPr>
            <w:tcW w:w="14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form of Participation Agreement thereunder</w:t>
              </w:r>
            </w:hyperlink>
          </w:p>
        </w:tc>
        <w:tc>
          <w:tcPr>
            <w:tcW w:w="580" w:type="dxa"/>
            <w:vAlign w:val="bottom"/>
            <w:gridSpan w:val="16"/>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Lease Agreement, dated as of March 24, 2014,</w:t>
              </w:r>
            </w:hyperlink>
          </w:p>
        </w:tc>
        <w:tc>
          <w:tcPr>
            <w:tcW w:w="380" w:type="dxa"/>
            <w:vAlign w:val="bottom"/>
            <w:gridSpan w:val="1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between ARE-San Francisco No. 26, LLC and the</w:t>
              </w:r>
            </w:hyperlink>
          </w:p>
        </w:tc>
        <w:tc>
          <w:tcPr>
            <w:tcW w:w="12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8"/>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Registrant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Lease Agreement, dated as of June 21, 2021,</w:t>
              </w:r>
            </w:hyperlink>
          </w:p>
        </w:tc>
        <w:tc>
          <w:tcPr>
            <w:tcW w:w="520" w:type="dxa"/>
            <w:vAlign w:val="bottom"/>
            <w:gridSpan w:val="1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between ARE-San Francisco No. 19 LLC and the</w:t>
              </w:r>
            </w:hyperlink>
          </w:p>
        </w:tc>
        <w:tc>
          <w:tcPr>
            <w:tcW w:w="18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8"/>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Registrant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40" w:type="dxa"/>
            <w:vAlign w:val="bottom"/>
          </w:tcPr>
          <w:p>
            <w:pPr>
              <w:spacing w:after="0"/>
              <w:rPr>
                <w:sz w:val="16"/>
                <w:szCs w:val="16"/>
                <w:color w:val="auto"/>
              </w:rPr>
            </w:pPr>
          </w:p>
        </w:tc>
      </w:tr>
      <w:tr>
        <w:trPr>
          <w:trHeight w:val="418"/>
        </w:trPr>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7"/>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October 14,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75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8, 2022</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February 16, 2021</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75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75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October 14,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Furnished</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24130</wp:posOffset>
            </wp:positionV>
            <wp:extent cx="6515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ectPr>
          <w:pgSz w:w="11900" w:h="16838" w:orient="portrait"/>
          <w:cols w:equalWidth="0" w:num="3">
            <w:col w:w="4980" w:space="100"/>
            <w:col w:w="5040" w:space="280"/>
            <w:col w:w="620"/>
          </w:cols>
          <w:pgMar w:left="320" w:top="1035" w:right="5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6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First Amendment to Lease Agreement, dated June</w:t>
              </w:r>
            </w:hyperlink>
          </w:p>
        </w:tc>
        <w:tc>
          <w:tcPr>
            <w:tcW w:w="280" w:type="dxa"/>
            <w:vAlign w:val="bottom"/>
            <w:gridSpan w:val="7"/>
          </w:tcPr>
          <w:p>
            <w:pPr>
              <w:spacing w:after="0"/>
              <w:rPr>
                <w:sz w:val="17"/>
                <w:szCs w:val="17"/>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October 12, 2023</w:t>
            </w:r>
          </w:p>
        </w:tc>
      </w:tr>
      <w:tr>
        <w:trPr>
          <w:trHeight w:val="196"/>
        </w:trPr>
        <w:tc>
          <w:tcPr>
            <w:tcW w:w="1220" w:type="dxa"/>
            <w:vAlign w:val="bottom"/>
          </w:tcPr>
          <w:p>
            <w:pPr>
              <w:spacing w:after="0"/>
              <w:rPr>
                <w:sz w:val="17"/>
                <w:szCs w:val="17"/>
                <w:color w:val="auto"/>
              </w:rPr>
            </w:pPr>
          </w:p>
        </w:tc>
        <w:tc>
          <w:tcPr>
            <w:tcW w:w="36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28, 2023, by and between ARE-San Francisco No.</w:t>
              </w:r>
            </w:hyperlink>
          </w:p>
        </w:tc>
        <w:tc>
          <w:tcPr>
            <w:tcW w:w="2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5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19 Owner, LLC and the Registrant</w:t>
              </w:r>
            </w:hyperlink>
          </w:p>
        </w:tc>
        <w:tc>
          <w:tcPr>
            <w:tcW w:w="140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2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Lease Agreement, dated as of March 1, 2022,</w:t>
              </w:r>
            </w:hyperlink>
          </w:p>
        </w:tc>
        <w:tc>
          <w:tcPr>
            <w:tcW w:w="620" w:type="dxa"/>
            <w:vAlign w:val="bottom"/>
            <w:gridSpan w:val="18"/>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April 8, 2022</w:t>
            </w:r>
          </w:p>
        </w:tc>
      </w:tr>
      <w:tr>
        <w:trPr>
          <w:trHeight w:val="196"/>
        </w:trPr>
        <w:tc>
          <w:tcPr>
            <w:tcW w:w="1220" w:type="dxa"/>
            <w:vAlign w:val="bottom"/>
          </w:tcPr>
          <w:p>
            <w:pPr>
              <w:spacing w:after="0"/>
              <w:rPr>
                <w:sz w:val="17"/>
                <w:szCs w:val="17"/>
                <w:color w:val="auto"/>
              </w:rPr>
            </w:pPr>
          </w:p>
        </w:tc>
        <w:tc>
          <w:tcPr>
            <w:tcW w:w="36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between 8800 Technology Forest Pl, LLC and the</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2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First Amendment to Lease Agreement, dated</w:t>
              </w:r>
            </w:hyperlink>
          </w:p>
        </w:tc>
        <w:tc>
          <w:tcPr>
            <w:tcW w:w="660" w:type="dxa"/>
            <w:vAlign w:val="bottom"/>
            <w:gridSpan w:val="19"/>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October 12, 2023</w:t>
            </w:r>
          </w:p>
        </w:tc>
      </w:tr>
      <w:tr>
        <w:trPr>
          <w:trHeight w:val="196"/>
        </w:trPr>
        <w:tc>
          <w:tcPr>
            <w:tcW w:w="1220" w:type="dxa"/>
            <w:vAlign w:val="bottom"/>
          </w:tcPr>
          <w:p>
            <w:pPr>
              <w:spacing w:after="0"/>
              <w:rPr>
                <w:sz w:val="17"/>
                <w:szCs w:val="17"/>
                <w:color w:val="auto"/>
              </w:rPr>
            </w:pPr>
          </w:p>
        </w:tc>
        <w:tc>
          <w:tcPr>
            <w:tcW w:w="37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August 25, 2023, by and between 8800 Technology</w:t>
              </w:r>
            </w:hyperlink>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Forest PL, LLC and the 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3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Collaboration, Option and License Agreement,</w:t>
              </w:r>
            </w:hyperlink>
          </w:p>
        </w:tc>
        <w:tc>
          <w:tcPr>
            <w:tcW w:w="520" w:type="dxa"/>
            <w:vAlign w:val="bottom"/>
            <w:gridSpan w:val="16"/>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dated June 10, 2019, by and between the 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and Gilead Sciences, Inc., as amended</w:t>
              </w:r>
            </w:hyperlink>
          </w:p>
        </w:tc>
        <w:tc>
          <w:tcPr>
            <w:tcW w:w="940" w:type="dxa"/>
            <w:vAlign w:val="bottom"/>
            <w:tcBorders>
              <w:top w:val="single" w:sz="8" w:color="0000FF"/>
            </w:tcBorders>
            <w:gridSpan w:val="19"/>
          </w:tcPr>
          <w:p>
            <w:pPr>
              <w:spacing w:after="0"/>
              <w:rPr>
                <w:sz w:val="17"/>
                <w:szCs w:val="17"/>
                <w:color w:val="auto"/>
              </w:rPr>
            </w:pPr>
          </w:p>
        </w:tc>
        <w:tc>
          <w:tcPr>
            <w:tcW w:w="20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3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First Amendment to Collaboration, Option and</w:t>
              </w:r>
            </w:hyperlink>
          </w:p>
        </w:tc>
        <w:tc>
          <w:tcPr>
            <w:tcW w:w="520" w:type="dxa"/>
            <w:vAlign w:val="bottom"/>
            <w:gridSpan w:val="16"/>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37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License Agreement, dated August 13, 2019, by and</w:t>
              </w:r>
            </w:hyperlink>
          </w:p>
        </w:tc>
        <w:tc>
          <w:tcPr>
            <w:tcW w:w="20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5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between the Registrant and Gilead Sciences, Inc.</w:t>
              </w:r>
            </w:hyperlink>
          </w:p>
        </w:tc>
        <w:tc>
          <w:tcPr>
            <w:tcW w:w="38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Second Amendment to Collaboration, Option and</w:t>
              </w:r>
            </w:hyperlink>
          </w:p>
        </w:tc>
        <w:tc>
          <w:tcPr>
            <w:tcW w:w="320" w:type="dxa"/>
            <w:vAlign w:val="bottom"/>
            <w:gridSpan w:val="9"/>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35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License Agreement, dated September 9, 2022, by</w:t>
              </w:r>
            </w:hyperlink>
          </w:p>
        </w:tc>
        <w:tc>
          <w:tcPr>
            <w:tcW w:w="34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and between the Registrant and Gilead Sciences,</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30">
              <w:r>
                <w:rPr>
                  <w:rFonts w:ascii="Times New Roman" w:cs="Times New Roman" w:eastAsia="Times New Roman" w:hAnsi="Times New Roman"/>
                  <w:sz w:val="18"/>
                  <w:szCs w:val="18"/>
                  <w:color w:val="0000FF"/>
                  <w:w w:val="94"/>
                </w:rPr>
                <w:t>Inc.</w:t>
              </w:r>
            </w:hyperlink>
          </w:p>
        </w:tc>
        <w:tc>
          <w:tcPr>
            <w:tcW w:w="3220" w:type="dxa"/>
            <w:vAlign w:val="bottom"/>
            <w:tcBorders>
              <w:top w:val="single" w:sz="8" w:color="0000FF"/>
            </w:tcBorders>
            <w:gridSpan w:val="16"/>
          </w:tcPr>
          <w:p>
            <w:pPr>
              <w:spacing w:after="0"/>
              <w:rPr>
                <w:sz w:val="17"/>
                <w:szCs w:val="17"/>
                <w:color w:val="auto"/>
              </w:rPr>
            </w:pPr>
          </w:p>
        </w:tc>
        <w:tc>
          <w:tcPr>
            <w:tcW w:w="40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900" w:type="dxa"/>
            <w:vAlign w:val="bottom"/>
            <w:gridSpan w:val="30"/>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Collaboration and License Agreement, dated</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December 19, 2019, by and between the 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8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and Genzyme Corporation</w:t>
              </w:r>
            </w:hyperlink>
          </w:p>
        </w:tc>
        <w:tc>
          <w:tcPr>
            <w:tcW w:w="22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4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First Amendment to Collaboration and License</w:t>
              </w:r>
            </w:hyperlink>
          </w:p>
        </w:tc>
        <w:tc>
          <w:tcPr>
            <w:tcW w:w="500" w:type="dxa"/>
            <w:vAlign w:val="bottom"/>
            <w:gridSpan w:val="15"/>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February 16, 2021</w:t>
            </w: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Agreement, dated January 6, 2021, by and between</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the Registrant and Genzyme Corporation</w:t>
              </w:r>
            </w:hyperlink>
          </w:p>
        </w:tc>
        <w:tc>
          <w:tcPr>
            <w:tcW w:w="720" w:type="dxa"/>
            <w:vAlign w:val="bottom"/>
            <w:tcBorders>
              <w:top w:val="single" w:sz="8" w:color="0000FF"/>
            </w:tcBorders>
            <w:gridSpan w:val="16"/>
          </w:tcPr>
          <w:p>
            <w:pPr>
              <w:spacing w:after="0"/>
              <w:rPr>
                <w:sz w:val="17"/>
                <w:szCs w:val="17"/>
                <w:color w:val="auto"/>
              </w:rPr>
            </w:pPr>
          </w:p>
        </w:tc>
        <w:tc>
          <w:tcPr>
            <w:tcW w:w="22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6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Second Amendment to Collaboration and License</w:t>
              </w:r>
            </w:hyperlink>
          </w:p>
        </w:tc>
        <w:tc>
          <w:tcPr>
            <w:tcW w:w="300" w:type="dxa"/>
            <w:vAlign w:val="bottom"/>
            <w:gridSpan w:val="8"/>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3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Agreement, dated December 16, 2021, by and</w:t>
              </w:r>
            </w:hyperlink>
          </w:p>
        </w:tc>
        <w:tc>
          <w:tcPr>
            <w:tcW w:w="580" w:type="dxa"/>
            <w:vAlign w:val="bottom"/>
            <w:gridSpan w:val="17"/>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between the Registrant and Genzyme Corporation</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3600" w:type="dxa"/>
            <w:vAlign w:val="bottom"/>
            <w:tcBorders>
              <w:top w:val="single" w:sz="8" w:color="0000FF"/>
            </w:tcBorders>
            <w:gridSpan w:val="22"/>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Third Amendment to Collaboration and License</w:t>
              </w:r>
            </w:hyperlink>
          </w:p>
        </w:tc>
        <w:tc>
          <w:tcPr>
            <w:tcW w:w="300" w:type="dxa"/>
            <w:vAlign w:val="bottom"/>
            <w:gridSpan w:val="8"/>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7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Agreement, dated July 7, 2022, by and between the</w:t>
              </w:r>
            </w:hyperlink>
          </w:p>
        </w:tc>
        <w:tc>
          <w:tcPr>
            <w:tcW w:w="2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Registrant and Genzyme Corporation</w:t>
              </w:r>
            </w:hyperlink>
          </w:p>
        </w:tc>
        <w:tc>
          <w:tcPr>
            <w:tcW w:w="1200" w:type="dxa"/>
            <w:vAlign w:val="bottom"/>
            <w:gridSpan w:val="2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900" w:type="dxa"/>
            <w:vAlign w:val="bottom"/>
            <w:gridSpan w:val="30"/>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Fourth Amendment to Collaboration and License</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7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Agreement, dated August 11, 2022, by and between</w:t>
              </w:r>
            </w:hyperlink>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the Registrant and Genzyme Corporation</w:t>
              </w:r>
            </w:hyperlink>
          </w:p>
        </w:tc>
        <w:tc>
          <w:tcPr>
            <w:tcW w:w="940" w:type="dxa"/>
            <w:vAlign w:val="bottom"/>
            <w:gridSpan w:val="21"/>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Fifth Amendment to Collaboration and License</w:t>
            </w:r>
          </w:p>
        </w:tc>
        <w:tc>
          <w:tcPr>
            <w:tcW w:w="440" w:type="dxa"/>
            <w:vAlign w:val="bottom"/>
            <w:gridSpan w:val="14"/>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Agreement, dated November 3, 2023, by and</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between the Registrant and Genzyme Corporation</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6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Collaboration and License Agreement, dated</w:t>
            </w:r>
          </w:p>
        </w:tc>
        <w:tc>
          <w:tcPr>
            <w:tcW w:w="30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9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September 6, 2023, by and between the Registrant</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2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and Seagen Inc.</w:t>
            </w:r>
          </w:p>
        </w:tc>
        <w:tc>
          <w:tcPr>
            <w:tcW w:w="2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972" w:right="77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Equity Distribution Agreement, dated August 4,</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333-258448</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4, 2021</w:t>
            </w:r>
          </w:p>
        </w:tc>
      </w:tr>
      <w:tr>
        <w:trPr>
          <w:trHeight w:val="196"/>
        </w:trPr>
        <w:tc>
          <w:tcPr>
            <w:tcW w:w="122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2021, by and between the Registrant and Piper</w:t>
              </w:r>
            </w:hyperlink>
          </w:p>
        </w:tc>
        <w:tc>
          <w:tcPr>
            <w:tcW w:w="100" w:type="dxa"/>
            <w:vAlign w:val="bottom"/>
            <w:tcBorders>
              <w:top w:val="single" w:sz="8" w:color="0000FF"/>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Sandler &amp; Co</w:t>
              </w:r>
              <w:r>
                <w:rPr>
                  <w:rFonts w:ascii="Times New Roman" w:cs="Times New Roman" w:eastAsia="Times New Roman" w:hAnsi="Times New Roman"/>
                  <w:sz w:val="18"/>
                  <w:szCs w:val="18"/>
                  <w:color w:val="000000"/>
                </w:rPr>
                <w:t>.</w:t>
              </w:r>
            </w:hyperlink>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Subsidiaries of the Registrant</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21.1</w:t>
            </w: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w:t>
            </w:r>
          </w:p>
        </w:tc>
        <w:tc>
          <w:tcPr>
            <w:tcW w:w="8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12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264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Power of Attorney (reference is made to the</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 page hereto)</w:t>
            </w:r>
          </w:p>
        </w:tc>
        <w:tc>
          <w:tcPr>
            <w:tcW w:w="1560" w:type="dxa"/>
            <w:vAlign w:val="bottom"/>
            <w:tcBorders>
              <w:top w:val="single" w:sz="8" w:color="0000FF"/>
            </w:tcBorders>
            <w:gridSpan w:val="6"/>
          </w:tcPr>
          <w:p>
            <w:pPr>
              <w:spacing w:after="0"/>
              <w:rPr>
                <w:sz w:val="17"/>
                <w:szCs w:val="17"/>
                <w:color w:val="auto"/>
              </w:rPr>
            </w:pPr>
          </w:p>
        </w:tc>
        <w:tc>
          <w:tcPr>
            <w:tcW w:w="72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74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3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5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 as Adopted</w:t>
            </w:r>
          </w:p>
        </w:tc>
        <w:tc>
          <w:tcPr>
            <w:tcW w:w="3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w:t>
            </w:r>
          </w:p>
        </w:tc>
        <w:tc>
          <w:tcPr>
            <w:tcW w:w="2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33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Officer Pursuant to Rules 13a-14(a) and 15d-14(a)</w:t>
            </w:r>
          </w:p>
        </w:tc>
        <w:tc>
          <w:tcPr>
            <w:tcW w:w="60" w:type="dxa"/>
            <w:vAlign w:val="bottom"/>
            <w:tcBorders>
              <w:top w:val="single" w:sz="8" w:color="0000FF"/>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6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w:t>
            </w:r>
          </w:p>
        </w:tc>
        <w:tc>
          <w:tcPr>
            <w:tcW w:w="2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Financial and Accounting Officer</w:t>
            </w:r>
          </w:p>
        </w:tc>
        <w:tc>
          <w:tcPr>
            <w:tcW w:w="300" w:type="dxa"/>
            <w:vAlign w:val="bottom"/>
            <w:tcBorders>
              <w:top w:val="single" w:sz="8" w:color="0000FF"/>
            </w:tcBorders>
            <w:gridSpan w:val="5"/>
          </w:tcPr>
          <w:p>
            <w:pPr>
              <w:spacing w:after="0"/>
              <w:rPr>
                <w:sz w:val="17"/>
                <w:szCs w:val="17"/>
                <w:color w:val="auto"/>
              </w:rPr>
            </w:pPr>
          </w:p>
        </w:tc>
        <w:tc>
          <w:tcPr>
            <w:tcW w:w="46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6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w:t>
            </w:r>
          </w:p>
        </w:tc>
        <w:tc>
          <w:tcPr>
            <w:tcW w:w="2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33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Compensation Recovery Policy</w:t>
            </w:r>
          </w:p>
        </w:tc>
        <w:tc>
          <w:tcPr>
            <w:tcW w:w="1600" w:type="dxa"/>
            <w:vAlign w:val="bottom"/>
            <w:gridSpan w:val="14"/>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3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20" w:type="dxa"/>
            <w:vAlign w:val="bottom"/>
          </w:tcPr>
          <w:p>
            <w:pPr>
              <w:spacing w:after="0"/>
              <w:rPr>
                <w:sz w:val="18"/>
                <w:szCs w:val="18"/>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and included in Exhibit 101)</w:t>
            </w: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88" w:lineRule="exact"/>
        <w:rPr>
          <w:sz w:val="20"/>
          <w:szCs w:val="20"/>
          <w:color w:val="auto"/>
        </w:rPr>
      </w:pPr>
    </w:p>
    <w:p>
      <w:pPr>
        <w:ind w:left="1220" w:hanging="1214"/>
        <w:spacing w:after="0"/>
        <w:tabs>
          <w:tab w:leader="none" w:pos="1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Indicates a management or compensatory plan or arrangement in which directors or executive officers are eligible to participate.</w:t>
      </w:r>
    </w:p>
    <w:p>
      <w:pPr>
        <w:spacing w:after="0" w:line="117" w:lineRule="exact"/>
        <w:rPr>
          <w:sz w:val="20"/>
          <w:szCs w:val="20"/>
          <w:color w:val="auto"/>
        </w:rPr>
      </w:pPr>
    </w:p>
    <w:p>
      <w:pPr>
        <w:ind w:left="1220" w:hanging="1214"/>
        <w:spacing w:after="0"/>
        <w:tabs>
          <w:tab w:leader="none" w:pos="1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Registrant has omitted portions of the exhibit as permitted under Item 601(b)(10) of Regulation S-K.</w:t>
      </w:r>
    </w:p>
    <w:p>
      <w:pPr>
        <w:spacing w:after="0" w:line="117" w:lineRule="exact"/>
        <w:rPr>
          <w:sz w:val="20"/>
          <w:szCs w:val="20"/>
          <w:color w:val="auto"/>
        </w:rPr>
      </w:pPr>
    </w:p>
    <w:p>
      <w:pPr>
        <w:ind w:left="1220" w:hanging="1214"/>
        <w:spacing w:after="0"/>
        <w:tabs>
          <w:tab w:leader="none" w:pos="12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Registrant has omitted certain schedules pursuant to Item 601(a)(5)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0" w:lineRule="exact"/>
        <w:rPr>
          <w:rFonts w:ascii="Times New Roman" w:cs="Times New Roman" w:eastAsia="Times New Roman" w:hAnsi="Times New Roman"/>
          <w:sz w:val="18"/>
          <w:szCs w:val="18"/>
          <w:color w:val="auto"/>
        </w:rPr>
      </w:pPr>
    </w:p>
    <w:p>
      <w:pPr>
        <w:ind w:left="5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972" w:right="779" w:bottom="1440" w:gutter="0" w:footer="0" w:header="0"/>
        </w:sectPr>
      </w:pPr>
    </w:p>
    <w:bookmarkStart w:id="154" w:name="page155"/>
    <w:bookmarkEnd w:id="154"/>
    <w:p>
      <w:pPr>
        <w:jc w:val="both"/>
        <w:ind w:left="1220" w:hanging="1194"/>
        <w:spacing w:after="0" w:line="267" w:lineRule="auto"/>
        <w:tabs>
          <w:tab w:leader="none" w:pos="1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certifications furnished in Exhibits 32.1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983" w:right="819" w:bottom="1440" w:gutter="0" w:footer="0" w:header="0"/>
        </w:sectPr>
      </w:pPr>
    </w:p>
    <w:bookmarkStart w:id="155" w:name="page156"/>
    <w:bookmarkEnd w:id="155"/>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21" w:lineRule="exact"/>
        <w:rPr>
          <w:sz w:val="20"/>
          <w:szCs w:val="20"/>
          <w:color w:val="auto"/>
        </w:rPr>
      </w:pPr>
    </w:p>
    <w:p>
      <w:pPr>
        <w:ind w:left="40"/>
        <w:spacing w:after="0"/>
        <w:tabs>
          <w:tab w:leader="none" w:pos="5400" w:val="left"/>
          <w:tab w:leader="none" w:pos="774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34290</wp:posOffset>
            </wp:positionV>
            <wp:extent cx="34118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Arthur T. Sands, M.D., Ph.D.</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Director</w:t>
      </w:r>
    </w:p>
    <w:p>
      <w:pPr>
        <w:spacing w:after="0" w:line="2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Arthur T. Sands and Hans van Houte,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w:t>
      </w:r>
    </w:p>
    <w:p>
      <w:pPr>
        <w:sectPr>
          <w:pgSz w:w="11900" w:h="16838" w:orient="portrait"/>
          <w:cols w:equalWidth="0" w:num="1">
            <w:col w:w="11160"/>
          </w:cols>
          <w:pgMar w:left="320" w:top="1035" w:right="41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Registrant in the capacities and on the dates indicated.</w:t>
      </w:r>
    </w:p>
    <w:p>
      <w:pPr>
        <w:spacing w:after="0" w:line="25" w:lineRule="exact"/>
        <w:rPr>
          <w:sz w:val="20"/>
          <w:szCs w:val="20"/>
          <w:color w:val="auto"/>
        </w:rPr>
      </w:pPr>
    </w:p>
    <w:p>
      <w:pPr>
        <w:ind w:left="166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4006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w:t>
            </w:r>
            <w:r>
              <w:rPr>
                <w:rFonts w:ascii="Times New Roman" w:cs="Times New Roman" w:eastAsia="Times New Roman" w:hAnsi="Times New Roman"/>
                <w:sz w:val="14"/>
                <w:szCs w:val="14"/>
                <w:color w:val="auto"/>
                <w:w w:val="99"/>
              </w:rPr>
              <w:t>RTHUR</w:t>
            </w:r>
            <w:r>
              <w:rPr>
                <w:rFonts w:ascii="Times New Roman" w:cs="Times New Roman" w:eastAsia="Times New Roman" w:hAnsi="Times New Roman"/>
                <w:sz w:val="18"/>
                <w:szCs w:val="18"/>
                <w:color w:val="auto"/>
                <w:w w:val="99"/>
              </w:rPr>
              <w:t xml:space="preserve"> T. S</w:t>
            </w:r>
            <w:r>
              <w:rPr>
                <w:rFonts w:ascii="Times New Roman" w:cs="Times New Roman" w:eastAsia="Times New Roman" w:hAnsi="Times New Roman"/>
                <w:sz w:val="14"/>
                <w:szCs w:val="14"/>
                <w:color w:val="auto"/>
                <w:w w:val="99"/>
              </w:rPr>
              <w:t>ANDS</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36"/>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Arthur T. Sands, M.D., Ph.D.</w:t>
            </w:r>
          </w:p>
        </w:tc>
        <w:tc>
          <w:tcPr>
            <w:tcW w:w="4180" w:type="dxa"/>
            <w:vAlign w:val="bottom"/>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4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Hans van Houte</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L. L</w:t>
            </w:r>
            <w:r>
              <w:rPr>
                <w:rFonts w:ascii="Times New Roman" w:cs="Times New Roman" w:eastAsia="Times New Roman" w:hAnsi="Times New Roman"/>
                <w:sz w:val="14"/>
                <w:szCs w:val="14"/>
                <w:color w:val="auto"/>
              </w:rPr>
              <w:t>ACEY</w:t>
            </w:r>
          </w:p>
        </w:tc>
        <w:tc>
          <w:tcPr>
            <w:tcW w:w="4180" w:type="dxa"/>
            <w:vAlign w:val="bottom"/>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 L. Lacey, M.D.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w:t>
            </w:r>
            <w:r>
              <w:rPr>
                <w:rFonts w:ascii="Times New Roman" w:cs="Times New Roman" w:eastAsia="Times New Roman" w:hAnsi="Times New Roman"/>
                <w:sz w:val="14"/>
                <w:szCs w:val="14"/>
                <w:color w:val="auto"/>
                <w:w w:val="99"/>
              </w:rPr>
              <w:t>ULIA</w:t>
            </w:r>
            <w:r>
              <w:rPr>
                <w:rFonts w:ascii="Times New Roman" w:cs="Times New Roman" w:eastAsia="Times New Roman" w:hAnsi="Times New Roman"/>
                <w:sz w:val="18"/>
                <w:szCs w:val="18"/>
                <w:color w:val="auto"/>
                <w:w w:val="99"/>
              </w:rPr>
              <w:t xml:space="preserve"> P. G</w:t>
            </w:r>
            <w:r>
              <w:rPr>
                <w:rFonts w:ascii="Times New Roman" w:cs="Times New Roman" w:eastAsia="Times New Roman" w:hAnsi="Times New Roman"/>
                <w:sz w:val="14"/>
                <w:szCs w:val="14"/>
                <w:color w:val="auto"/>
                <w:w w:val="99"/>
              </w:rPr>
              <w:t>REGORY</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Julia P. Gregory</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ORI</w:t>
            </w:r>
            <w:r>
              <w:rPr>
                <w:rFonts w:ascii="Times New Roman" w:cs="Times New Roman" w:eastAsia="Times New Roman" w:hAnsi="Times New Roman"/>
                <w:sz w:val="18"/>
                <w:szCs w:val="18"/>
                <w:color w:val="auto"/>
              </w:rPr>
              <w:t xml:space="preserve"> A. K</w:t>
            </w:r>
            <w:r>
              <w:rPr>
                <w:rFonts w:ascii="Times New Roman" w:cs="Times New Roman" w:eastAsia="Times New Roman" w:hAnsi="Times New Roman"/>
                <w:sz w:val="14"/>
                <w:szCs w:val="14"/>
                <w:color w:val="auto"/>
              </w:rPr>
              <w:t>UNKEL</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Lori A. Kunkel, M.D.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UDITH</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4"/>
                <w:szCs w:val="14"/>
                <w:color w:val="auto"/>
              </w:rPr>
              <w:t>EINSDORF</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Judith A. Reinsdorf, J.D.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DWARD</w:t>
            </w:r>
            <w:r>
              <w:rPr>
                <w:rFonts w:ascii="Times New Roman" w:cs="Times New Roman" w:eastAsia="Times New Roman" w:hAnsi="Times New Roman"/>
                <w:sz w:val="18"/>
                <w:szCs w:val="18"/>
                <w:color w:val="auto"/>
              </w:rPr>
              <w:t xml:space="preserve"> C. S</w:t>
            </w:r>
            <w:r>
              <w:rPr>
                <w:rFonts w:ascii="Times New Roman" w:cs="Times New Roman" w:eastAsia="Times New Roman" w:hAnsi="Times New Roman"/>
                <w:sz w:val="14"/>
                <w:szCs w:val="14"/>
                <w:color w:val="auto"/>
              </w:rPr>
              <w:t>ALTZMAN</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Edward C. Saltzman</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w:t>
            </w:r>
            <w:r>
              <w:rPr>
                <w:rFonts w:ascii="Times New Roman" w:cs="Times New Roman" w:eastAsia="Times New Roman" w:hAnsi="Times New Roman"/>
                <w:sz w:val="14"/>
                <w:szCs w:val="14"/>
                <w:color w:val="auto"/>
                <w:w w:val="99"/>
              </w:rPr>
              <w:t>AUL</w:t>
            </w:r>
            <w:r>
              <w:rPr>
                <w:rFonts w:ascii="Times New Roman" w:cs="Times New Roman" w:eastAsia="Times New Roman" w:hAnsi="Times New Roman"/>
                <w:sz w:val="18"/>
                <w:szCs w:val="18"/>
                <w:color w:val="auto"/>
                <w:w w:val="99"/>
              </w:rPr>
              <w:t xml:space="preserve"> M. S</w:t>
            </w:r>
            <w:r>
              <w:rPr>
                <w:rFonts w:ascii="Times New Roman" w:cs="Times New Roman" w:eastAsia="Times New Roman" w:hAnsi="Times New Roman"/>
                <w:sz w:val="14"/>
                <w:szCs w:val="14"/>
                <w:color w:val="auto"/>
                <w:w w:val="99"/>
              </w:rPr>
              <w:t>ILVA</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Paul M. Silva</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41910</wp:posOffset>
            </wp:positionV>
            <wp:extent cx="16719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387" w:lineRule="exact"/>
        <w:rPr>
          <w:sz w:val="20"/>
          <w:szCs w:val="20"/>
          <w:color w:val="auto"/>
        </w:rPr>
      </w:pPr>
    </w:p>
    <w:p>
      <w:pPr>
        <w:sectPr>
          <w:pgSz w:w="11900" w:h="16838" w:orient="portrait"/>
          <w:cols w:equalWidth="0" w:num="2">
            <w:col w:w="8540" w:space="720"/>
            <w:col w:w="1900"/>
          </w:cols>
          <w:pgMar w:left="320" w:top="103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1160"/>
          </w:cols>
          <w:pgMar w:left="320" w:top="1035" w:right="41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FIFTH AMENDMENT TO COLLABORATION AND LICENSE AGREEMENT</w:t>
      </w:r>
    </w:p>
    <w:p>
      <w:pPr>
        <w:spacing w:after="0" w:line="17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This Fifth Amendment to Collaboration and License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November 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2023 (the “</w:t>
      </w:r>
      <w:r>
        <w:rPr>
          <w:rFonts w:ascii="Times New Roman" w:cs="Times New Roman" w:eastAsia="Times New Roman" w:hAnsi="Times New Roman"/>
          <w:sz w:val="21"/>
          <w:szCs w:val="21"/>
          <w:b w:val="1"/>
          <w:bCs w:val="1"/>
          <w:color w:val="auto"/>
        </w:rPr>
        <w:t>Amendment Date</w:t>
      </w:r>
      <w:r>
        <w:rPr>
          <w:rFonts w:ascii="Times New Roman" w:cs="Times New Roman" w:eastAsia="Times New Roman" w:hAnsi="Times New Roman"/>
          <w:sz w:val="21"/>
          <w:szCs w:val="21"/>
          <w:color w:val="auto"/>
        </w:rPr>
        <w:t>”) by and between Genzyme Corporation, a Massachusetts corporation (“</w:t>
      </w:r>
      <w:r>
        <w:rPr>
          <w:rFonts w:ascii="Times New Roman" w:cs="Times New Roman" w:eastAsia="Times New Roman" w:hAnsi="Times New Roman"/>
          <w:sz w:val="21"/>
          <w:szCs w:val="21"/>
          <w:b w:val="1"/>
          <w:bCs w:val="1"/>
          <w:color w:val="auto"/>
        </w:rPr>
        <w:t>Sanofi</w:t>
      </w:r>
      <w:r>
        <w:rPr>
          <w:rFonts w:ascii="Times New Roman" w:cs="Times New Roman" w:eastAsia="Times New Roman" w:hAnsi="Times New Roman"/>
          <w:sz w:val="21"/>
          <w:szCs w:val="21"/>
          <w:color w:val="auto"/>
        </w:rPr>
        <w:t>”), and Nurix</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Therapeutics, Inc., a Delaware corporation (“</w:t>
      </w:r>
      <w:r>
        <w:rPr>
          <w:rFonts w:ascii="Times New Roman" w:cs="Times New Roman" w:eastAsia="Times New Roman" w:hAnsi="Times New Roman"/>
          <w:sz w:val="21"/>
          <w:szCs w:val="21"/>
          <w:b w:val="1"/>
          <w:bCs w:val="1"/>
          <w:color w:val="auto"/>
        </w:rPr>
        <w:t>Nurix</w:t>
      </w:r>
      <w:r>
        <w:rPr>
          <w:rFonts w:ascii="Times New Roman" w:cs="Times New Roman" w:eastAsia="Times New Roman" w:hAnsi="Times New Roman"/>
          <w:sz w:val="21"/>
          <w:szCs w:val="21"/>
          <w:color w:val="auto"/>
        </w:rPr>
        <w:t>”). Sanofi and Nurix are each referred to herein by name or,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91"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entered into that certain Collaboration and License Agreement (as amended by the Amendments,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December 19, 2019, that certain First Amendment to Collaboration and License Agreement, dated January 6, 2021 (the “</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that certain Second Amendment to Collaboration and License Agreement, dated December 16, 2021</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that certain Third Amendment to Collaboration and License Agreement, dated July 7, 2022 (the “</w:t>
      </w:r>
      <w:r>
        <w:rPr>
          <w:rFonts w:ascii="Times New Roman" w:cs="Times New Roman" w:eastAsia="Times New Roman" w:hAnsi="Times New Roman"/>
          <w:sz w:val="20"/>
          <w:szCs w:val="20"/>
          <w:b w:val="1"/>
          <w:bCs w:val="1"/>
          <w:color w:val="auto"/>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and that certain Fourth Amendment to Collaboration and License Agreement, dated August 11, 2022 (the “</w:t>
      </w:r>
      <w:r>
        <w:rPr>
          <w:rFonts w:ascii="Times New Roman" w:cs="Times New Roman" w:eastAsia="Times New Roman" w:hAnsi="Times New Roman"/>
          <w:sz w:val="20"/>
          <w:szCs w:val="20"/>
          <w:b w:val="1"/>
          <w:bCs w:val="1"/>
          <w:color w:val="auto"/>
        </w:rPr>
        <w:t>Fourth Amendment</w:t>
      </w:r>
      <w:r>
        <w:rPr>
          <w:rFonts w:ascii="Times New Roman" w:cs="Times New Roman" w:eastAsia="Times New Roman" w:hAnsi="Times New Roman"/>
          <w:sz w:val="20"/>
          <w:szCs w:val="20"/>
          <w:color w:val="auto"/>
        </w:rPr>
        <w:t>” and, together with the First Amendment, the Second Amendment, and the Third Amendment, the “</w:t>
      </w:r>
      <w:r>
        <w:rPr>
          <w:rFonts w:ascii="Times New Roman" w:cs="Times New Roman" w:eastAsia="Times New Roman" w:hAnsi="Times New Roman"/>
          <w:sz w:val="20"/>
          <w:szCs w:val="20"/>
          <w:b w:val="1"/>
          <w:bCs w:val="1"/>
          <w:color w:val="auto"/>
        </w:rPr>
        <w:t>Amendments</w:t>
      </w:r>
      <w:r>
        <w:rPr>
          <w:rFonts w:ascii="Times New Roman" w:cs="Times New Roman" w:eastAsia="Times New Roman" w:hAnsi="Times New Roman"/>
          <w:sz w:val="20"/>
          <w:szCs w:val="20"/>
          <w:color w:val="auto"/>
        </w:rPr>
        <w:t>”); and</w:t>
      </w:r>
    </w:p>
    <w:p>
      <w:pPr>
        <w:spacing w:after="0" w:line="161"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wish to amend the Agreement to modify the Research Plan for Collaboration Target [*] under Exhibit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under which Sanofi will conduct Research relating to [*], and to modify certain terms and conditions of the Agreement with respect to such Research as further described herein.</w:t>
      </w:r>
    </w:p>
    <w:p>
      <w:pPr>
        <w:spacing w:after="0" w:line="16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foregoing premises and the mutual promises, covenants and conditions contained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Amendment, in accordance with Section 18.5 of the Agreement, the Parties agree as follows:</w:t>
      </w:r>
    </w:p>
    <w:p>
      <w:pPr>
        <w:spacing w:after="0" w:line="148" w:lineRule="exact"/>
        <w:rPr>
          <w:sz w:val="20"/>
          <w:szCs w:val="20"/>
          <w:color w:val="auto"/>
        </w:rPr>
      </w:pPr>
    </w:p>
    <w:p>
      <w:pPr>
        <w:ind w:firstLine="656"/>
        <w:spacing w:after="0" w:line="245" w:lineRule="auto"/>
        <w:tabs>
          <w:tab w:leader="none" w:pos="1296"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Defined Terms</w:t>
      </w:r>
      <w:r>
        <w:rPr>
          <w:rFonts w:ascii="Times New Roman" w:cs="Times New Roman" w:eastAsia="Times New Roman" w:hAnsi="Times New Roman"/>
          <w:sz w:val="21"/>
          <w:szCs w:val="21"/>
          <w:color w:val="auto"/>
        </w:rPr>
        <w:t>. As used in this Amendment, capitalized terms, whether used in the singular or plural form, that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capitalized but not defined herein shall have the meanings ascribed to such terms in the Agreement.</w:t>
      </w:r>
    </w:p>
    <w:p>
      <w:pPr>
        <w:spacing w:after="0" w:line="141"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Amendments.</w:t>
      </w:r>
    </w:p>
    <w:p>
      <w:pPr>
        <w:spacing w:after="0" w:line="192" w:lineRule="exact"/>
        <w:rPr>
          <w:rFonts w:ascii="Times New Roman" w:cs="Times New Roman" w:eastAsia="Times New Roman" w:hAnsi="Times New Roman"/>
          <w:sz w:val="20"/>
          <w:szCs w:val="20"/>
          <w:b w:val="1"/>
          <w:bCs w:val="1"/>
          <w:color w:val="auto"/>
        </w:rPr>
      </w:pPr>
    </w:p>
    <w:p>
      <w:pPr>
        <w:ind w:firstLine="1304"/>
        <w:spacing w:after="0" w:line="243" w:lineRule="auto"/>
        <w:tabs>
          <w:tab w:leader="none" w:pos="1932" w:val="left"/>
        </w:tabs>
        <w:numPr>
          <w:ilvl w:val="1"/>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An amended Research Plan for the [*] is attached hereto as Exhibit A. Such Research Plan shall be deemed approved by the JRC as of the Amendment Date. For clarity:</w:t>
      </w:r>
    </w:p>
    <w:p>
      <w:pPr>
        <w:spacing w:after="0" w:line="145" w:lineRule="exact"/>
        <w:rPr>
          <w:rFonts w:ascii="Times New Roman" w:cs="Times New Roman" w:eastAsia="Times New Roman" w:hAnsi="Times New Roman"/>
          <w:sz w:val="20"/>
          <w:szCs w:val="20"/>
          <w:b w:val="1"/>
          <w:bCs w:val="1"/>
          <w:color w:val="auto"/>
        </w:rPr>
      </w:pPr>
    </w:p>
    <w:p>
      <w:pPr>
        <w:jc w:val="both"/>
        <w:ind w:firstLine="1952"/>
        <w:spacing w:after="0" w:line="228" w:lineRule="auto"/>
        <w:tabs>
          <w:tab w:leader="none" w:pos="259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all pre-clinical research activities under such amended Research Plan, including those activities conducted by Sanofi or its Affiliates, shall be deemed to be Research under the Agreement and part of the Research Program for the [*];</w:t>
      </w:r>
    </w:p>
    <w:p>
      <w:pPr>
        <w:spacing w:after="0" w:line="148" w:lineRule="exact"/>
        <w:rPr>
          <w:rFonts w:ascii="Times New Roman" w:cs="Times New Roman" w:eastAsia="Times New Roman" w:hAnsi="Times New Roman"/>
          <w:sz w:val="20"/>
          <w:szCs w:val="20"/>
          <w:color w:val="auto"/>
        </w:rPr>
      </w:pPr>
    </w:p>
    <w:p>
      <w:pPr>
        <w:ind w:firstLine="1952"/>
        <w:spacing w:after="0" w:line="243" w:lineRule="auto"/>
        <w:tabs>
          <w:tab w:leader="none" w:pos="2591"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nothing in this Amendment is intended to modify the Research Term, including with respect to such amended Research Plan for the [*];</w:t>
      </w:r>
    </w:p>
    <w:p>
      <w:pPr>
        <w:spacing w:after="0" w:line="145" w:lineRule="exact"/>
        <w:rPr>
          <w:rFonts w:ascii="Times New Roman" w:cs="Times New Roman" w:eastAsia="Times New Roman" w:hAnsi="Times New Roman"/>
          <w:sz w:val="20"/>
          <w:szCs w:val="20"/>
          <w:color w:val="auto"/>
        </w:rPr>
      </w:pPr>
    </w:p>
    <w:p>
      <w:pPr>
        <w:jc w:val="both"/>
        <w:ind w:firstLine="1952"/>
        <w:spacing w:after="0" w:line="228" w:lineRule="auto"/>
        <w:tabs>
          <w:tab w:leader="none" w:pos="2592"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accordance with, and subject to the terms and conditions of, Section 2.1.1 (General) of the Agreement, each Party shall bear its own costs and expenses incurred by or on behalf of it or its respective Affiliates in the performance of such Party’s respective Research activities under such amended Research Plan;</w:t>
      </w:r>
    </w:p>
    <w:p>
      <w:pPr>
        <w:sectPr>
          <w:pgSz w:w="11900" w:h="16838" w:orient="portrait"/>
          <w:cols w:equalWidth="0" w:num="1">
            <w:col w:w="11240"/>
          </w:cols>
          <w:pgMar w:left="320" w:top="96" w:right="339" w:bottom="1440" w:gutter="0" w:footer="0" w:header="0"/>
        </w:sectPr>
      </w:pPr>
    </w:p>
    <w:bookmarkStart w:id="157" w:name="page158"/>
    <w:bookmarkEnd w:id="157"/>
    <w:p>
      <w:pPr>
        <w:ind w:firstLine="1952"/>
        <w:spacing w:after="0" w:line="243" w:lineRule="auto"/>
        <w:tabs>
          <w:tab w:leader="none" w:pos="258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accordance with, and subject to the terms and conditions of, Section 12.1.1 (Research License to Nurix), Nurix may use [*] in its activities under the Research Plan for the [*], including for purposes of [*].</w:t>
      </w:r>
    </w:p>
    <w:p>
      <w:pPr>
        <w:spacing w:after="0" w:line="14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1.127 of the Agreement is hereby deleted in its entirety and replaced with the following:</w:t>
      </w:r>
    </w:p>
    <w:p>
      <w:pPr>
        <w:spacing w:after="0" w:line="189" w:lineRule="exact"/>
        <w:rPr>
          <w:sz w:val="20"/>
          <w:szCs w:val="20"/>
          <w:color w:val="auto"/>
        </w:rPr>
      </w:pPr>
    </w:p>
    <w:p>
      <w:pPr>
        <w:jc w:val="both"/>
        <w:ind w:left="660" w:firstLine="648"/>
        <w:spacing w:after="0" w:line="225" w:lineRule="auto"/>
        <w:rPr>
          <w:sz w:val="20"/>
          <w:szCs w:val="20"/>
          <w:color w:val="auto"/>
        </w:rPr>
      </w:pPr>
      <w:r>
        <w:rPr>
          <w:rFonts w:ascii="Times New Roman" w:cs="Times New Roman" w:eastAsia="Times New Roman" w:hAnsi="Times New Roman"/>
          <w:sz w:val="20"/>
          <w:szCs w:val="20"/>
          <w:color w:val="auto"/>
        </w:rPr>
        <w:t>1.127 “</w:t>
      </w:r>
      <w:r>
        <w:rPr>
          <w:rFonts w:ascii="Times New Roman" w:cs="Times New Roman" w:eastAsia="Times New Roman" w:hAnsi="Times New Roman"/>
          <w:sz w:val="20"/>
          <w:szCs w:val="20"/>
          <w:b w:val="1"/>
          <w:bCs w:val="1"/>
          <w:color w:val="auto"/>
        </w:rPr>
        <w:t>Licensed Product</w:t>
      </w:r>
      <w:r>
        <w:rPr>
          <w:rFonts w:ascii="Times New Roman" w:cs="Times New Roman" w:eastAsia="Times New Roman" w:hAnsi="Times New Roman"/>
          <w:sz w:val="20"/>
          <w:szCs w:val="20"/>
          <w:color w:val="auto"/>
        </w:rPr>
        <w:t>” means any pharmaceutical preparation in final form containing (a) a CTM (including any Development Candidate) that has relevant pharmacological activity and is Directed To a Collaboration Target, or (b) a Selected Target Binder or Collaboration [*] that is Directed To a Collaboration Target and itself has relevant pharmacological activity</w:t>
      </w:r>
    </w:p>
    <w:p>
      <w:pPr>
        <w:jc w:val="both"/>
        <w:ind w:left="660"/>
        <w:spacing w:after="0" w:line="205" w:lineRule="auto"/>
        <w:rPr>
          <w:sz w:val="20"/>
          <w:szCs w:val="20"/>
          <w:color w:val="auto"/>
        </w:rPr>
      </w:pPr>
      <w:r>
        <w:rPr>
          <w:rFonts w:ascii="Times New Roman" w:cs="Times New Roman" w:eastAsia="Times New Roman" w:hAnsi="Times New Roman"/>
          <w:sz w:val="21"/>
          <w:szCs w:val="21"/>
          <w:color w:val="auto"/>
        </w:rPr>
        <w:t>(each, a “</w:t>
      </w:r>
      <w:r>
        <w:rPr>
          <w:rFonts w:ascii="Times New Roman" w:cs="Times New Roman" w:eastAsia="Times New Roman" w:hAnsi="Times New Roman"/>
          <w:sz w:val="21"/>
          <w:szCs w:val="21"/>
          <w:b w:val="1"/>
          <w:bCs w:val="1"/>
          <w:color w:val="auto"/>
        </w:rPr>
        <w:t>Standalone Target Binder</w:t>
      </w:r>
      <w:r>
        <w:rPr>
          <w:rFonts w:ascii="Times New Roman" w:cs="Times New Roman" w:eastAsia="Times New Roman" w:hAnsi="Times New Roman"/>
          <w:sz w:val="21"/>
          <w:szCs w:val="21"/>
          <w:color w:val="auto"/>
        </w:rPr>
        <w:t>”), in each case that was identified (except for [*]), synthesized and Researched by or on behalf of Nurix or its Affiliates and/or, solely in the case of Collaboration [*], Sanofi or its Affiliates, in each case pursuant to a Research Plan, prior to the expiration of the applicable Collaboration Target Research Term (whether alone or as part of a</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Combination Product, and in all presentations and formulations including manner of delivery and dosage).</w:t>
      </w:r>
    </w:p>
    <w:p>
      <w:pPr>
        <w:spacing w:after="0" w:line="200" w:lineRule="exact"/>
        <w:rPr>
          <w:sz w:val="20"/>
          <w:szCs w:val="20"/>
          <w:color w:val="auto"/>
        </w:rPr>
      </w:pPr>
    </w:p>
    <w:p>
      <w:pPr>
        <w:spacing w:after="0" w:line="223" w:lineRule="exact"/>
        <w:rPr>
          <w:sz w:val="20"/>
          <w:szCs w:val="20"/>
          <w:color w:val="auto"/>
        </w:rPr>
      </w:pPr>
    </w:p>
    <w:p>
      <w:pPr>
        <w:ind w:left="1940" w:hanging="636"/>
        <w:spacing w:after="0"/>
        <w:tabs>
          <w:tab w:leader="none" w:pos="194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1.198 of the Agreement is hereby deleted in its entirety and replaced with the following:</w:t>
      </w:r>
    </w:p>
    <w:p>
      <w:pPr>
        <w:spacing w:after="0" w:line="189" w:lineRule="exact"/>
        <w:rPr>
          <w:sz w:val="20"/>
          <w:szCs w:val="20"/>
          <w:color w:val="auto"/>
        </w:rPr>
      </w:pPr>
    </w:p>
    <w:p>
      <w:pPr>
        <w:jc w:val="both"/>
        <w:ind w:left="660" w:firstLine="648"/>
        <w:spacing w:after="0" w:line="225" w:lineRule="auto"/>
        <w:rPr>
          <w:sz w:val="20"/>
          <w:szCs w:val="20"/>
          <w:color w:val="auto"/>
        </w:rPr>
      </w:pPr>
      <w:r>
        <w:rPr>
          <w:rFonts w:ascii="Times New Roman" w:cs="Times New Roman" w:eastAsia="Times New Roman" w:hAnsi="Times New Roman"/>
          <w:sz w:val="20"/>
          <w:szCs w:val="20"/>
          <w:color w:val="auto"/>
        </w:rPr>
        <w:t>1.198 “</w:t>
      </w:r>
      <w:r>
        <w:rPr>
          <w:rFonts w:ascii="Times New Roman" w:cs="Times New Roman" w:eastAsia="Times New Roman" w:hAnsi="Times New Roman"/>
          <w:sz w:val="20"/>
          <w:szCs w:val="20"/>
          <w:b w:val="1"/>
          <w:bCs w:val="1"/>
          <w:color w:val="auto"/>
        </w:rPr>
        <w:t>Reverted Product</w:t>
      </w:r>
      <w:r>
        <w:rPr>
          <w:rFonts w:ascii="Times New Roman" w:cs="Times New Roman" w:eastAsia="Times New Roman" w:hAnsi="Times New Roman"/>
          <w:sz w:val="20"/>
          <w:szCs w:val="20"/>
          <w:color w:val="auto"/>
        </w:rPr>
        <w:t xml:space="preserve">” means all CTMs, Target Binders, Standalone Target Binders and Development Candidates (and backups thereto) that are Directed To a Reverted Target, but in each case excluding any [*] and any CTMs comprising a [*];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for clarity, if the [*] becomes a Reverted Target, then Reverted Products shall include all</w:t>
      </w:r>
    </w:p>
    <w:p>
      <w:pPr>
        <w:jc w:val="both"/>
        <w:ind w:left="660" w:right="20"/>
        <w:spacing w:after="0" w:line="223" w:lineRule="auto"/>
        <w:rPr>
          <w:sz w:val="20"/>
          <w:szCs w:val="20"/>
          <w:color w:val="auto"/>
        </w:rPr>
      </w:pPr>
      <w:r>
        <w:rPr>
          <w:rFonts w:ascii="Times New Roman" w:cs="Times New Roman" w:eastAsia="Times New Roman" w:hAnsi="Times New Roman"/>
          <w:sz w:val="21"/>
          <w:szCs w:val="21"/>
          <w:color w:val="auto"/>
        </w:rPr>
        <w:t>Collaboration [*] that are: (a) derived by [*] from Target Binders [*]; or (b) identified or developed by [*] using (i) [*] or (ii) [*].</w:t>
      </w:r>
    </w:p>
    <w:p>
      <w:pPr>
        <w:spacing w:after="0" w:line="391" w:lineRule="exact"/>
        <w:rPr>
          <w:sz w:val="20"/>
          <w:szCs w:val="20"/>
          <w:color w:val="auto"/>
        </w:rPr>
      </w:pPr>
    </w:p>
    <w:p>
      <w:pPr>
        <w:ind w:left="1960" w:hanging="656"/>
        <w:spacing w:after="0"/>
        <w:tabs>
          <w:tab w:leader="none" w:pos="19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 new Section 1.246 is hereby added to the Agreement which shall provide as follows:</w:t>
      </w:r>
    </w:p>
    <w:p>
      <w:pPr>
        <w:spacing w:after="0" w:line="189" w:lineRule="exact"/>
        <w:rPr>
          <w:sz w:val="20"/>
          <w:szCs w:val="20"/>
          <w:color w:val="auto"/>
        </w:rPr>
      </w:pPr>
    </w:p>
    <w:p>
      <w:pPr>
        <w:ind w:left="660" w:firstLine="648"/>
        <w:spacing w:after="0" w:line="220" w:lineRule="auto"/>
        <w:rPr>
          <w:sz w:val="20"/>
          <w:szCs w:val="20"/>
          <w:color w:val="auto"/>
        </w:rPr>
      </w:pPr>
      <w:r>
        <w:rPr>
          <w:rFonts w:ascii="Times New Roman" w:cs="Times New Roman" w:eastAsia="Times New Roman" w:hAnsi="Times New Roman"/>
          <w:sz w:val="21"/>
          <w:szCs w:val="21"/>
          <w:color w:val="auto"/>
        </w:rPr>
        <w:t>1.246 “</w:t>
      </w:r>
      <w:r>
        <w:rPr>
          <w:rFonts w:ascii="Times New Roman" w:cs="Times New Roman" w:eastAsia="Times New Roman" w:hAnsi="Times New Roman"/>
          <w:sz w:val="21"/>
          <w:szCs w:val="21"/>
          <w:b w:val="1"/>
          <w:bCs w:val="1"/>
          <w:color w:val="auto"/>
        </w:rPr>
        <w:t>Amended</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means the amended Research Plan for the [*], attached as Exhibit A to Amendment No. 5 to the Agreement, as such plan may be further amended from time to time in accordance with this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Agreement.</w:t>
      </w:r>
    </w:p>
    <w:p>
      <w:pPr>
        <w:spacing w:after="0" w:line="396" w:lineRule="exact"/>
        <w:rPr>
          <w:sz w:val="20"/>
          <w:szCs w:val="20"/>
          <w:color w:val="auto"/>
        </w:rPr>
      </w:pPr>
    </w:p>
    <w:p>
      <w:pPr>
        <w:ind w:left="1300" w:right="2080" w:firstLine="4"/>
        <w:spacing w:after="0" w:line="436" w:lineRule="auto"/>
        <w:tabs>
          <w:tab w:leader="none" w:pos="1938"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 new Section 1.247 is hereby added to the Agreement which shall provide as follows: 1.247 “</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xml:space="preserve"> [*]” means [*].</w:t>
      </w:r>
    </w:p>
    <w:p>
      <w:pPr>
        <w:ind w:left="1300" w:right="2080" w:firstLine="4"/>
        <w:spacing w:after="0" w:line="458" w:lineRule="auto"/>
        <w:tabs>
          <w:tab w:leader="none" w:pos="1943"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 new Section 1.248 is hereby added to the Agreement which shall provide as follows: 1.248 “</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xml:space="preserve"> [*]” means each [*].</w:t>
      </w:r>
    </w:p>
    <w:p>
      <w:pPr>
        <w:spacing w:after="0" w:line="198"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 new Section 1.249 is hereby added to the Agreement which shall provide as follows:</w:t>
      </w:r>
    </w:p>
    <w:p>
      <w:pPr>
        <w:spacing w:after="0" w:line="189" w:lineRule="exact"/>
        <w:rPr>
          <w:sz w:val="20"/>
          <w:szCs w:val="20"/>
          <w:color w:val="auto"/>
        </w:rPr>
      </w:pPr>
    </w:p>
    <w:p>
      <w:pPr>
        <w:jc w:val="both"/>
        <w:ind w:left="660" w:firstLine="648"/>
        <w:spacing w:after="0" w:line="224" w:lineRule="auto"/>
        <w:rPr>
          <w:sz w:val="20"/>
          <w:szCs w:val="20"/>
          <w:color w:val="auto"/>
        </w:rPr>
      </w:pPr>
      <w:r>
        <w:rPr>
          <w:rFonts w:ascii="Times New Roman" w:cs="Times New Roman" w:eastAsia="Times New Roman" w:hAnsi="Times New Roman"/>
          <w:sz w:val="21"/>
          <w:szCs w:val="21"/>
          <w:color w:val="auto"/>
        </w:rPr>
        <w:t xml:space="preserve">1.249 “[*] </w:t>
      </w:r>
      <w:r>
        <w:rPr>
          <w:rFonts w:ascii="Times New Roman" w:cs="Times New Roman" w:eastAsia="Times New Roman" w:hAnsi="Times New Roman"/>
          <w:sz w:val="21"/>
          <w:szCs w:val="21"/>
          <w:b w:val="1"/>
          <w:bCs w:val="1"/>
          <w:color w:val="auto"/>
        </w:rPr>
        <w:t>Sanofi Background IP</w:t>
      </w:r>
      <w:r>
        <w:rPr>
          <w:rFonts w:ascii="Times New Roman" w:cs="Times New Roman" w:eastAsia="Times New Roman" w:hAnsi="Times New Roman"/>
          <w:sz w:val="21"/>
          <w:szCs w:val="21"/>
          <w:color w:val="auto"/>
        </w:rPr>
        <w:t>” means Background IP Controlled by Sanofi consisting solely of: (a) Patents covering inventions that (i) were conceived or reduced to practice on or before [*] for the [*] (even if such Patents were applied for or issued after such</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3" w:right="339" w:bottom="1440" w:gutter="0" w:footer="0" w:header="0"/>
        </w:sectPr>
      </w:pPr>
    </w:p>
    <w:bookmarkStart w:id="158" w:name="page159"/>
    <w:bookmarkEnd w:id="158"/>
    <w:p>
      <w:pPr>
        <w:jc w:val="both"/>
        <w:ind w:left="660"/>
        <w:spacing w:after="0" w:line="230" w:lineRule="auto"/>
        <w:rPr>
          <w:sz w:val="20"/>
          <w:szCs w:val="20"/>
          <w:color w:val="auto"/>
        </w:rPr>
      </w:pPr>
      <w:r>
        <w:rPr>
          <w:rFonts w:ascii="Times New Roman" w:cs="Times New Roman" w:eastAsia="Times New Roman" w:hAnsi="Times New Roman"/>
          <w:sz w:val="20"/>
          <w:szCs w:val="20"/>
          <w:color w:val="auto"/>
        </w:rPr>
        <w:t>date), (ii) are [*] into a Collaboration [*] or [*] pursuant to Section 2.9.1 (Information Sharing), and (iii) [*], pursuant to Section 17.7.2 (Reversion); and (b) Know-How that (i) was in existence on or before [*] for the [*], (ii) is [*] under Part 2 ([*])</w:t>
      </w:r>
    </w:p>
    <w:p>
      <w:pPr>
        <w:spacing w:after="0" w:line="2" w:lineRule="exact"/>
        <w:rPr>
          <w:sz w:val="20"/>
          <w:szCs w:val="20"/>
          <w:color w:val="auto"/>
        </w:rPr>
      </w:pPr>
    </w:p>
    <w:p>
      <w:pPr>
        <w:ind w:left="660" w:right="20"/>
        <w:spacing w:after="0" w:line="223" w:lineRule="auto"/>
        <w:rPr>
          <w:sz w:val="20"/>
          <w:szCs w:val="20"/>
          <w:color w:val="auto"/>
        </w:rPr>
      </w:pPr>
      <w:r>
        <w:rPr>
          <w:rFonts w:ascii="Times New Roman" w:cs="Times New Roman" w:eastAsia="Times New Roman" w:hAnsi="Times New Roman"/>
          <w:sz w:val="21"/>
          <w:szCs w:val="21"/>
          <w:color w:val="auto"/>
        </w:rPr>
        <w:t>of the [*] and that [*] pursuant to Section 2.9.1 (Information Sharing), and (iii) [*] to Research, Develop, Manufacture, or Commercialize a Reverted Product that is Directed To the [*]. [*].</w:t>
      </w:r>
    </w:p>
    <w:p>
      <w:pPr>
        <w:spacing w:after="0" w:line="175" w:lineRule="exact"/>
        <w:rPr>
          <w:sz w:val="20"/>
          <w:szCs w:val="20"/>
          <w:color w:val="auto"/>
        </w:rPr>
      </w:pPr>
    </w:p>
    <w:p>
      <w:pPr>
        <w:jc w:val="both"/>
        <w:ind w:firstLine="1304"/>
        <w:spacing w:after="0" w:line="224" w:lineRule="auto"/>
        <w:tabs>
          <w:tab w:leader="none" w:pos="1943"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For clarity, Section 2.9.1 (Information Sharing) shall apply to all Research conducted by Sanofi under Part 2 ([*]) of the Amended [*] Research Plan. For further clarity, notwithstanding anything to the contrary in Section 2.9.2 (Development Candidate Data Package) or Section 2.9.3 (Nurix Key Data Report) of the Agreement, [*] results of Sanofi’s activities with respect to the Research under Part 2 ([*]) of the [*], as assigned to Sanofi under the [*].</w:t>
      </w:r>
    </w:p>
    <w:p>
      <w:pPr>
        <w:spacing w:after="0" w:line="151"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2.10.3 of the Agreement is hereby deleted in its entirety and replaced with the following:</w:t>
      </w:r>
    </w:p>
    <w:p>
      <w:pPr>
        <w:spacing w:after="0" w:line="191" w:lineRule="exact"/>
        <w:rPr>
          <w:sz w:val="20"/>
          <w:szCs w:val="20"/>
          <w:color w:val="auto"/>
        </w:rPr>
      </w:pPr>
    </w:p>
    <w:p>
      <w:pPr>
        <w:jc w:val="both"/>
        <w:ind w:left="660" w:firstLine="648"/>
        <w:spacing w:after="0" w:line="224" w:lineRule="auto"/>
        <w:rPr>
          <w:sz w:val="20"/>
          <w:szCs w:val="20"/>
          <w:color w:val="auto"/>
        </w:rPr>
      </w:pPr>
      <w:r>
        <w:rPr>
          <w:rFonts w:ascii="Times New Roman" w:cs="Times New Roman" w:eastAsia="Times New Roman" w:hAnsi="Times New Roman"/>
          <w:sz w:val="20"/>
          <w:szCs w:val="20"/>
          <w:color w:val="auto"/>
        </w:rPr>
        <w:t xml:space="preserve">2.10.3 </w:t>
      </w:r>
      <w:r>
        <w:rPr>
          <w:rFonts w:ascii="Times New Roman" w:cs="Times New Roman" w:eastAsia="Times New Roman" w:hAnsi="Times New Roman"/>
          <w:sz w:val="20"/>
          <w:szCs w:val="20"/>
          <w:u w:val="single" w:color="auto"/>
          <w:color w:val="auto"/>
        </w:rPr>
        <w:t>Research Results</w:t>
      </w:r>
      <w:r>
        <w:rPr>
          <w:rFonts w:ascii="Times New Roman" w:cs="Times New Roman" w:eastAsia="Times New Roman" w:hAnsi="Times New Roman"/>
          <w:sz w:val="20"/>
          <w:szCs w:val="20"/>
          <w:color w:val="auto"/>
        </w:rPr>
        <w:t>. All Research Results generated by or on behalf of (i) Nurix or (ii) solely in the case of Research Results related to Collaboration [*], either Party, in each case, under this Agreement or any Ancillary Agreement will be deemed the Confidential Information of both Parties, provided, however, that, if Sanofi fails to make a License Extension</w:t>
      </w:r>
    </w:p>
    <w:p>
      <w:pPr>
        <w:spacing w:after="0" w:line="1"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20"/>
          <w:szCs w:val="20"/>
          <w:color w:val="auto"/>
        </w:rPr>
        <w:t>Fee for a Collaboration Target in accordance with Section 11.4 (License Extension Fee) prior to the expiration of the License Extension Fee Timeframe for such Collaboration License, then upon the expiration of the Target Exclusivity Period for such Target, all Research Results related to such Target that are generated by or on behalf of (i) Nurix or (ii) solely in the case of [*],</w:t>
      </w:r>
    </w:p>
    <w:p>
      <w:pPr>
        <w:jc w:val="both"/>
        <w:ind w:left="660"/>
        <w:spacing w:after="0" w:line="211" w:lineRule="auto"/>
        <w:rPr>
          <w:sz w:val="20"/>
          <w:szCs w:val="20"/>
          <w:color w:val="auto"/>
        </w:rPr>
      </w:pPr>
      <w:r>
        <w:rPr>
          <w:rFonts w:ascii="Times New Roman" w:cs="Times New Roman" w:eastAsia="Times New Roman" w:hAnsi="Times New Roman"/>
          <w:sz w:val="20"/>
          <w:szCs w:val="20"/>
          <w:color w:val="auto"/>
        </w:rPr>
        <w:t>either Party, in each case, in the performance of the Collaboration will be deemed the Confidential Information of Nurix, to the extent such Research Results do not include any data, results or other information pertaining to any CTM comprising a [*], any</w:t>
      </w:r>
    </w:p>
    <w:p>
      <w:pPr>
        <w:spacing w:after="0" w:line="1" w:lineRule="exact"/>
        <w:rPr>
          <w:sz w:val="20"/>
          <w:szCs w:val="20"/>
          <w:color w:val="auto"/>
        </w:rPr>
      </w:pPr>
    </w:p>
    <w:p>
      <w:pPr>
        <w:jc w:val="both"/>
        <w:ind w:left="660" w:hanging="4"/>
        <w:spacing w:after="0" w:line="213" w:lineRule="auto"/>
        <w:tabs>
          <w:tab w:leader="none" w:pos="95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other Sanofi Materials, or, in the case of [*], any [*], in each case, which will be deemed the Confidential Information of Sanofi. For clarity: (a) this Section 2.10.3 (Research Results) shall not limit Sanofi’s ability to exercise the license set forth in Section 17.7.2(c), in accordance with the terms and conditions thereof; and (b) Sanofi’s ability to use and disclose such Nurix Confidential Information to Third Parties is governed by Article 14 (Confidentiality), including Sanofi’s right to make disclosures as further described in Section 14.3.1(e)(ii) under customary confidentiality and non-use obligations, to the extent necessary or reasonably useful for Sanofi to exercise its rights under the license set forth in Section 17.7.2(c).</w:t>
      </w:r>
    </w:p>
    <w:p>
      <w:pPr>
        <w:spacing w:after="0" w:line="148"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7.1 of the Agreement is hereby deleted in its entirety and replaced with the following:</w:t>
      </w:r>
    </w:p>
    <w:p>
      <w:pPr>
        <w:spacing w:after="0" w:line="191" w:lineRule="exact"/>
        <w:rPr>
          <w:sz w:val="20"/>
          <w:szCs w:val="20"/>
          <w:color w:val="auto"/>
        </w:rPr>
      </w:pPr>
    </w:p>
    <w:p>
      <w:pPr>
        <w:jc w:val="both"/>
        <w:ind w:left="660" w:firstLine="648"/>
        <w:spacing w:after="0" w:line="219"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Manufacturing</w:t>
      </w:r>
      <w:r>
        <w:rPr>
          <w:rFonts w:ascii="Times New Roman" w:cs="Times New Roman" w:eastAsia="Times New Roman" w:hAnsi="Times New Roman"/>
          <w:sz w:val="21"/>
          <w:szCs w:val="21"/>
          <w:color w:val="auto"/>
        </w:rPr>
        <w:t>. Subject to the terms and conditions of this Agreement, (a) Nurix, at its sole cost and expense, will Manufacture, itself or through Third Parties, Research supplies (other than GLP tox supplies) for the Parties’ use of the</w:t>
      </w:r>
    </w:p>
    <w:p>
      <w:pPr>
        <w:spacing w:after="0" w:line="2"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20"/>
          <w:szCs w:val="20"/>
          <w:color w:val="auto"/>
        </w:rPr>
        <w:t>respective CTMs, Target Binders and Development Candidates in the Field in the Territory under the Collaboration, provided that [*], provided, further, that Research supplies for Sanofi shall be limited to those specified in any Research Plan for Sanofi activities or otherwise as permitted under Section 2.7.4 (Activities to be Performed by Sanofi), and (b) Sanofi will have the sole</w:t>
      </w:r>
    </w:p>
    <w:p>
      <w:pPr>
        <w:jc w:val="both"/>
        <w:ind w:left="660"/>
        <w:spacing w:after="0" w:line="214" w:lineRule="auto"/>
        <w:rPr>
          <w:sz w:val="20"/>
          <w:szCs w:val="20"/>
          <w:color w:val="auto"/>
        </w:rPr>
      </w:pPr>
      <w:r>
        <w:rPr>
          <w:rFonts w:ascii="Times New Roman" w:cs="Times New Roman" w:eastAsia="Times New Roman" w:hAnsi="Times New Roman"/>
          <w:sz w:val="20"/>
          <w:szCs w:val="20"/>
          <w:color w:val="auto"/>
        </w:rPr>
        <w:t>and exclusive right to Manufacture (and will solely and exclusively control, at its discretion, the Manufacture of), itself or with or through its Affiliates, Sublicensees or other Third Parties, the GLP tox supplies, and supplies to support Development or Commercial activities for the respective Development Candidates, backups thereto and Licensed Products in the Field in the Territory. Subject to the Co-Development/Co-Commercialization Agreement and Profit/Loss Share Agreement (if executed),</w:t>
      </w:r>
    </w:p>
    <w:p>
      <w:pPr>
        <w:spacing w:after="0" w:line="3"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1"/>
          <w:szCs w:val="21"/>
          <w:color w:val="auto"/>
        </w:rPr>
        <w:t>all such Manufacturing described in clause (b) will be at Sanofi’s sole cost and expense. Notwithstanding the foregoing, Sanofi shall have the right, but not the obligation, to Manufacture, itself or through Third Parties, Research supplies of [*] to enable Sanofi’s activities with respect to the Research of Collaboration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3" w:right="339" w:bottom="1440" w:gutter="0" w:footer="0" w:header="0"/>
        </w:sectPr>
      </w:pPr>
    </w:p>
    <w:bookmarkStart w:id="159" w:name="page160"/>
    <w:bookmarkEnd w:id="159"/>
    <w:p>
      <w:pPr>
        <w:ind w:left="660" w:right="20"/>
        <w:spacing w:after="0" w:line="234" w:lineRule="auto"/>
        <w:rPr>
          <w:sz w:val="20"/>
          <w:szCs w:val="20"/>
          <w:color w:val="auto"/>
        </w:rPr>
      </w:pPr>
      <w:r>
        <w:rPr>
          <w:rFonts w:ascii="Times New Roman" w:cs="Times New Roman" w:eastAsia="Times New Roman" w:hAnsi="Times New Roman"/>
          <w:sz w:val="21"/>
          <w:szCs w:val="21"/>
          <w:color w:val="auto"/>
        </w:rPr>
        <w:t>as assigned to Sanofi under the [*]. Upon request, Nurix shall provide Sanofi with [*] for Sanofi to be able to Manufacture such Research supplies (and Nurix shall [*]), including, without limitation, [*], for the relevant Collaboration [*].</w:t>
      </w:r>
    </w:p>
    <w:p>
      <w:pPr>
        <w:spacing w:after="0" w:line="164" w:lineRule="exact"/>
        <w:rPr>
          <w:sz w:val="20"/>
          <w:szCs w:val="20"/>
          <w:color w:val="auto"/>
        </w:rPr>
      </w:pPr>
    </w:p>
    <w:p>
      <w:pPr>
        <w:jc w:val="both"/>
        <w:ind w:firstLine="1304"/>
        <w:spacing w:after="0" w:line="220" w:lineRule="auto"/>
        <w:tabs>
          <w:tab w:leader="none" w:pos="1943" w:val="left"/>
        </w:tabs>
        <w:numPr>
          <w:ilvl w:val="1"/>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Notwithstanding anything in Article 8 (Nurix Options) to the contrary: (i) under Section 8.1 (Delivery of Profit/Loss Share Data Package to Nurix), if [*] is achieved for a Licensed Product that is [*] (a “[*]”) and/or a [*], then Sanofi will provide Nurix with a Profit/Loss Share Data Package for [*] Licensed Product Directed To the [*] that achieves [*]; and (ii) under Section 8.2 (Option Exercise), [*], Nurix may elect to exercise a Co-Development/Co-Promotion Option for [*], in each case, after receiving the Profit/Loss Share Data Package for [*]. If (a) Nurix elects to exercise the Co-Development/Co-Promotion Option for [*] after receiving such Profit/Loss Share Data Package and (b) [*], then Sanofi will [*] for the [*]; provided that, for clarity, [*], which</w:t>
      </w:r>
    </w:p>
    <w:p>
      <w:pPr>
        <w:spacing w:after="0" w:line="1" w:lineRule="exact"/>
        <w:rPr>
          <w:rFonts w:ascii="Times New Roman" w:cs="Times New Roman" w:eastAsia="Times New Roman" w:hAnsi="Times New Roman"/>
          <w:sz w:val="19"/>
          <w:szCs w:val="19"/>
          <w:b w:val="1"/>
          <w:bCs w:val="1"/>
          <w:color w:val="auto"/>
        </w:rPr>
      </w:pPr>
    </w:p>
    <w:p>
      <w:pPr>
        <w:ind w:left="360" w:hanging="352"/>
        <w:spacing w:after="0"/>
        <w:tabs>
          <w:tab w:leader="none" w:pos="3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9.4.1 of the Agreement is hereby deleted in its entirety and replaced with the following:</w:t>
      </w:r>
    </w:p>
    <w:p>
      <w:pPr>
        <w:spacing w:after="0" w:line="191" w:lineRule="exact"/>
        <w:rPr>
          <w:sz w:val="20"/>
          <w:szCs w:val="20"/>
          <w:color w:val="auto"/>
        </w:rPr>
      </w:pPr>
    </w:p>
    <w:p>
      <w:pPr>
        <w:jc w:val="both"/>
        <w:ind w:left="660" w:firstLine="648"/>
        <w:spacing w:after="0" w:line="219" w:lineRule="auto"/>
        <w:rPr>
          <w:sz w:val="20"/>
          <w:szCs w:val="20"/>
          <w:color w:val="auto"/>
        </w:rPr>
      </w:pPr>
      <w:r>
        <w:rPr>
          <w:rFonts w:ascii="Times New Roman" w:cs="Times New Roman" w:eastAsia="Times New Roman" w:hAnsi="Times New Roman"/>
          <w:sz w:val="21"/>
          <w:szCs w:val="21"/>
          <w:color w:val="auto"/>
        </w:rPr>
        <w:t xml:space="preserve">9.4.1 </w:t>
      </w:r>
      <w:r>
        <w:rPr>
          <w:rFonts w:ascii="Times New Roman" w:cs="Times New Roman" w:eastAsia="Times New Roman" w:hAnsi="Times New Roman"/>
          <w:sz w:val="21"/>
          <w:szCs w:val="21"/>
          <w:u w:val="single" w:color="auto"/>
          <w:color w:val="auto"/>
        </w:rPr>
        <w:t>JRC Decisions</w:t>
      </w:r>
      <w:r>
        <w:rPr>
          <w:rFonts w:ascii="Times New Roman" w:cs="Times New Roman" w:eastAsia="Times New Roman" w:hAnsi="Times New Roman"/>
          <w:sz w:val="21"/>
          <w:szCs w:val="21"/>
          <w:color w:val="auto"/>
        </w:rPr>
        <w:t>. Each Party will have one vote at the JRC. The JRC will endeavor to make decisions by consensus. In the absence of consensus, any dispute will be escalated to the Executive Officers, and if the Executive Officers</w:t>
      </w:r>
    </w:p>
    <w:p>
      <w:pPr>
        <w:spacing w:after="0" w:line="2" w:lineRule="exact"/>
        <w:rPr>
          <w:sz w:val="20"/>
          <w:szCs w:val="20"/>
          <w:color w:val="auto"/>
        </w:rPr>
      </w:pPr>
    </w:p>
    <w:p>
      <w:pPr>
        <w:jc w:val="both"/>
        <w:ind w:left="660"/>
        <w:spacing w:after="0" w:line="205" w:lineRule="auto"/>
        <w:rPr>
          <w:sz w:val="20"/>
          <w:szCs w:val="20"/>
          <w:color w:val="auto"/>
        </w:rPr>
      </w:pPr>
      <w:r>
        <w:rPr>
          <w:rFonts w:ascii="Times New Roman" w:cs="Times New Roman" w:eastAsia="Times New Roman" w:hAnsi="Times New Roman"/>
          <w:sz w:val="21"/>
          <w:szCs w:val="21"/>
          <w:color w:val="auto"/>
        </w:rPr>
        <w:t xml:space="preserve">are unable to resolve such dispute within [*] Business Days after such matter has been referred to them then (a) for matters relating to [*], Nurix shall have final decision-making ability;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Sanofi shall have final decision-making ability for matters relating to [*], and (b) for all other matters and any matter overseen by the JRC, Sanofi shall have final decision-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making ability. For clarity, Nurix shall not use its final decision-making ability to (i) [*]; (ii) [*] or (iii) [*].</w:t>
      </w:r>
    </w:p>
    <w:p>
      <w:pPr>
        <w:spacing w:after="0" w:line="153" w:lineRule="exact"/>
        <w:rPr>
          <w:sz w:val="20"/>
          <w:szCs w:val="20"/>
          <w:color w:val="auto"/>
        </w:rPr>
      </w:pPr>
    </w:p>
    <w:p>
      <w:pPr>
        <w:jc w:val="both"/>
        <w:ind w:firstLine="1304"/>
        <w:spacing w:after="0" w:line="228" w:lineRule="auto"/>
        <w:tabs>
          <w:tab w:leader="none" w:pos="1944"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The additions to Schedule 1.188 (Research Milestone Event Criteria) that were effected by Exhibit B to the Fourth Amendment are hereby deleted and replaced by the language in Exhibit B attached to this Amendment to the Agreement, solely with respect to [*]. For clarity, with respect to [*], Schedule 1.188 shall remain unchanged.</w:t>
      </w:r>
    </w:p>
    <w:p>
      <w:pPr>
        <w:spacing w:after="0" w:line="391" w:lineRule="exact"/>
        <w:rPr>
          <w:rFonts w:ascii="Times New Roman" w:cs="Times New Roman" w:eastAsia="Times New Roman" w:hAnsi="Times New Roman"/>
          <w:sz w:val="20"/>
          <w:szCs w:val="20"/>
          <w:b w:val="1"/>
          <w:bCs w:val="1"/>
          <w:color w:val="auto"/>
        </w:rPr>
      </w:pPr>
    </w:p>
    <w:p>
      <w:pPr>
        <w:jc w:val="both"/>
        <w:ind w:firstLine="1304"/>
        <w:spacing w:after="0" w:line="220" w:lineRule="auto"/>
        <w:tabs>
          <w:tab w:leader="none" w:pos="1943"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For clarity: (1) all Inventions made or created solely by Sanofi’s or its Affiliates’ employees, independent contractors or consultants in the course of conducting activities under Part 2 ([*]) of the [*] and Part 2 ([*]) of the [*] will be Foreground IP [*] in accordance with Section 13.1.1 (General); and (2) such Foreground IP (A) is licensed to Nurix in accordance with Section 12.1.1 (Research License to Nurix), including for purposes of the Research to be conducted by Nurix or its Affiliates under Part 1 of the [*], and (B) would be [*].</w:t>
      </w:r>
    </w:p>
    <w:p>
      <w:pPr>
        <w:spacing w:after="0" w:line="148"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17.7.2 of the Agreement is hereby deleted in its entirety and replaced with the following:</w:t>
      </w:r>
    </w:p>
    <w:p>
      <w:pPr>
        <w:spacing w:after="0" w:line="191"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1"/>
          <w:szCs w:val="21"/>
          <w:color w:val="auto"/>
        </w:rPr>
        <w:t>17.7.2</w:t>
      </w:r>
      <w:r>
        <w:rPr>
          <w:sz w:val="20"/>
          <w:szCs w:val="20"/>
          <w:color w:val="auto"/>
        </w:rPr>
        <w:tab/>
      </w:r>
      <w:r>
        <w:rPr>
          <w:rFonts w:ascii="Times New Roman" w:cs="Times New Roman" w:eastAsia="Times New Roman" w:hAnsi="Times New Roman"/>
          <w:sz w:val="20"/>
          <w:szCs w:val="20"/>
          <w:u w:val="single" w:color="auto"/>
          <w:color w:val="auto"/>
        </w:rPr>
        <w:t>Reversion</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left="660" w:firstLine="644"/>
        <w:spacing w:after="0" w:line="213" w:lineRule="auto"/>
        <w:tabs>
          <w:tab w:leader="none" w:pos="160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Sanofi hereby grants to Nurix (i) [*] license, under [*] to Develop, Manufacture and Commercialize all Reverted Products in the Field in each applicable country in the Territory, subject to Nurix’s obligations under Section 2.10.1 (Target Exclusivity), (ii) solely in the case of [*], subject to Nurix’s obligations under Section 2.10.1 (Target Exclusivity), and (iii) solely in the case of [*], subject to Nurix’s obligations under Section 2.10.1 (Target Exclusivity). Nurix will only exercise its rights under the foregoing license in accordance with Section 12.2 (Expiration; License Term Extension), if Sanofi fails to make the License Extension Fee for the applicable Collaboration Target in accordance with Section 11.4 (License Extension Fee) prior to the expiration of the License Extension Fee Timeframe for such Collaboration License, and will only exercise its rights under the foregoing license with respect to Reverted Products in existence as of the expiration date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3" w:right="339" w:bottom="1440" w:gutter="0" w:footer="0" w:header="0"/>
        </w:sectPr>
      </w:pPr>
    </w:p>
    <w:bookmarkStart w:id="160" w:name="page161"/>
    <w:bookmarkEnd w:id="160"/>
    <w:p>
      <w:pPr>
        <w:jc w:val="both"/>
        <w:ind w:left="660"/>
        <w:spacing w:after="0" w:line="230" w:lineRule="auto"/>
        <w:rPr>
          <w:sz w:val="20"/>
          <w:szCs w:val="20"/>
          <w:color w:val="auto"/>
        </w:rPr>
      </w:pPr>
      <w:r>
        <w:rPr>
          <w:rFonts w:ascii="Times New Roman" w:cs="Times New Roman" w:eastAsia="Times New Roman" w:hAnsi="Times New Roman"/>
          <w:sz w:val="20"/>
          <w:szCs w:val="20"/>
          <w:color w:val="auto"/>
        </w:rPr>
        <w:t>Collaboration License. For clarity, Sanofi shall retain the right to use [*], and all such other intellectual property rights, Patents or Know-How owned or Controlled by Sanofi for [*] other than with respect to a Reverted Product. Nurix shall have the right</w:t>
      </w:r>
    </w:p>
    <w:p>
      <w:pPr>
        <w:spacing w:after="0" w:line="2"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20"/>
          <w:szCs w:val="20"/>
          <w:color w:val="auto"/>
        </w:rPr>
        <w:t xml:space="preserve">to terminate all or any portion of the rights granted to it under this Section 17.7.2 (Reversion), upon written notice to Sanofi. Subject to the previous sentence, Nurix shall pay to Sanofi royalties on Annual Net Sales (as such term is applied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mutandis </w:t>
      </w:r>
      <w:r>
        <w:rPr>
          <w:rFonts w:ascii="Times New Roman" w:cs="Times New Roman" w:eastAsia="Times New Roman" w:hAnsi="Times New Roman"/>
          <w:sz w:val="20"/>
          <w:szCs w:val="20"/>
          <w:color w:val="auto"/>
        </w:rPr>
        <w:t>to Nurix and its Affiliates and sublicensees) of: (a) Reverted Products that [*] or, (b) solely with respect to [*], to the</w:t>
      </w:r>
    </w:p>
    <w:p>
      <w:pPr>
        <w:jc w:val="both"/>
        <w:ind w:left="660"/>
        <w:spacing w:after="0" w:line="223" w:lineRule="auto"/>
        <w:rPr>
          <w:sz w:val="20"/>
          <w:szCs w:val="20"/>
          <w:color w:val="auto"/>
        </w:rPr>
      </w:pPr>
      <w:r>
        <w:rPr>
          <w:rFonts w:ascii="Times New Roman" w:cs="Times New Roman" w:eastAsia="Times New Roman" w:hAnsi="Times New Roman"/>
          <w:sz w:val="21"/>
          <w:szCs w:val="21"/>
          <w:color w:val="auto"/>
        </w:rPr>
        <w:t>extent Covered by [*]. For clarity, with respect to [*], the license granted to Nurix in this Section 17.7.2 (Reversion) shall be [*].</w:t>
      </w:r>
    </w:p>
    <w:p>
      <w:pPr>
        <w:spacing w:after="0" w:line="148" w:lineRule="exact"/>
        <w:rPr>
          <w:sz w:val="20"/>
          <w:szCs w:val="20"/>
          <w:color w:val="auto"/>
        </w:rPr>
      </w:pPr>
    </w:p>
    <w:p>
      <w:pPr>
        <w:ind w:left="1600" w:hanging="296"/>
        <w:spacing w:after="0"/>
        <w:tabs>
          <w:tab w:leader="none" w:pos="160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jc w:val="both"/>
        <w:ind w:left="660" w:firstLine="644"/>
        <w:spacing w:after="0" w:line="223" w:lineRule="auto"/>
        <w:tabs>
          <w:tab w:leader="none" w:pos="161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Nurix hereby grants to Sanofi a [*] license, under the Research Results generated by Sanofi related to [*] that became the sole Confidential Information of Nurix upon the expiration of the Target Exclusivity Period for [*] in accordance with Section 2.10.3 (Research Results) to use for [*].</w:t>
      </w:r>
    </w:p>
    <w:p>
      <w:pPr>
        <w:spacing w:after="0" w:line="16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0"/>
          <w:szCs w:val="20"/>
          <w:b w:val="1"/>
          <w:bCs w:val="1"/>
          <w:color w:val="auto"/>
        </w:rPr>
      </w:pPr>
    </w:p>
    <w:p>
      <w:pPr>
        <w:jc w:val="both"/>
        <w:ind w:firstLine="1304"/>
        <w:spacing w:after="0" w:line="225" w:lineRule="auto"/>
        <w:tabs>
          <w:tab w:leader="none" w:pos="1932"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 xml:space="preserve">No Other Amendments. </w:t>
      </w:r>
      <w:r>
        <w:rPr>
          <w:rFonts w:ascii="Times New Roman" w:cs="Times New Roman" w:eastAsia="Times New Roman" w:hAnsi="Times New Roman"/>
          <w:sz w:val="21"/>
          <w:szCs w:val="21"/>
          <w:color w:val="auto"/>
        </w:rPr>
        <w:t>This Amendment shall be deemed to be a part of and incorporated into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 the event of a conflict between this Amendment and the Agreement, this Amendment shall control. Except as expressly set forth in this Amendment, all of the terms and conditions of the Agreement, including without limitation [*], shall remain unchanged and are ratified and confirmed in all respects and remain in full force and effect.</w:t>
      </w:r>
    </w:p>
    <w:p>
      <w:pPr>
        <w:spacing w:after="0" w:line="147" w:lineRule="exact"/>
        <w:rPr>
          <w:rFonts w:ascii="Times New Roman" w:cs="Times New Roman" w:eastAsia="Times New Roman" w:hAnsi="Times New Roman"/>
          <w:sz w:val="20"/>
          <w:szCs w:val="20"/>
          <w:b w:val="1"/>
          <w:bCs w:val="1"/>
          <w:color w:val="auto"/>
        </w:rPr>
      </w:pPr>
    </w:p>
    <w:p>
      <w:pPr>
        <w:jc w:val="both"/>
        <w:ind w:firstLine="1304"/>
        <w:spacing w:after="0" w:line="228" w:lineRule="auto"/>
        <w:tabs>
          <w:tab w:leader="none" w:pos="1943"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Amendment, together with the Agreement and any exhibits or attachments thereto,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contains the entire agreement by the Parties with respect to the subject matter hereof, and any reference to the Agreement shall refer to the Agreement, as amended by this Amendment.</w:t>
      </w:r>
    </w:p>
    <w:p>
      <w:pPr>
        <w:spacing w:after="0" w:line="148"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34" w:val="left"/>
        </w:tabs>
        <w:numPr>
          <w:ilvl w:val="1"/>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counterparts with the same effect as if both Parties had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the same document. All such counterparts will be deemed an original, will be construed together and will constitute one and the same instrument.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51" w:lineRule="exact"/>
        <w:rPr>
          <w:rFonts w:ascii="Times New Roman" w:cs="Times New Roman" w:eastAsia="Times New Roman" w:hAnsi="Times New Roman"/>
          <w:sz w:val="19"/>
          <w:szCs w:val="19"/>
          <w:b w:val="1"/>
          <w:bCs w:val="1"/>
          <w:color w:val="auto"/>
        </w:rPr>
      </w:pPr>
    </w:p>
    <w:p>
      <w:pPr>
        <w:ind w:firstLine="1304"/>
        <w:spacing w:after="0" w:line="245" w:lineRule="auto"/>
        <w:tabs>
          <w:tab w:leader="none" w:pos="1943"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 xml:space="preserve">Choice of Law. </w:t>
      </w:r>
      <w:r>
        <w:rPr>
          <w:rFonts w:ascii="Times New Roman" w:cs="Times New Roman" w:eastAsia="Times New Roman" w:hAnsi="Times New Roman"/>
          <w:sz w:val="21"/>
          <w:szCs w:val="21"/>
          <w:color w:val="auto"/>
        </w:rPr>
        <w:t>This Amendment and any Dispute arising from the performance or breach hereof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and interpreted in accordance with the laws of the State of New York, without giving effect to any choice of law rules.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3" w:right="339" w:bottom="1440" w:gutter="0" w:footer="0" w:header="0"/>
        </w:sectPr>
      </w:pPr>
    </w:p>
    <w:bookmarkStart w:id="161" w:name="page162"/>
    <w:bookmarkEnd w:id="161"/>
    <w:p>
      <w:pPr>
        <w:ind w:firstLine="648"/>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and intending to be legally bound hereby, the Parties have caused this Amendment to be executed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respective duly authorized representatives as of the Amendment Date.</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72"/>
        </w:trPr>
        <w:tc>
          <w:tcPr>
            <w:tcW w:w="426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NURIX THERAPEUTICS, INC.</w:t>
            </w:r>
          </w:p>
        </w:tc>
        <w:tc>
          <w:tcPr>
            <w:tcW w:w="5300" w:type="dxa"/>
            <w:vAlign w:val="bottom"/>
            <w:gridSpan w:val="3"/>
          </w:tcPr>
          <w:p>
            <w:pPr>
              <w:ind w:left="1360"/>
              <w:spacing w:after="0"/>
              <w:rPr>
                <w:sz w:val="20"/>
                <w:szCs w:val="20"/>
                <w:color w:val="auto"/>
              </w:rPr>
            </w:pPr>
            <w:r>
              <w:rPr>
                <w:rFonts w:ascii="Times New Roman" w:cs="Times New Roman" w:eastAsia="Times New Roman" w:hAnsi="Times New Roman"/>
                <w:sz w:val="21"/>
                <w:szCs w:val="21"/>
                <w:b w:val="1"/>
                <w:bCs w:val="1"/>
                <w:color w:val="auto"/>
              </w:rPr>
              <w:t>GENZYME CORPORATION</w:t>
            </w:r>
          </w:p>
        </w:tc>
      </w:tr>
      <w:tr>
        <w:trPr>
          <w:trHeight w:val="478"/>
        </w:trPr>
        <w:tc>
          <w:tcPr>
            <w:tcW w:w="42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By: /s/ Christine Ring</w:t>
            </w:r>
          </w:p>
        </w:tc>
        <w:tc>
          <w:tcPr>
            <w:tcW w:w="5300" w:type="dxa"/>
            <w:vAlign w:val="bottom"/>
            <w:gridSpan w:val="3"/>
          </w:tcPr>
          <w:p>
            <w:pPr>
              <w:ind w:left="1360"/>
              <w:spacing w:after="0"/>
              <w:rPr>
                <w:sz w:val="20"/>
                <w:szCs w:val="20"/>
                <w:color w:val="auto"/>
              </w:rPr>
            </w:pPr>
            <w:r>
              <w:rPr>
                <w:rFonts w:ascii="Times New Roman" w:cs="Times New Roman" w:eastAsia="Times New Roman" w:hAnsi="Times New Roman"/>
                <w:sz w:val="21"/>
                <w:szCs w:val="21"/>
                <w:color w:val="auto"/>
              </w:rPr>
              <w:t>By: /s/ Matthew J. LaMarche</w:t>
            </w:r>
          </w:p>
        </w:tc>
      </w:tr>
      <w:tr>
        <w:trPr>
          <w:trHeight w:val="20"/>
        </w:trPr>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47"/>
        </w:trPr>
        <w:tc>
          <w:tcPr>
            <w:tcW w:w="42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Name: Christine Ring</w:t>
            </w:r>
          </w:p>
        </w:tc>
        <w:tc>
          <w:tcPr>
            <w:tcW w:w="5300" w:type="dxa"/>
            <w:vAlign w:val="bottom"/>
            <w:gridSpan w:val="3"/>
          </w:tcPr>
          <w:p>
            <w:pPr>
              <w:ind w:left="1360"/>
              <w:spacing w:after="0"/>
              <w:rPr>
                <w:sz w:val="20"/>
                <w:szCs w:val="20"/>
                <w:color w:val="auto"/>
              </w:rPr>
            </w:pPr>
            <w:r>
              <w:rPr>
                <w:rFonts w:ascii="Times New Roman" w:cs="Times New Roman" w:eastAsia="Times New Roman" w:hAnsi="Times New Roman"/>
                <w:sz w:val="21"/>
                <w:szCs w:val="21"/>
                <w:color w:val="auto"/>
              </w:rPr>
              <w:t>Name: Matthew J. LaMarche</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Title: Chief Legal Officer</w:t>
            </w:r>
          </w:p>
        </w:tc>
        <w:tc>
          <w:tcPr>
            <w:tcW w:w="5300" w:type="dxa"/>
            <w:vAlign w:val="bottom"/>
            <w:gridSpan w:val="3"/>
          </w:tcPr>
          <w:p>
            <w:pPr>
              <w:ind w:left="1360"/>
              <w:spacing w:after="0"/>
              <w:rPr>
                <w:sz w:val="20"/>
                <w:szCs w:val="20"/>
                <w:color w:val="auto"/>
              </w:rPr>
            </w:pPr>
            <w:r>
              <w:rPr>
                <w:rFonts w:ascii="Times New Roman" w:cs="Times New Roman" w:eastAsia="Times New Roman" w:hAnsi="Times New Roman"/>
                <w:sz w:val="21"/>
                <w:szCs w:val="21"/>
                <w:color w:val="auto"/>
                <w:w w:val="97"/>
              </w:rPr>
              <w:t>Title: US Site Head, Integrated Drug Discovery</w:t>
            </w:r>
          </w:p>
        </w:tc>
      </w:tr>
    </w:tbl>
    <w:p>
      <w:pPr>
        <w:sectPr>
          <w:pgSz w:w="11900" w:h="16838" w:orient="portrait"/>
          <w:cols w:equalWidth="0" w:num="1">
            <w:col w:w="11240"/>
          </w:cols>
          <w:pgMar w:left="320" w:top="140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line="239"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NURIX THERAPEUTICS, INC.</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SEAGEN INC.</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dated as of September 6, 2023</w:t>
      </w:r>
    </w:p>
    <w:p>
      <w:pPr>
        <w:sectPr>
          <w:pgSz w:w="11900" w:h="16838" w:orient="portrait"/>
          <w:cols w:equalWidth="0" w:num="1">
            <w:col w:w="11160"/>
          </w:cols>
          <w:pgMar w:left="400" w:top="94" w:right="339" w:bottom="1440" w:gutter="0" w:footer="0" w:header="0"/>
        </w:sectPr>
      </w:pPr>
    </w:p>
    <w:bookmarkStart w:id="163" w:name="page164"/>
    <w:bookmarkEnd w:id="163"/>
    <w:p>
      <w:pPr>
        <w:jc w:val="right"/>
        <w:ind w:right="300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3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1</w:t>
      </w:r>
      <w:r>
        <w:rPr>
          <w:sz w:val="20"/>
          <w:szCs w:val="20"/>
          <w:color w:val="auto"/>
        </w:rPr>
        <w:tab/>
      </w:r>
      <w:r>
        <w:rPr>
          <w:rFonts w:ascii="Times New Roman" w:cs="Times New Roman" w:eastAsia="Times New Roman" w:hAnsi="Times New Roman"/>
          <w:sz w:val="21"/>
          <w:szCs w:val="21"/>
          <w:color w:val="auto"/>
        </w:rPr>
        <w:t>DEFINITIONS</w:t>
      </w:r>
    </w:p>
    <w:p>
      <w:pPr>
        <w:spacing w:after="0" w:line="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2</w:t>
      </w:r>
      <w:r>
        <w:rPr>
          <w:sz w:val="20"/>
          <w:szCs w:val="20"/>
          <w:color w:val="auto"/>
        </w:rPr>
        <w:tab/>
      </w:r>
      <w:r>
        <w:rPr>
          <w:rFonts w:ascii="Times New Roman" w:cs="Times New Roman" w:eastAsia="Times New Roman" w:hAnsi="Times New Roman"/>
          <w:sz w:val="21"/>
          <w:szCs w:val="21"/>
          <w:color w:val="auto"/>
        </w:rPr>
        <w:t>DEGRADER TARGET SETS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Overview</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Collaboration Degrader Target Sets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Reserved Degrader Target Sets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Addition of Degrader Targets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Removal of Collaboration Degrader Targets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Licensed Degrader Target Sets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 Licensed Degrader Target Set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Former Collaboration Degrader Target Sets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Former Licensed Degrader Target Sets</w:t>
      </w:r>
    </w:p>
    <w:p>
      <w:pPr>
        <w:spacing w:after="0" w:line="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3</w:t>
      </w:r>
      <w:r>
        <w:rPr>
          <w:sz w:val="20"/>
          <w:szCs w:val="20"/>
          <w:color w:val="auto"/>
        </w:rPr>
        <w:tab/>
      </w:r>
      <w:r>
        <w:rPr>
          <w:rFonts w:ascii="Times New Roman" w:cs="Times New Roman" w:eastAsia="Times New Roman" w:hAnsi="Times New Roman"/>
          <w:sz w:val="21"/>
          <w:szCs w:val="21"/>
          <w:color w:val="auto"/>
        </w:rPr>
        <w:t>GATEKEEPING</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Proposed Degrader Target Sets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Gatekeeping</w:t>
      </w:r>
    </w:p>
    <w:p>
      <w:pPr>
        <w:spacing w:after="0" w:line="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4</w:t>
      </w:r>
      <w:r>
        <w:rPr>
          <w:sz w:val="20"/>
          <w:szCs w:val="20"/>
          <w:color w:val="auto"/>
        </w:rPr>
        <w:tab/>
      </w:r>
      <w:r>
        <w:rPr>
          <w:rFonts w:ascii="Times New Roman" w:cs="Times New Roman" w:eastAsia="Times New Roman" w:hAnsi="Times New Roman"/>
          <w:sz w:val="21"/>
          <w:szCs w:val="21"/>
          <w:color w:val="auto"/>
        </w:rPr>
        <w:t>RESEARCH</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Joint Research Plans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Joint Research Activities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Joint Research Term Extension</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Seagen Research Activities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Additional Conjugation Candidates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Seagen-Provided Property</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color w:val="auto"/>
        </w:rPr>
        <w:t>Nurix-Provided Property</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color w:val="auto"/>
        </w:rPr>
        <w:t>Information Sharing</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color w:val="auto"/>
        </w:rPr>
        <w:t>Records Retention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color w:val="auto"/>
        </w:rPr>
        <w:t>Research Costs</w:t>
      </w:r>
    </w:p>
    <w:p>
      <w:pPr>
        <w:spacing w:after="0" w:line="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5</w:t>
      </w:r>
      <w:r>
        <w:rPr>
          <w:sz w:val="20"/>
          <w:szCs w:val="20"/>
          <w:color w:val="auto"/>
        </w:rPr>
        <w:tab/>
      </w:r>
      <w:r>
        <w:rPr>
          <w:rFonts w:ascii="Times New Roman" w:cs="Times New Roman" w:eastAsia="Times New Roman" w:hAnsi="Times New Roman"/>
          <w:sz w:val="21"/>
          <w:szCs w:val="21"/>
          <w:color w:val="auto"/>
        </w:rPr>
        <w:t>DEGRADER LICENSE OPTION</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Degrader License Option</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Degrader License Option Exercise</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Degrader License Option Period Extension</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Antitrust Filings</w:t>
      </w:r>
    </w:p>
    <w:p>
      <w:pPr>
        <w:spacing w:after="0" w:line="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6</w:t>
      </w:r>
      <w:r>
        <w:rPr>
          <w:sz w:val="20"/>
          <w:szCs w:val="20"/>
          <w:color w:val="auto"/>
        </w:rPr>
        <w:tab/>
      </w:r>
      <w:r>
        <w:rPr>
          <w:rFonts w:ascii="Times New Roman" w:cs="Times New Roman" w:eastAsia="Times New Roman" w:hAnsi="Times New Roman"/>
          <w:sz w:val="21"/>
          <w:szCs w:val="21"/>
          <w:color w:val="auto"/>
        </w:rPr>
        <w:t>DEVELOPMENT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Development</w:t>
      </w:r>
    </w:p>
    <w:p>
      <w:pPr>
        <w:spacing w:after="0" w:line="4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7</w:t>
      </w:r>
      <w:r>
        <w:rPr>
          <w:sz w:val="20"/>
          <w:szCs w:val="20"/>
          <w:color w:val="auto"/>
        </w:rPr>
        <w:tab/>
      </w:r>
      <w:r>
        <w:rPr>
          <w:rFonts w:ascii="Times New Roman" w:cs="Times New Roman" w:eastAsia="Times New Roman" w:hAnsi="Times New Roman"/>
          <w:sz w:val="19"/>
          <w:szCs w:val="19"/>
          <w:color w:val="auto"/>
        </w:rPr>
        <w:t>REGULATORY</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Regulatory Matters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Regulatory Materials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Right of Reference; Access to Data</w:t>
      </w:r>
    </w:p>
    <w:p>
      <w:pPr>
        <w:spacing w:after="0" w:line="44" w:lineRule="exact"/>
        <w:rPr>
          <w:sz w:val="20"/>
          <w:szCs w:val="20"/>
          <w:color w:val="auto"/>
        </w:rPr>
      </w:pPr>
    </w:p>
    <w:p>
      <w:pPr>
        <w:ind w:right="4060"/>
        <w:spacing w:after="0" w:line="281" w:lineRule="auto"/>
        <w:rPr>
          <w:sz w:val="20"/>
          <w:szCs w:val="20"/>
          <w:color w:val="auto"/>
        </w:rPr>
      </w:pPr>
      <w:r>
        <w:rPr>
          <w:rFonts w:ascii="Times New Roman" w:cs="Times New Roman" w:eastAsia="Times New Roman" w:hAnsi="Times New Roman"/>
          <w:sz w:val="22"/>
          <w:szCs w:val="22"/>
          <w:color w:val="auto"/>
        </w:rPr>
        <w:t>ARTICLE 8 MANUFACTURING; PHARMACOVIGILANCE 8.1 General</w:t>
      </w:r>
    </w:p>
    <w:p>
      <w:pPr>
        <w:spacing w:after="0" w:line="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ARTICLE 9</w:t>
      </w:r>
      <w:r>
        <w:rPr>
          <w:sz w:val="20"/>
          <w:szCs w:val="20"/>
          <w:color w:val="auto"/>
        </w:rPr>
        <w:tab/>
      </w:r>
      <w:r>
        <w:rPr>
          <w:rFonts w:ascii="Times New Roman" w:cs="Times New Roman" w:eastAsia="Times New Roman" w:hAnsi="Times New Roman"/>
          <w:sz w:val="21"/>
          <w:szCs w:val="21"/>
          <w:color w:val="auto"/>
        </w:rPr>
        <w:t>COMMERCIALIZATION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200" w:lineRule="exact"/>
        <w:rPr>
          <w:sz w:val="20"/>
          <w:szCs w:val="20"/>
          <w:color w:val="auto"/>
        </w:rPr>
      </w:pPr>
    </w:p>
    <w:p>
      <w:pPr>
        <w:sectPr>
          <w:pgSz w:w="11900" w:h="16838" w:orient="portrait"/>
          <w:cols w:equalWidth="0" w:num="2">
            <w:col w:w="9700" w:space="720"/>
            <w:col w:w="220"/>
          </w:cols>
          <w:pgMar w:left="400" w:top="139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640"/>
          </w:cols>
          <w:pgMar w:left="400" w:top="1391" w:right="859" w:bottom="1440" w:gutter="0" w:footer="0" w:header="0"/>
          <w:type w:val="continuous"/>
        </w:sectPr>
      </w:pPr>
    </w:p>
    <w:bookmarkStart w:id="164" w:name="page165"/>
    <w:bookmarkEnd w:id="164"/>
    <w:p>
      <w:pPr>
        <w:spacing w:after="0" w:line="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Commercialization Responsibility</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Commercialization Diligence</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10</w:t>
      </w:r>
      <w:r>
        <w:rPr>
          <w:sz w:val="20"/>
          <w:szCs w:val="20"/>
          <w:color w:val="auto"/>
        </w:rPr>
        <w:tab/>
      </w:r>
      <w:r>
        <w:rPr>
          <w:rFonts w:ascii="Times New Roman" w:cs="Times New Roman" w:eastAsia="Times New Roman" w:hAnsi="Times New Roman"/>
          <w:sz w:val="21"/>
          <w:szCs w:val="21"/>
          <w:color w:val="auto"/>
        </w:rPr>
        <w:t>GOVERNANCE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Joint Steering Committee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Joint Research Committee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Joint Research Teams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Joint Patent Committee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Alliance Manager</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color w:val="auto"/>
        </w:rPr>
        <w:t>Committee Decisions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color w:val="auto"/>
        </w:rPr>
        <w:t>Scope of Committee Authority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color w:val="auto"/>
        </w:rPr>
        <w:t>Day-to-Day Responsibilities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color w:val="auto"/>
        </w:rPr>
        <w:t>No Services</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11</w:t>
      </w:r>
      <w:r>
        <w:rPr>
          <w:sz w:val="20"/>
          <w:szCs w:val="20"/>
          <w:color w:val="auto"/>
        </w:rPr>
        <w:tab/>
      </w:r>
      <w:r>
        <w:rPr>
          <w:rFonts w:ascii="Times New Roman" w:cs="Times New Roman" w:eastAsia="Times New Roman" w:hAnsi="Times New Roman"/>
          <w:sz w:val="21"/>
          <w:szCs w:val="21"/>
          <w:color w:val="auto"/>
        </w:rPr>
        <w:t>U.S. PROFIT-SHARE OPTION</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U.S. Profit-Share Option</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Exercise of Profit-Share Option</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U.S. Profit-Share Opt-In Veto</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Nurix Opt-Out</w:t>
      </w:r>
    </w:p>
    <w:p>
      <w:pPr>
        <w:spacing w:after="0" w:line="44" w:lineRule="exact"/>
        <w:rPr>
          <w:sz w:val="20"/>
          <w:szCs w:val="20"/>
          <w:color w:val="auto"/>
        </w:rPr>
      </w:pPr>
    </w:p>
    <w:p>
      <w:pPr>
        <w:ind w:right="1940"/>
        <w:spacing w:after="0" w:line="281" w:lineRule="auto"/>
        <w:rPr>
          <w:sz w:val="20"/>
          <w:szCs w:val="20"/>
          <w:color w:val="auto"/>
        </w:rPr>
      </w:pPr>
      <w:r>
        <w:rPr>
          <w:rFonts w:ascii="Times New Roman" w:cs="Times New Roman" w:eastAsia="Times New Roman" w:hAnsi="Times New Roman"/>
          <w:sz w:val="22"/>
          <w:szCs w:val="22"/>
          <w:color w:val="auto"/>
        </w:rPr>
        <w:t>ARTICLE 12 ASSISTANCE; TRANSITION; UPSTREAM LICENSE AGREEMENTS 12.1 Assistance</w:t>
      </w:r>
    </w:p>
    <w:p>
      <w:pPr>
        <w:spacing w:after="0" w:line="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Know-How Transfer</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Upstream License Agreements</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13</w:t>
      </w:r>
      <w:r>
        <w:rPr>
          <w:sz w:val="20"/>
          <w:szCs w:val="20"/>
          <w:color w:val="auto"/>
        </w:rPr>
        <w:tab/>
      </w:r>
      <w:r>
        <w:rPr>
          <w:rFonts w:ascii="Times New Roman" w:cs="Times New Roman" w:eastAsia="Times New Roman" w:hAnsi="Times New Roman"/>
          <w:sz w:val="21"/>
          <w:szCs w:val="21"/>
          <w:color w:val="auto"/>
        </w:rPr>
        <w:t>FINANCIAL TERMS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Upfront Consideration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Joint Research Term Extension Fee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Degrader Target Set [*] Reservation Fee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Research Milestones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Degrader License Option Period Extension Fee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Degrader License Fee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Development and Regulatory Milestones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color w:val="auto"/>
        </w:rPr>
        <w:t>Sales-Based Milestones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Invoice and Payment of Milestone Payments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13.10</w:t>
      </w:r>
      <w:r>
        <w:rPr>
          <w:sz w:val="20"/>
          <w:szCs w:val="20"/>
          <w:color w:val="auto"/>
        </w:rPr>
        <w:tab/>
      </w:r>
      <w:r>
        <w:rPr>
          <w:rFonts w:ascii="Times New Roman" w:cs="Times New Roman" w:eastAsia="Times New Roman" w:hAnsi="Times New Roman"/>
          <w:sz w:val="21"/>
          <w:szCs w:val="21"/>
          <w:color w:val="auto"/>
        </w:rPr>
        <w:t>Royalties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1"/>
          <w:szCs w:val="21"/>
          <w:color w:val="auto"/>
        </w:rPr>
        <w:t>Additional Payment Terms</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14</w:t>
      </w:r>
      <w:r>
        <w:rPr>
          <w:sz w:val="20"/>
          <w:szCs w:val="20"/>
          <w:color w:val="auto"/>
        </w:rPr>
        <w:tab/>
      </w:r>
      <w:r>
        <w:rPr>
          <w:rFonts w:ascii="Times New Roman" w:cs="Times New Roman" w:eastAsia="Times New Roman" w:hAnsi="Times New Roman"/>
          <w:sz w:val="21"/>
          <w:szCs w:val="21"/>
          <w:color w:val="auto"/>
        </w:rPr>
        <w:t>LICENSE GRANT; EXCLUSIVITY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Research Licenses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Licensed Degrader License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Reversion Licenses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Subcontracting</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Sublicensing</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Retained Rights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200" w:lineRule="exact"/>
        <w:rPr>
          <w:sz w:val="20"/>
          <w:szCs w:val="20"/>
          <w:color w:val="auto"/>
        </w:rPr>
      </w:pPr>
    </w:p>
    <w:p>
      <w:pPr>
        <w:sectPr>
          <w:pgSz w:w="11900" w:h="16838" w:orient="portrait"/>
          <w:cols w:equalWidth="0" w:num="2">
            <w:col w:w="9700" w:space="720"/>
            <w:col w:w="220"/>
          </w:cols>
          <w:pgMar w:left="40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640"/>
          </w:cols>
          <w:pgMar w:left="400" w:top="1440" w:right="859" w:bottom="1440" w:gutter="0" w:footer="0" w:header="0"/>
          <w:type w:val="continuous"/>
        </w:sectPr>
      </w:pPr>
    </w:p>
    <w:bookmarkStart w:id="165" w:name="page166"/>
    <w:bookmarkEnd w:id="165"/>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color w:val="auto"/>
        </w:rPr>
        <w:t>Negative Covenant</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color w:val="auto"/>
        </w:rPr>
        <w:t>Certain Uses of Foreground IP</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Exclusivity</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15</w:t>
      </w:r>
      <w:r>
        <w:rPr>
          <w:sz w:val="20"/>
          <w:szCs w:val="20"/>
          <w:color w:val="auto"/>
        </w:rPr>
        <w:tab/>
      </w:r>
      <w:r>
        <w:rPr>
          <w:rFonts w:ascii="Times New Roman" w:cs="Times New Roman" w:eastAsia="Times New Roman" w:hAnsi="Times New Roman"/>
          <w:sz w:val="21"/>
          <w:szCs w:val="21"/>
          <w:color w:val="auto"/>
        </w:rPr>
        <w:t>INTELLECTUAL PROPERTY MATTERS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Prosecution and Maintenance of Foreground IP</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color w:val="auto"/>
        </w:rPr>
        <w:t>Enforcement or Defense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Defense of Third Party Infringement Claims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Recovery</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16</w:t>
      </w:r>
      <w:r>
        <w:rPr>
          <w:sz w:val="20"/>
          <w:szCs w:val="20"/>
          <w:color w:val="auto"/>
        </w:rPr>
        <w:tab/>
      </w:r>
      <w:r>
        <w:rPr>
          <w:rFonts w:ascii="Times New Roman" w:cs="Times New Roman" w:eastAsia="Times New Roman" w:hAnsi="Times New Roman"/>
          <w:sz w:val="21"/>
          <w:szCs w:val="21"/>
          <w:color w:val="auto"/>
        </w:rPr>
        <w:t>CONFIDENTIALITY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Nondisclosure and Non-Use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Exceptions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Authorized Disclosure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Residual Knowledge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Terms of this Agreement</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Securities Filings; Disclosure under Applicable Law</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Publicity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Publications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16.9</w:t>
      </w:r>
      <w:r>
        <w:rPr>
          <w:sz w:val="20"/>
          <w:szCs w:val="20"/>
          <w:color w:val="auto"/>
        </w:rPr>
        <w:tab/>
      </w:r>
      <w:r>
        <w:rPr>
          <w:rFonts w:ascii="Times New Roman" w:cs="Times New Roman" w:eastAsia="Times New Roman" w:hAnsi="Times New Roman"/>
          <w:sz w:val="21"/>
          <w:szCs w:val="21"/>
          <w:color w:val="auto"/>
        </w:rPr>
        <w:t>Use of Names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16.10</w:t>
      </w:r>
      <w:r>
        <w:rPr>
          <w:sz w:val="20"/>
          <w:szCs w:val="20"/>
          <w:color w:val="auto"/>
        </w:rPr>
        <w:tab/>
      </w:r>
      <w:r>
        <w:rPr>
          <w:rFonts w:ascii="Times New Roman" w:cs="Times New Roman" w:eastAsia="Times New Roman" w:hAnsi="Times New Roman"/>
          <w:sz w:val="21"/>
          <w:szCs w:val="21"/>
          <w:color w:val="auto"/>
        </w:rPr>
        <w:t>Clinical Trials Registry</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17</w:t>
      </w:r>
      <w:r>
        <w:rPr>
          <w:sz w:val="20"/>
          <w:szCs w:val="20"/>
          <w:color w:val="auto"/>
        </w:rPr>
        <w:tab/>
      </w:r>
      <w:r>
        <w:rPr>
          <w:rFonts w:ascii="Times New Roman" w:cs="Times New Roman" w:eastAsia="Times New Roman" w:hAnsi="Times New Roman"/>
          <w:sz w:val="21"/>
          <w:szCs w:val="21"/>
          <w:color w:val="auto"/>
        </w:rPr>
        <w:t>REPRESENTATIONS AND WARRANTIES; CLOSING CONDITIONS; COVENANTS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Representations and Warranties of Each Party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Representations and Warranties of Nurix</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Representations and Warranties of Seagen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Covenants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Disclaimer</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18</w:t>
      </w:r>
      <w:r>
        <w:rPr>
          <w:sz w:val="20"/>
          <w:szCs w:val="20"/>
          <w:color w:val="auto"/>
        </w:rPr>
        <w:tab/>
      </w:r>
      <w:r>
        <w:rPr>
          <w:rFonts w:ascii="Times New Roman" w:cs="Times New Roman" w:eastAsia="Times New Roman" w:hAnsi="Times New Roman"/>
          <w:sz w:val="21"/>
          <w:szCs w:val="21"/>
          <w:color w:val="auto"/>
        </w:rPr>
        <w:t>INDEMNIFICATION; INSURANCE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Indemnification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color w:val="auto"/>
        </w:rPr>
        <w:t>Indemnification Procedure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color w:val="auto"/>
        </w:rPr>
        <w:t>Insurance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Limitation of Liability</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19</w:t>
      </w:r>
      <w:r>
        <w:rPr>
          <w:sz w:val="20"/>
          <w:szCs w:val="20"/>
          <w:color w:val="auto"/>
        </w:rPr>
        <w:tab/>
      </w:r>
      <w:r>
        <w:rPr>
          <w:rFonts w:ascii="Times New Roman" w:cs="Times New Roman" w:eastAsia="Times New Roman" w:hAnsi="Times New Roman"/>
          <w:sz w:val="21"/>
          <w:szCs w:val="21"/>
          <w:color w:val="auto"/>
        </w:rPr>
        <w:t>TERM AND TERMINATION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color w:val="auto"/>
        </w:rPr>
        <w:t>Term; Expiration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Termination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Effects of Expiration and Termination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19.4</w:t>
      </w:r>
      <w:r>
        <w:rPr>
          <w:sz w:val="20"/>
          <w:szCs w:val="20"/>
          <w:color w:val="auto"/>
        </w:rPr>
        <w:tab/>
      </w:r>
      <w:r>
        <w:rPr>
          <w:rFonts w:ascii="Times New Roman" w:cs="Times New Roman" w:eastAsia="Times New Roman" w:hAnsi="Times New Roman"/>
          <w:sz w:val="21"/>
          <w:szCs w:val="21"/>
          <w:color w:val="auto"/>
        </w:rPr>
        <w:t>Surviving Provisions</w:t>
      </w:r>
    </w:p>
    <w:p>
      <w:pPr>
        <w:spacing w:after="0" w:line="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ARTICLE 20</w:t>
      </w:r>
      <w:r>
        <w:rPr>
          <w:sz w:val="20"/>
          <w:szCs w:val="20"/>
          <w:color w:val="auto"/>
        </w:rPr>
        <w:tab/>
      </w:r>
      <w:r>
        <w:rPr>
          <w:rFonts w:ascii="Times New Roman" w:cs="Times New Roman" w:eastAsia="Times New Roman" w:hAnsi="Times New Roman"/>
          <w:sz w:val="21"/>
          <w:szCs w:val="21"/>
          <w:color w:val="auto"/>
        </w:rPr>
        <w:t>MISCELLANEOUS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color w:val="auto"/>
        </w:rPr>
        <w:t>Severability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color w:val="auto"/>
        </w:rPr>
        <w:t>Notices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color w:val="auto"/>
        </w:rPr>
        <w:t>Force Majeure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pacing w:after="0" w:line="200" w:lineRule="exact"/>
        <w:rPr>
          <w:sz w:val="20"/>
          <w:szCs w:val="20"/>
          <w:color w:val="auto"/>
        </w:rPr>
      </w:pPr>
    </w:p>
    <w:p>
      <w:pPr>
        <w:sectPr>
          <w:pgSz w:w="11900" w:h="16838" w:orient="portrait"/>
          <w:cols w:equalWidth="0" w:num="2">
            <w:col w:w="9700" w:space="720"/>
            <w:col w:w="220"/>
          </w:cols>
          <w:pgMar w:left="40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640"/>
          </w:cols>
          <w:pgMar w:left="400" w:top="1440" w:right="859" w:bottom="1440" w:gutter="0" w:footer="0" w:header="0"/>
          <w:type w:val="continuous"/>
        </w:sectPr>
      </w:pPr>
    </w:p>
    <w:bookmarkStart w:id="166" w:name="page167"/>
    <w:bookmarkEnd w:id="16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20.4</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Assignment; Change of Control</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20.5</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Waivers, Amendments and Modifications</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20.6</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Choice of Law; Dispute Resolution; Jurisdiction</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20.7</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Relationship of the Parties</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20.8</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Fees and Expenses</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20.9</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Third Party Beneficiaries</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20.10</w:t>
            </w:r>
          </w:p>
        </w:tc>
        <w:tc>
          <w:tcPr>
            <w:tcW w:w="4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Entire Agreement</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20.11</w:t>
            </w:r>
          </w:p>
        </w:tc>
        <w:tc>
          <w:tcPr>
            <w:tcW w:w="4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Counterparts</w:t>
            </w:r>
          </w:p>
        </w:tc>
      </w:tr>
      <w:tr>
        <w:trPr>
          <w:trHeight w:val="297"/>
        </w:trPr>
        <w:tc>
          <w:tcPr>
            <w:tcW w:w="4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20.12  Equitable Relief; Cumulative Remedies</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20.13</w:t>
            </w:r>
          </w:p>
        </w:tc>
        <w:tc>
          <w:tcPr>
            <w:tcW w:w="4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Interpretation</w:t>
            </w:r>
          </w:p>
        </w:tc>
      </w:tr>
      <w:tr>
        <w:trPr>
          <w:trHeight w:val="297"/>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20.14</w:t>
            </w:r>
          </w:p>
        </w:tc>
        <w:tc>
          <w:tcPr>
            <w:tcW w:w="4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Further Assurances</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SCHEDULES</w:t>
      </w:r>
    </w:p>
    <w:p>
      <w:pPr>
        <w:spacing w:after="0" w:line="291" w:lineRule="exact"/>
        <w:rPr>
          <w:sz w:val="20"/>
          <w:szCs w:val="20"/>
          <w:color w:val="auto"/>
        </w:rPr>
      </w:pPr>
    </w:p>
    <w:p>
      <w:pPr>
        <w:ind w:left="580"/>
        <w:spacing w:after="0"/>
        <w:tabs>
          <w:tab w:leader="none" w:pos="2100" w:val="left"/>
        </w:tabs>
        <w:rPr>
          <w:sz w:val="20"/>
          <w:szCs w:val="20"/>
          <w:color w:val="auto"/>
        </w:rPr>
      </w:pPr>
      <w:r>
        <w:rPr>
          <w:rFonts w:ascii="Times New Roman" w:cs="Times New Roman" w:eastAsia="Times New Roman" w:hAnsi="Times New Roman"/>
          <w:sz w:val="22"/>
          <w:szCs w:val="22"/>
          <w:color w:val="auto"/>
        </w:rPr>
        <w:t>Schedule 2.2.1</w:t>
      </w:r>
      <w:r>
        <w:rPr>
          <w:sz w:val="20"/>
          <w:szCs w:val="20"/>
          <w:color w:val="auto"/>
        </w:rPr>
        <w:tab/>
      </w:r>
      <w:r>
        <w:rPr>
          <w:rFonts w:ascii="Times New Roman" w:cs="Times New Roman" w:eastAsia="Times New Roman" w:hAnsi="Times New Roman"/>
          <w:sz w:val="21"/>
          <w:szCs w:val="21"/>
          <w:color w:val="auto"/>
        </w:rPr>
        <w:t>Initial Degrader Target Sets</w:t>
      </w:r>
    </w:p>
    <w:p>
      <w:pPr>
        <w:spacing w:after="0" w:line="206" w:lineRule="exact"/>
        <w:rPr>
          <w:sz w:val="20"/>
          <w:szCs w:val="20"/>
          <w:color w:val="auto"/>
        </w:rPr>
      </w:pPr>
    </w:p>
    <w:p>
      <w:pPr>
        <w:ind w:left="580"/>
        <w:spacing w:after="0"/>
        <w:tabs>
          <w:tab w:leader="none" w:pos="1940" w:val="left"/>
        </w:tabs>
        <w:rPr>
          <w:sz w:val="20"/>
          <w:szCs w:val="20"/>
          <w:color w:val="auto"/>
        </w:rPr>
      </w:pPr>
      <w:r>
        <w:rPr>
          <w:rFonts w:ascii="Times New Roman" w:cs="Times New Roman" w:eastAsia="Times New Roman" w:hAnsi="Times New Roman"/>
          <w:sz w:val="22"/>
          <w:szCs w:val="22"/>
          <w:color w:val="auto"/>
        </w:rPr>
        <w:t>Schedule 4.6</w:t>
      </w:r>
      <w:r>
        <w:rPr>
          <w:sz w:val="20"/>
          <w:szCs w:val="20"/>
          <w:color w:val="auto"/>
        </w:rPr>
        <w:tab/>
      </w:r>
      <w:r>
        <w:rPr>
          <w:rFonts w:ascii="Times New Roman" w:cs="Times New Roman" w:eastAsia="Times New Roman" w:hAnsi="Times New Roman"/>
          <w:sz w:val="21"/>
          <w:szCs w:val="21"/>
          <w:color w:val="auto"/>
        </w:rPr>
        <w:t>Form of Material Transfer Agreement</w:t>
      </w:r>
    </w:p>
    <w:p>
      <w:pPr>
        <w:spacing w:after="0" w:line="206" w:lineRule="exact"/>
        <w:rPr>
          <w:sz w:val="20"/>
          <w:szCs w:val="20"/>
          <w:color w:val="auto"/>
        </w:rPr>
      </w:pPr>
    </w:p>
    <w:p>
      <w:pPr>
        <w:ind w:left="580"/>
        <w:spacing w:after="0"/>
        <w:tabs>
          <w:tab w:leader="none" w:pos="2160" w:val="left"/>
        </w:tabs>
        <w:rPr>
          <w:sz w:val="20"/>
          <w:szCs w:val="20"/>
          <w:color w:val="auto"/>
        </w:rPr>
      </w:pPr>
      <w:r>
        <w:rPr>
          <w:rFonts w:ascii="Times New Roman" w:cs="Times New Roman" w:eastAsia="Times New Roman" w:hAnsi="Times New Roman"/>
          <w:sz w:val="22"/>
          <w:szCs w:val="22"/>
          <w:color w:val="auto"/>
        </w:rPr>
        <w:t>Schedule 10.3.1</w:t>
      </w:r>
      <w:r>
        <w:rPr>
          <w:sz w:val="20"/>
          <w:szCs w:val="20"/>
          <w:color w:val="auto"/>
        </w:rPr>
        <w:tab/>
      </w:r>
      <w:r>
        <w:rPr>
          <w:rFonts w:ascii="Times New Roman" w:cs="Times New Roman" w:eastAsia="Times New Roman" w:hAnsi="Times New Roman"/>
          <w:sz w:val="21"/>
          <w:szCs w:val="21"/>
          <w:color w:val="auto"/>
        </w:rPr>
        <w:t>Initial Joint Research Team Membership</w:t>
      </w:r>
    </w:p>
    <w:p>
      <w:pPr>
        <w:spacing w:after="0" w:line="206" w:lineRule="exact"/>
        <w:rPr>
          <w:sz w:val="20"/>
          <w:szCs w:val="20"/>
          <w:color w:val="auto"/>
        </w:rPr>
      </w:pPr>
    </w:p>
    <w:p>
      <w:pPr>
        <w:ind w:left="580"/>
        <w:spacing w:after="0"/>
        <w:tabs>
          <w:tab w:leader="none" w:pos="2200" w:val="left"/>
        </w:tabs>
        <w:rPr>
          <w:sz w:val="20"/>
          <w:szCs w:val="20"/>
          <w:color w:val="auto"/>
        </w:rPr>
      </w:pPr>
      <w:r>
        <w:rPr>
          <w:rFonts w:ascii="Times New Roman" w:cs="Times New Roman" w:eastAsia="Times New Roman" w:hAnsi="Times New Roman"/>
          <w:sz w:val="22"/>
          <w:szCs w:val="22"/>
          <w:color w:val="auto"/>
        </w:rPr>
        <w:t>Schedule 11.1A</w:t>
      </w:r>
      <w:r>
        <w:rPr>
          <w:sz w:val="20"/>
          <w:szCs w:val="20"/>
          <w:color w:val="auto"/>
        </w:rPr>
        <w:tab/>
      </w:r>
      <w:r>
        <w:rPr>
          <w:rFonts w:ascii="Times New Roman" w:cs="Times New Roman" w:eastAsia="Times New Roman" w:hAnsi="Times New Roman"/>
          <w:sz w:val="21"/>
          <w:szCs w:val="21"/>
          <w:color w:val="auto"/>
        </w:rPr>
        <w:t>Profit-Share Product Agreement Terms</w:t>
      </w:r>
    </w:p>
    <w:p>
      <w:pPr>
        <w:spacing w:after="0" w:line="206" w:lineRule="exact"/>
        <w:rPr>
          <w:sz w:val="20"/>
          <w:szCs w:val="20"/>
          <w:color w:val="auto"/>
        </w:rPr>
      </w:pPr>
    </w:p>
    <w:p>
      <w:pPr>
        <w:ind w:left="580"/>
        <w:spacing w:after="0"/>
        <w:tabs>
          <w:tab w:leader="none" w:pos="2180" w:val="left"/>
        </w:tabs>
        <w:rPr>
          <w:sz w:val="20"/>
          <w:szCs w:val="20"/>
          <w:color w:val="auto"/>
        </w:rPr>
      </w:pPr>
      <w:r>
        <w:rPr>
          <w:rFonts w:ascii="Times New Roman" w:cs="Times New Roman" w:eastAsia="Times New Roman" w:hAnsi="Times New Roman"/>
          <w:sz w:val="22"/>
          <w:szCs w:val="22"/>
          <w:color w:val="auto"/>
        </w:rPr>
        <w:t>Schedule 11.1B</w:t>
      </w:r>
      <w:r>
        <w:rPr>
          <w:sz w:val="20"/>
          <w:szCs w:val="20"/>
          <w:color w:val="auto"/>
        </w:rPr>
        <w:tab/>
      </w:r>
      <w:r>
        <w:rPr>
          <w:rFonts w:ascii="Times New Roman" w:cs="Times New Roman" w:eastAsia="Times New Roman" w:hAnsi="Times New Roman"/>
          <w:sz w:val="21"/>
          <w:szCs w:val="21"/>
          <w:color w:val="auto"/>
        </w:rPr>
        <w:t>Co-Promotion Agreement Terms</w:t>
      </w:r>
    </w:p>
    <w:p>
      <w:pPr>
        <w:spacing w:after="0" w:line="206" w:lineRule="exact"/>
        <w:rPr>
          <w:sz w:val="20"/>
          <w:szCs w:val="20"/>
          <w:color w:val="auto"/>
        </w:rPr>
      </w:pPr>
    </w:p>
    <w:p>
      <w:pPr>
        <w:ind w:left="580"/>
        <w:spacing w:after="0"/>
        <w:tabs>
          <w:tab w:leader="none" w:pos="2220" w:val="left"/>
        </w:tabs>
        <w:rPr>
          <w:sz w:val="20"/>
          <w:szCs w:val="20"/>
          <w:color w:val="auto"/>
        </w:rPr>
      </w:pPr>
      <w:r>
        <w:rPr>
          <w:rFonts w:ascii="Times New Roman" w:cs="Times New Roman" w:eastAsia="Times New Roman" w:hAnsi="Times New Roman"/>
          <w:sz w:val="22"/>
          <w:szCs w:val="22"/>
          <w:color w:val="auto"/>
        </w:rPr>
        <w:t>Schedule 16.7.1</w:t>
      </w:r>
      <w:r>
        <w:rPr>
          <w:sz w:val="20"/>
          <w:szCs w:val="20"/>
          <w:color w:val="auto"/>
        </w:rPr>
        <w:tab/>
      </w:r>
      <w:r>
        <w:rPr>
          <w:rFonts w:ascii="Times New Roman" w:cs="Times New Roman" w:eastAsia="Times New Roman" w:hAnsi="Times New Roman"/>
          <w:sz w:val="21"/>
          <w:szCs w:val="21"/>
          <w:color w:val="auto"/>
        </w:rPr>
        <w:t>Nurix Press Release</w:t>
      </w:r>
    </w:p>
    <w:p>
      <w:pPr>
        <w:spacing w:after="0" w:line="206" w:lineRule="exact"/>
        <w:rPr>
          <w:sz w:val="20"/>
          <w:szCs w:val="20"/>
          <w:color w:val="auto"/>
        </w:rPr>
      </w:pPr>
    </w:p>
    <w:p>
      <w:pPr>
        <w:ind w:left="580"/>
        <w:spacing w:after="0"/>
        <w:tabs>
          <w:tab w:leader="none" w:pos="2280" w:val="left"/>
        </w:tabs>
        <w:rPr>
          <w:sz w:val="20"/>
          <w:szCs w:val="20"/>
          <w:color w:val="auto"/>
        </w:rPr>
      </w:pPr>
      <w:r>
        <w:rPr>
          <w:rFonts w:ascii="Times New Roman" w:cs="Times New Roman" w:eastAsia="Times New Roman" w:hAnsi="Times New Roman"/>
          <w:sz w:val="22"/>
          <w:szCs w:val="22"/>
          <w:color w:val="auto"/>
        </w:rPr>
        <w:t>Schedule 17.2(a)</w:t>
      </w:r>
      <w:r>
        <w:rPr>
          <w:sz w:val="20"/>
          <w:szCs w:val="20"/>
          <w:color w:val="auto"/>
        </w:rPr>
        <w:tab/>
      </w:r>
      <w:r>
        <w:rPr>
          <w:rFonts w:ascii="Times New Roman" w:cs="Times New Roman" w:eastAsia="Times New Roman" w:hAnsi="Times New Roman"/>
          <w:sz w:val="21"/>
          <w:szCs w:val="21"/>
          <w:color w:val="auto"/>
        </w:rPr>
        <w:t>Nurix Patents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2">
            <w:col w:w="9700" w:space="720"/>
            <w:col w:w="220"/>
          </w:cols>
          <w:pgMar w:left="400" w:top="1440" w:right="85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39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COLLABORATION AND LICENSE AGREEMENT</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September 6, 2023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between Nurix Therapeutics, Inc., a Delaware corporation (“</w:t>
      </w:r>
      <w:r>
        <w:rPr>
          <w:rFonts w:ascii="Times New Roman" w:cs="Times New Roman" w:eastAsia="Times New Roman" w:hAnsi="Times New Roman"/>
          <w:sz w:val="21"/>
          <w:szCs w:val="21"/>
          <w:b w:val="1"/>
          <w:bCs w:val="1"/>
          <w:color w:val="auto"/>
        </w:rPr>
        <w:t>Nurix</w:t>
      </w:r>
      <w:r>
        <w:rPr>
          <w:rFonts w:ascii="Times New Roman" w:cs="Times New Roman" w:eastAsia="Times New Roman" w:hAnsi="Times New Roman"/>
          <w:sz w:val="21"/>
          <w:szCs w:val="21"/>
          <w:color w:val="auto"/>
        </w:rPr>
        <w:t>”), and Seagen Inc., a Delaware corporation (“</w:t>
      </w:r>
      <w:r>
        <w:rPr>
          <w:rFonts w:ascii="Times New Roman" w:cs="Times New Roman" w:eastAsia="Times New Roman" w:hAnsi="Times New Roman"/>
          <w:sz w:val="21"/>
          <w:szCs w:val="21"/>
          <w:b w:val="1"/>
          <w:bCs w:val="1"/>
          <w:color w:val="auto"/>
        </w:rPr>
        <w:t>Seagen</w:t>
      </w:r>
      <w:r>
        <w:rPr>
          <w:rFonts w:ascii="Times New Roman" w:cs="Times New Roman" w:eastAsia="Times New Roman" w:hAnsi="Times New Roman"/>
          <w:sz w:val="21"/>
          <w:szCs w:val="21"/>
          <w:color w:val="auto"/>
        </w:rPr>
        <w:t>”). Nurix and Seagen are each referred to herein by name or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Nurix is a biotechnology company developing therapies that control ubiquitin E3 ligases, the key enzymes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for protein breakdown in human cells, which have applications in the treatment of various diseases.</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Seagen is a global biotechnology company with expertise in researching, developing and commercializing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targeted therapies to treat cancer, and owns or controls proprietary technology relating to antibody drug conjugates.</w:t>
      </w:r>
    </w:p>
    <w:p>
      <w:pPr>
        <w:spacing w:after="0" w:line="12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Seagen has identified, or will identify under the terms and conditions of this Agreement, [*]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Degrader Target Sets (as defined below), each containing [*] Degrader Targets (as defined below) that are homologues of each other.</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Nurix wishes to grant Seagen, and Seagen wishes to receive, an exclusive option (as further described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to obtain an exclusive license to develop and commercialize certain compounds created by Nurix during the Joint Research Term (as defined below) that are optimized (as construed in accordance with Section 20.13.2(n)) to bind to and cause the degradation of one (1) or more Collaboration Degrader Targets (as defined below) in an applicable Collaboration Degrader Target Set (as further described herein). Such Collaboration Degraders may be developed as stand-alone compounds or conjugated to antibodies thereby targeting such Collaboration Degraders to certain cell types via the binding of such antibodies to certain cell-surface proteins (as further described herein).</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may, to the extent permitted herein and during the Degrader License Option Period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for a Collaboration Degrader Target Set, amend such Collaboration Degrader Target Set to remove Degrader Targets from or add one (1) or more available Degrader Targets to such Collaboration Degrader Target Set, including for the purposes of optimizing toxicity or efficacy.</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if Seagen exercises the Degrader License Option with respect to a Collaboration Degrader Target Set,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Collaboration Degrader Target Set will be a Licensed Degrader Target Set, and Seagen will obtain an exclusive license to further research, develop, manufacture and commercialize pharmaceutical products containing the applicable Licensed Degraders created by Nurix and optimized to degrade only such Licensed Degrader Target Set (or Subsets of such Licensed Degrader Target Set) either as stand-alone compounds or as Degrader-Antibody Conjugates in the Field in the Territory (each as defined below), subject to the terms and conditions set forth herein.</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agreements set forth below,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1"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Unless specifically set forth to the contrary herein, the following terms will have the respective meanings set forth below.</w:t>
      </w:r>
    </w:p>
    <w:p>
      <w:pPr>
        <w:spacing w:after="0" w:line="18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Accounting Standard</w:t>
      </w:r>
      <w:r>
        <w:rPr>
          <w:rFonts w:ascii="Times New Roman" w:cs="Times New Roman" w:eastAsia="Times New Roman" w:hAnsi="Times New Roman"/>
          <w:sz w:val="22"/>
          <w:szCs w:val="22"/>
          <w:color w:val="auto"/>
        </w:rPr>
        <w:t>” means, with respect to a Party or its Affiliate or Sublicensee, GAAP or IFRS, as such Party, Affiliate or Sublicensee uses for its financial reporting obligations, in each case, consistently applied.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Acquired Party Family</w:t>
      </w:r>
      <w:r>
        <w:rPr>
          <w:rFonts w:ascii="Times New Roman" w:cs="Times New Roman" w:eastAsia="Times New Roman" w:hAnsi="Times New Roman"/>
          <w:sz w:val="22"/>
          <w:szCs w:val="22"/>
          <w:color w:val="auto"/>
        </w:rPr>
        <w:t>” means, in the case of a Change of Control of a Party, such Party and all of its Affiliates that exist immediately prior to the Change of Control transaction and are subject to such Change of Control transaction, and any direct or indirect subsidiaries thereof created after such Change of Control transaction.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Acquiring Entity</w:t>
      </w:r>
      <w:r>
        <w:rPr>
          <w:rFonts w:ascii="Times New Roman" w:cs="Times New Roman" w:eastAsia="Times New Roman" w:hAnsi="Times New Roman"/>
          <w:sz w:val="22"/>
          <w:szCs w:val="22"/>
          <w:color w:val="auto"/>
        </w:rPr>
        <w:t>” means, in the case of a Change of Control of a Party, the successor in interest, resulting entity, assignee or purchaser, as applicable, of such Party and its Affiliates.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Acquiring Entity Family</w:t>
      </w:r>
      <w:r>
        <w:rPr>
          <w:rFonts w:ascii="Times New Roman" w:cs="Times New Roman" w:eastAsia="Times New Roman" w:hAnsi="Times New Roman"/>
          <w:sz w:val="22"/>
          <w:szCs w:val="22"/>
          <w:color w:val="auto"/>
        </w:rPr>
        <w:t>” means, in the case of a Change of Control of a Party, the Acquiring Entity and its Affiliates existing immediately prior to the closing of the Change of Control transaction together with any future Affiliates of such Party (but excluding the Acquired Party Family).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Action</w:t>
      </w:r>
      <w:r>
        <w:rPr>
          <w:rFonts w:ascii="Times New Roman" w:cs="Times New Roman" w:eastAsia="Times New Roman" w:hAnsi="Times New Roman"/>
          <w:sz w:val="22"/>
          <w:szCs w:val="22"/>
          <w:color w:val="auto"/>
        </w:rPr>
        <w:t>” means any claim, action, suit, arbitration, inquiry, audit, proceeding or investigation by or before any Governmental Authority, court, tribunal, arbitrator or arbitral body.</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Active</w:t>
      </w:r>
      <w:r>
        <w:rPr>
          <w:rFonts w:ascii="Times New Roman" w:cs="Times New Roman" w:eastAsia="Times New Roman" w:hAnsi="Times New Roman"/>
          <w:sz w:val="21"/>
          <w:szCs w:val="21"/>
          <w:color w:val="auto"/>
        </w:rPr>
        <w:t>” is defined in Section 1.41(a).</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Conjugation Candidate</w:t>
      </w:r>
      <w:r>
        <w:rPr>
          <w:rFonts w:ascii="Times New Roman" w:cs="Times New Roman" w:eastAsia="Times New Roman" w:hAnsi="Times New Roman"/>
          <w:sz w:val="21"/>
          <w:szCs w:val="21"/>
          <w:color w:val="auto"/>
        </w:rPr>
        <w:t>” is defined in Section 4.5 (Additional Conjugation Candidates).</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Party, any Person which, directly or indirectly through one (1) or more intermediaries, controls, is controlled by or is under common control with such Party for so long as such Person controls, is controlled by, or is under common control with such Party. For purposes of this Section 1.8 (“Affiliate”) and Section 1.30 (“Change of Control”) only,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defined in the preamble to this Agreement.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 Payments</w:t>
      </w:r>
      <w:r>
        <w:rPr>
          <w:rFonts w:ascii="Times New Roman" w:cs="Times New Roman" w:eastAsia="Times New Roman" w:hAnsi="Times New Roman"/>
          <w:sz w:val="21"/>
          <w:szCs w:val="21"/>
          <w:color w:val="auto"/>
        </w:rPr>
        <w:t>” means any and all payments paid or payable pursuant to this Agreement.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is defined in Section 10.5 (Alliance Manager).</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Ancillary Agreements</w:t>
      </w:r>
      <w:r>
        <w:rPr>
          <w:rFonts w:ascii="Times New Roman" w:cs="Times New Roman" w:eastAsia="Times New Roman" w:hAnsi="Times New Roman"/>
          <w:sz w:val="22"/>
          <w:szCs w:val="22"/>
          <w:color w:val="auto"/>
        </w:rPr>
        <w:t>” means (a) each Nurix Opt-In Agreement (if and when executed); (b) each Reversion Product License Agreement (if and when executed); (c) each Other Reversion License Agreement (if and when executed); and (d) any other agreement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8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between the Parties (or their respective Affiliates) pursuant to this Agreement or an Ancillary Agreement.</w:t>
      </w:r>
    </w:p>
    <w:p>
      <w:pPr>
        <w:spacing w:after="0" w:line="17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Ex-U.S. Net Sales</w:t>
      </w:r>
      <w:r>
        <w:rPr>
          <w:rFonts w:ascii="Times New Roman" w:cs="Times New Roman" w:eastAsia="Times New Roman" w:hAnsi="Times New Roman"/>
          <w:sz w:val="21"/>
          <w:szCs w:val="21"/>
          <w:color w:val="auto"/>
        </w:rPr>
        <w:t>” means, with respect to a Licensed Product, [*].</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Annual Global Net Sales</w:t>
      </w:r>
      <w:r>
        <w:rPr>
          <w:rFonts w:ascii="Times New Roman" w:cs="Times New Roman" w:eastAsia="Times New Roman" w:hAnsi="Times New Roman"/>
          <w:sz w:val="22"/>
          <w:szCs w:val="22"/>
          <w:color w:val="auto"/>
        </w:rPr>
        <w:t>” means, on a Licensed Product-by-Licensed Product basis, [*], calculated in accordance with the Accounting Standard of Seagen, its Affiliate or Sublicensee, as applicable.</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Antibody</w:t>
      </w:r>
      <w:r>
        <w:rPr>
          <w:rFonts w:ascii="Times New Roman" w:cs="Times New Roman" w:eastAsia="Times New Roman" w:hAnsi="Times New Roman"/>
          <w:sz w:val="22"/>
          <w:szCs w:val="22"/>
          <w:color w:val="auto"/>
        </w:rPr>
        <w:t>” means (a) any antibody (whether monospecific, bispecific or multi-specific, fully human, humanized or chimeric, monoclonal or polyclonal, multiple or single chain, recombinant, engineered or naturally occurring) that specifically binds to one (1) or more Cell-Surface Antigens or (b) any antigen binding domain, sequence, portion, derivative, variant or fragment of an antibody described in clause (a).</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Antitrust Filing</w:t>
      </w:r>
      <w:r>
        <w:rPr>
          <w:rFonts w:ascii="Times New Roman" w:cs="Times New Roman" w:eastAsia="Times New Roman" w:hAnsi="Times New Roman"/>
          <w:sz w:val="21"/>
          <w:szCs w:val="21"/>
          <w:color w:val="auto"/>
        </w:rPr>
        <w:t>” is defined in Section 5.2 (Degrader License Option Exercise).</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Antitrust Law</w:t>
      </w:r>
      <w:r>
        <w:rPr>
          <w:rFonts w:ascii="Times New Roman" w:cs="Times New Roman" w:eastAsia="Times New Roman" w:hAnsi="Times New Roman"/>
          <w:sz w:val="22"/>
          <w:szCs w:val="22"/>
          <w:color w:val="auto"/>
        </w:rPr>
        <w:t>” means any Applicable Law that is designed to prohibit, restrict or regulate actions having the purpose or effect of monopolization, lessening of competition or restraint of trade, including the HSR Act.</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laws, statutes, rules, regulations, treaties (including tax treaties), orders, judgments or ordinances having the effect of law of any national, multinational, supranational, federal, state, provincial, county, city or other political subdivision, including, to the extent applicable, the FFDCA, GCP, GLP and GMP, as well as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is defined in Section 20.6.2(a).</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Arbitrators</w:t>
      </w:r>
      <w:r>
        <w:rPr>
          <w:rFonts w:ascii="Times New Roman" w:cs="Times New Roman" w:eastAsia="Times New Roman" w:hAnsi="Times New Roman"/>
          <w:sz w:val="21"/>
          <w:szCs w:val="21"/>
          <w:color w:val="auto"/>
        </w:rPr>
        <w:t>” is defined in Section 20.6.3(a).</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Auditor</w:t>
      </w:r>
      <w:r>
        <w:rPr>
          <w:rFonts w:ascii="Times New Roman" w:cs="Times New Roman" w:eastAsia="Times New Roman" w:hAnsi="Times New Roman"/>
          <w:sz w:val="21"/>
          <w:szCs w:val="21"/>
          <w:color w:val="auto"/>
        </w:rPr>
        <w:t>” is defined in Section 13.11.7(b) (Audit Rights).</w:t>
      </w:r>
    </w:p>
    <w:p>
      <w:pPr>
        <w:spacing w:after="0" w:line="179"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Available Degrader Target</w:t>
      </w:r>
      <w:r>
        <w:rPr>
          <w:rFonts w:ascii="Times New Roman" w:cs="Times New Roman" w:eastAsia="Times New Roman" w:hAnsi="Times New Roman"/>
          <w:sz w:val="22"/>
          <w:szCs w:val="22"/>
          <w:color w:val="auto"/>
        </w:rPr>
        <w:t>” means each Degrader Target that, as of the time of such determination in accordance with Article 3 (Gatekeeping), is not (a) an Excluded Degrader Target, (b) a Collaboration Degrader Target, (c) a Licensed Degrader Target, or (d) in any Reserved Degrader Target Set.</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 Degrader Target Set</w:t>
      </w:r>
      <w:r>
        <w:rPr>
          <w:rFonts w:ascii="Times New Roman" w:cs="Times New Roman" w:eastAsia="Times New Roman" w:hAnsi="Times New Roman"/>
          <w:sz w:val="21"/>
          <w:szCs w:val="21"/>
          <w:color w:val="auto"/>
        </w:rPr>
        <w:t>” means a Degrader Target Set comprising only Available Degrader Targets.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Background IP</w:t>
      </w:r>
      <w:r>
        <w:rPr>
          <w:rFonts w:ascii="Times New Roman" w:cs="Times New Roman" w:eastAsia="Times New Roman" w:hAnsi="Times New Roman"/>
          <w:sz w:val="21"/>
          <w:szCs w:val="21"/>
          <w:color w:val="auto"/>
        </w:rPr>
        <w:t>” is defined in Section 15.1.1 (Background IP).</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a Saturday or Sunday or any day on which commercial banks in San Francisco, California or New York, New York are authorized or required by Applicable Law to remain closed; or (b) December 26 through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70" w:name="page171"/>
    <w:bookmarkEnd w:id="170"/>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xml:space="preserve">” means each of the three (3) month periods ending March 31, June 30, September 30 and December 31;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first Calendar Quarter of the Term extends from the Effective Date to the end of the then-current Calendar Quarter, and the last Calendar Quarter extends from the first day of the last Calendar Quarter during the Term until the effective date of the termination or expiration of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xml:space="preserve">” means each period beginning on January 1 and ending on December 31;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first Calendar Year of the Term extends from the Effective Date to December 31 of the then-current Calendar Year, and the last Calendar Year extends from January 1 of the last Calendar Year during the Term until the effective date of the termination or expiration of this Agreement.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Cell-Surface Antigen</w:t>
      </w:r>
      <w:r>
        <w:rPr>
          <w:rFonts w:ascii="Times New Roman" w:cs="Times New Roman" w:eastAsia="Times New Roman" w:hAnsi="Times New Roman"/>
          <w:sz w:val="22"/>
          <w:szCs w:val="22"/>
          <w:color w:val="auto"/>
        </w:rPr>
        <w:t>” means the extracellular domain of any transmembrane cell-surface protein or other cell-surface molecule that is capable of binding to an Antibody.</w:t>
      </w:r>
    </w:p>
    <w:p>
      <w:pPr>
        <w:spacing w:after="0" w:line="14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1"/>
          <w:szCs w:val="21"/>
          <w:color w:val="auto"/>
        </w:rPr>
        <w:t>1.30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with respect to a Party, from and after the Effective Date: (a) a merger or consolidation in which (i) such Party is a constituent party, or (ii) an Affiliate of such Party that directly or indirectly controls such Party is a constituent party, except in the case of either clause (i) or (ii) any such merger or consolidation involving such Party or such Affiliate in which the shares of capital stock of such entity outstanding immediately prior to such merger or consolidation continue to represent, or are converted into or are exchanged for shares of capital stock which represent, immediately following such merger or consolidation, fifty percent (50%) or more by voting power of the capital stock of (A) the surviving or resulting corporation or (B) a parent corporation of such surviving or resulting corporation, whether direct or indirect; (b) the sale, lease, transfer, exclusive license or other disposition, in a single transaction or series of related transactions, by such Party or an Affiliate of such Party of all or substantially all of the assets of such Party and its Affiliates taken as a whole and whether owned directly or indirectly through Affiliates (except where such sale, lease, transfer, exclusive license or other disposition is to an Affiliate of such Party existing immediately prior to such time); or (c) any “person” or “group,” as such terms are defined in Sections 13(d) and 14(d) of the U.S. Securities Exchange Act of 1934, in a single transaction or series of related transactions, becomes the beneficial owner as defined under the U.S. Securities Exchange Act of 1934, directly or indirectly, whether by purchase or acquisition or agreement to act in concert or otherwise, of fifty percent (50%) or more by voting power of the then-outstanding capital stock or other equity interests of such Party. Notwithstanding the foregoing, the following shall not constitute a Change of Control: (x) a sale of capital stock to underwriters in an underwritten public offering of a Party’s capital stock solely for the purpose of financing, or (y) the acquisition of securities of a Party or its Affiliate by any Person or group of Persons that acquires such securities in a transaction or series of related transactions the primary purpose of which is to obtain financing for such Party or Affiliate through the issuance of equity securities.</w:t>
      </w:r>
    </w:p>
    <w:p>
      <w:pPr>
        <w:spacing w:after="0" w:line="15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any clinical investigation, as that term is defined in FDA regulations at 21 C.F.R. § 312.3, or a similar clinical investigation conducted on human subjects, as defined under Applicable Law outside the United States. Without limiting the foregoing, Clinical Trial includes any Phase 1 Clinical Trial, Phase 1/2 Clinical Trial, Phase 2 Clinical Trial, Phase 3 Clinical Trial or Pivotal Trial.</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CMC</w:t>
      </w:r>
      <w:r>
        <w:rPr>
          <w:rFonts w:ascii="Times New Roman" w:cs="Times New Roman" w:eastAsia="Times New Roman" w:hAnsi="Times New Roman"/>
          <w:sz w:val="21"/>
          <w:szCs w:val="21"/>
          <w:color w:val="auto"/>
        </w:rPr>
        <w:t>” means chemistry manufacturing and controls.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Co-Promotion Agreement</w:t>
      </w:r>
      <w:r>
        <w:rPr>
          <w:rFonts w:ascii="Times New Roman" w:cs="Times New Roman" w:eastAsia="Times New Roman" w:hAnsi="Times New Roman"/>
          <w:sz w:val="21"/>
          <w:szCs w:val="21"/>
          <w:color w:val="auto"/>
        </w:rPr>
        <w:t>” is defined in Section 11.1 (U.S. Profit-Share Option).</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Collaboration Degrader</w:t>
      </w:r>
      <w:r>
        <w:rPr>
          <w:rFonts w:ascii="Times New Roman" w:cs="Times New Roman" w:eastAsia="Times New Roman" w:hAnsi="Times New Roman"/>
          <w:sz w:val="22"/>
          <w:szCs w:val="22"/>
          <w:color w:val="auto"/>
        </w:rPr>
        <w:t>” means, with respect to a Collaboration Degrader Target Set, a Degrader that (a) is discovered, designed, synthesized, studied, characterized,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171" w:name="page172"/>
    <w:bookmarkEnd w:id="171"/>
    <w:p>
      <w:pPr>
        <w:jc w:val="both"/>
        <w:spacing w:after="0" w:line="221" w:lineRule="auto"/>
        <w:rPr>
          <w:sz w:val="20"/>
          <w:szCs w:val="20"/>
          <w:color w:val="auto"/>
        </w:rPr>
      </w:pPr>
      <w:r>
        <w:rPr>
          <w:rFonts w:ascii="Times New Roman" w:cs="Times New Roman" w:eastAsia="Times New Roman" w:hAnsi="Times New Roman"/>
          <w:sz w:val="21"/>
          <w:szCs w:val="21"/>
          <w:color w:val="auto"/>
        </w:rPr>
        <w:t>optimized or validated under the applicable Research Program and during the applicable Joint Research Term with respect to such Collaboration Degrader Target Set under this Agreement; and (b) is Directed To such Collaboration Degrader Target Set. For clarity, (x) a Collaboration Degrader may or may not contain one (1) or more attachment moieties in its Proteasome Protein Binder, Degrader Spacer, or Degrader Target Binder that enable the conjugation of such Collaboration Degrader to a Degrader-Antibody Linker, and (y) a Collaboration Degrader Directed To a Collaboration Degrader Target Set that, as of the time of determination, is simultaneously both a Collaboration Degrader Target Set and a Licensed Degrader Target Set (as further described in Section 1.38 (“Collaboration Degrader Target Set”)) shall be a Collaboration Degrader Directed To such Collaboration Degrader Target Set and, simultaneously, a Licensed Degrader Directed To such Licensed Degrader Target Set, until the expiration of the Joint Research Term applicable to such Collaboration Degrader Target Set (subsequently, upon expiration of the applicable Joint Research Term, such Degrader shall be a Licensed Degrader and not a Collaboration Degrader).</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Collaboration Degrader-Antibody Conjugate</w:t>
      </w:r>
      <w:r>
        <w:rPr>
          <w:rFonts w:ascii="Times New Roman" w:cs="Times New Roman" w:eastAsia="Times New Roman" w:hAnsi="Times New Roman"/>
          <w:sz w:val="22"/>
          <w:szCs w:val="22"/>
          <w:color w:val="auto"/>
        </w:rPr>
        <w:t>” means, with respect to a Collaboration Degrader Target Set, a Degrader-Antibody Conjugate that (a) contains a Collaboration Degrader Directed To such Collaboration Degrader Target Set, and (b) does not contain any Degrader that is not a Collaboration Degrader or a Licensed Degrader.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Collaboration Degrader Criteria</w:t>
      </w:r>
      <w:r>
        <w:rPr>
          <w:rFonts w:ascii="Times New Roman" w:cs="Times New Roman" w:eastAsia="Times New Roman" w:hAnsi="Times New Roman"/>
          <w:sz w:val="22"/>
          <w:szCs w:val="22"/>
          <w:color w:val="auto"/>
        </w:rPr>
        <w:t>” means, with respect to a Collaboration Degrader Target Set, the set of key properties (as described in the applicable Joint Research Plan) of Collaboration Degraders Directed To such Collaboration Degrader Target Set that must be demonstrated in order to achieve Research Milestone [*].</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Collaboration Degrader Target</w:t>
      </w:r>
      <w:r>
        <w:rPr>
          <w:rFonts w:ascii="Times New Roman" w:cs="Times New Roman" w:eastAsia="Times New Roman" w:hAnsi="Times New Roman"/>
          <w:sz w:val="22"/>
          <w:szCs w:val="22"/>
          <w:color w:val="auto"/>
        </w:rPr>
        <w:t xml:space="preserve">” means each Degrader Target in a Collaboration Degrader Target Set from and after the applicable Degrader Target Set Selection Date (including, for clarity, each Initial Degrader Target Set and [*], and as each of the foregoing may be replaced by any applicable Replacement Degrader Target 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Degrader Target shall no longer be a Collaboration Degrader Target from and after the time that (a) such Degrader Target becomes a Former Collaboration Degrader Target, or (b) the applicable Collaboration Degrader Target Set becomes a Licensed Degrader Target Set and is no longer a Collaboration Degrader Target Set. For clarity, a Collaboration Degrader Target Set may become a Licensed Degrader Target Set and remain a Collaboration Degrader Target Set as further described in Section 1.38 (“Collaboration Degrader Target Set”).</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Collaboration Degrader Target Set</w:t>
      </w:r>
      <w:r>
        <w:rPr>
          <w:rFonts w:ascii="Times New Roman" w:cs="Times New Roman" w:eastAsia="Times New Roman" w:hAnsi="Times New Roman"/>
          <w:sz w:val="22"/>
          <w:szCs w:val="22"/>
          <w:color w:val="auto"/>
        </w:rPr>
        <w:t xml:space="preserve">” means (a) each of the [*] Initial Degrader Target Sets, and (b) [*], in each case ((a) and (b)), as may be replaced with a Replacement Degrader Target Set in accordance with Section 2.2.3 (Collaboration Degrader Target Set Replacement Right) or revised in accordance with Section 2.4 (Addition of Degrader Targets), Section 2.5 (Removal of Collaboration Degrader Targets), or Section 2.6 (Licensed Degrader Target Sets),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each such Collaboration Degrader Target Set described above shall no longer be considered a Collaboration Degrader Target Set upon the earlier of (i) such Collaboration Degrader Target Set becoming a Former Collaboration Degrader Target Set, or (ii) both expiration of the Joint Research Term applicable to such Collaboration Degrader Target Set and occurrence of the Degrader License Effective Date with respect to such Collaboration Degrader Target Set. For clarity, (x) there can be no more than [*]Collaboration Degrader Target Sets at any one time, and (y) if the Degrader License Effective Date with respect to a Collaboration Degrader Target Set occurs before the expiration of the Joint Research Term applicable to such Collaboration Degrader Target Set, such Collaboration Degrader Target Set shall be, simultaneously, both a Collaboration Degrader Target Set and a Licensed Degrader Target Set, until the expiration of such Joint Research Term (subsequently, upon expiration of the applicable Joint Research Term, such Degrader Target Set shall be a Licensed Degrader Target Set and not a Collaboration Degrader Target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72" w:name="page173"/>
    <w:bookmarkEnd w:id="172"/>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b w:val="1"/>
          <w:bCs w:val="1"/>
          <w:color w:val="auto"/>
        </w:rPr>
        <w:t>Collaboration Degrader Target Set Replacement Right</w:t>
      </w:r>
      <w:r>
        <w:rPr>
          <w:rFonts w:ascii="Times New Roman" w:cs="Times New Roman" w:eastAsia="Times New Roman" w:hAnsi="Times New Roman"/>
          <w:sz w:val="22"/>
          <w:szCs w:val="22"/>
          <w:color w:val="auto"/>
        </w:rPr>
        <w:t>” is defined in Section 2.2.3 (Collaboration Degrader Target Set Replacement Right).</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Degrader Target Set Replacement Term</w:t>
      </w:r>
      <w:r>
        <w:rPr>
          <w:rFonts w:ascii="Times New Roman" w:cs="Times New Roman" w:eastAsia="Times New Roman" w:hAnsi="Times New Roman"/>
          <w:sz w:val="21"/>
          <w:szCs w:val="21"/>
          <w:color w:val="auto"/>
        </w:rPr>
        <w:t>” means:</w:t>
      </w:r>
    </w:p>
    <w:p>
      <w:pPr>
        <w:spacing w:after="0" w:line="183" w:lineRule="exact"/>
        <w:rPr>
          <w:sz w:val="20"/>
          <w:szCs w:val="20"/>
          <w:color w:val="auto"/>
        </w:rPr>
      </w:pPr>
    </w:p>
    <w:p>
      <w:pPr>
        <w:jc w:val="both"/>
        <w:ind w:left="660" w:firstLine="644"/>
        <w:spacing w:after="0" w:line="220" w:lineRule="auto"/>
        <w:tabs>
          <w:tab w:leader="none" w:pos="195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 the period of time beginning on the Effective Date and ending on the first to occur of (i) achievement of the [*] (i.e., Research Milestone [*]) with respect to such Initial Degrader Target Set, (ii) occurrence of the Degrader License Exercise Date with respect to such Initial Degrader Target Set, or (iii) the [*] of the Effective Date,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 the period of time beginning on the applicable Degrader Target Set Selection Date and ending on the first to occur of (i) achievement of the [*]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Research Milestone [*]) with respect to such [*], (ii) occurrence of the Degrader License Exercise Date with respect to such [*], or (iii) the later to occur of (A) the [*] of the Effective Date or (B) the [*] of the Degrader Target Set Selection Date for [*].</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means:</w:t>
      </w:r>
    </w:p>
    <w:p>
      <w:pPr>
        <w:spacing w:after="0" w:line="183" w:lineRule="exact"/>
        <w:rPr>
          <w:sz w:val="20"/>
          <w:szCs w:val="20"/>
          <w:color w:val="auto"/>
        </w:rPr>
      </w:pPr>
    </w:p>
    <w:p>
      <w:pPr>
        <w:jc w:val="both"/>
        <w:ind w:left="820" w:firstLine="484"/>
        <w:spacing w:after="0" w:line="225" w:lineRule="auto"/>
        <w:tabs>
          <w:tab w:leader="none" w:pos="195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Licensed Product that contains (i) a Licensed Degrader-Antibody Conjugate; and (ii) one (1) or more active pharmaceutical or biological ingredients for which no royalty would be due hereunder if such ingredients were sold separately (each, an “</w:t>
      </w:r>
      <w:r>
        <w:rPr>
          <w:rFonts w:ascii="Times New Roman" w:cs="Times New Roman" w:eastAsia="Times New Roman" w:hAnsi="Times New Roman"/>
          <w:sz w:val="22"/>
          <w:szCs w:val="22"/>
          <w:b w:val="1"/>
          <w:bCs w:val="1"/>
          <w:color w:val="auto"/>
        </w:rPr>
        <w:t>Additional Active</w:t>
      </w:r>
      <w:r>
        <w:rPr>
          <w:rFonts w:ascii="Times New Roman" w:cs="Times New Roman" w:eastAsia="Times New Roman" w:hAnsi="Times New Roman"/>
          <w:sz w:val="22"/>
          <w:szCs w:val="22"/>
          <w:color w:val="auto"/>
        </w:rPr>
        <w:t>”), sold as a single formulation for a single price;</w:t>
      </w:r>
    </w:p>
    <w:p>
      <w:pPr>
        <w:spacing w:after="0" w:line="152" w:lineRule="exact"/>
        <w:rPr>
          <w:rFonts w:ascii="Times New Roman" w:cs="Times New Roman" w:eastAsia="Times New Roman" w:hAnsi="Times New Roman"/>
          <w:sz w:val="22"/>
          <w:szCs w:val="22"/>
          <w:color w:val="auto"/>
        </w:rPr>
      </w:pPr>
    </w:p>
    <w:p>
      <w:pPr>
        <w:jc w:val="both"/>
        <w:ind w:left="820" w:firstLine="484"/>
        <w:spacing w:after="0" w:line="225" w:lineRule="auto"/>
        <w:tabs>
          <w:tab w:leader="none" w:pos="194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Licensed Product that contains a Licensed Degrader-Antibody Conjugate that is sold for a single price but as separate formulations in a single package, or otherwise co-packaged, combined, or co-administered, with one (1) or more Additional Actives and, in each case, sold for a single price;</w:t>
      </w:r>
    </w:p>
    <w:p>
      <w:pPr>
        <w:spacing w:after="0" w:line="152" w:lineRule="exact"/>
        <w:rPr>
          <w:rFonts w:ascii="Times New Roman" w:cs="Times New Roman" w:eastAsia="Times New Roman" w:hAnsi="Times New Roman"/>
          <w:sz w:val="22"/>
          <w:szCs w:val="22"/>
          <w:color w:val="auto"/>
        </w:rPr>
      </w:pPr>
    </w:p>
    <w:p>
      <w:pPr>
        <w:ind w:left="820" w:firstLine="484"/>
        <w:spacing w:after="0" w:line="236" w:lineRule="auto"/>
        <w:tabs>
          <w:tab w:leader="none" w:pos="195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Licensed Product that does not contain a Licensed Degrader-Antibody Conjugate but contains (i) a Licensed Degrader; and (ii) one (1) or more Additional Actives, sold as a single dose for a single price; or</w:t>
      </w:r>
    </w:p>
    <w:p>
      <w:pPr>
        <w:spacing w:after="0" w:line="150" w:lineRule="exact"/>
        <w:rPr>
          <w:rFonts w:ascii="Times New Roman" w:cs="Times New Roman" w:eastAsia="Times New Roman" w:hAnsi="Times New Roman"/>
          <w:sz w:val="22"/>
          <w:szCs w:val="22"/>
          <w:color w:val="auto"/>
        </w:rPr>
      </w:pPr>
    </w:p>
    <w:p>
      <w:pPr>
        <w:jc w:val="both"/>
        <w:ind w:left="820" w:firstLine="484"/>
        <w:spacing w:after="0" w:line="236" w:lineRule="auto"/>
        <w:tabs>
          <w:tab w:leader="none" w:pos="194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Licensed Product that does not contain a Licensed Degrader-Antibody Conjugate but contains a Licensed Degrader, that is sold for a single price but as separate formulations in a single package, or otherwise co-packaged, combined, or co-administered, with one (1) or more Additional Actives and, in each case, sold for a single price.</w:t>
      </w:r>
    </w:p>
    <w:p>
      <w:pPr>
        <w:spacing w:after="0" w:line="152" w:lineRule="exact"/>
        <w:rPr>
          <w:sz w:val="20"/>
          <w:szCs w:val="20"/>
          <w:color w:val="auto"/>
        </w:rPr>
      </w:pPr>
    </w:p>
    <w:p>
      <w:pPr>
        <w:ind w:left="820"/>
        <w:spacing w:after="0" w:line="236" w:lineRule="auto"/>
        <w:rPr>
          <w:sz w:val="20"/>
          <w:szCs w:val="20"/>
          <w:color w:val="auto"/>
        </w:rPr>
      </w:pPr>
      <w:r>
        <w:rPr>
          <w:rFonts w:ascii="Times New Roman" w:cs="Times New Roman" w:eastAsia="Times New Roman" w:hAnsi="Times New Roman"/>
          <w:sz w:val="22"/>
          <w:szCs w:val="22"/>
          <w:color w:val="auto"/>
        </w:rPr>
        <w:t>For clarity, under no circumstance shall the Antibody contained in a Licensed Degrader-Antibody Conjugate be considered an Additional Active of a Combination Product under this Agreement.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any and all activities directed to the commercialization of a pharmaceutical or biological product, including marketing; detailing; promotion; market research; distributing; order processing; handling returns and recalls; booking sales; customer service; administering and commercially selling such product; and importing, exporting and transporting such product for commercial sale, as well all regulatory compliance with respect to the foregoing. For clarity, “Commercialization” (a) includes Manufacturing for Commercialization, and (b) does not include any Clinical Trials or other trials commenced after Regulatory Approval. When used as a verb, “Commercialize” means to engage in Commercialization. When used as an adjective, “Commercial” means pertaining to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173" w:name="page174"/>
    <w:bookmarkEnd w:id="173"/>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(a) in general, except as provided in clauses (b) and (c) below, with respect to the efforts and resources to be expended by a Party in connection with such Party’s obligations under this Agreement, the [*] efforts and resources [*]; [*].</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is defined in Section 10.1.1 (JSC Membership).</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Competing Product</w:t>
      </w:r>
      <w:r>
        <w:rPr>
          <w:rFonts w:ascii="Times New Roman" w:cs="Times New Roman" w:eastAsia="Times New Roman" w:hAnsi="Times New Roman"/>
          <w:sz w:val="21"/>
          <w:szCs w:val="21"/>
          <w:color w:val="auto"/>
        </w:rPr>
        <w:t>” is defined in Section 14.9.5(c).</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with respect to a Party, all confidential and proprietary information Controlled by such Party, including chemical or biological materials, chemical structures, research plans, Commercialization plans, correspondence, customer lists, data, Development plans, Manufacturing plans, formulae, improvements, inventions, Know-How, processes, regulatory filings, reports, strategies, techniques or other proprietary information, in each case, that are disclosed or made available by or on behalf of such Party to the other Party or its representatives pursuant to this Agreement or any Ancillary Agreement, regardless of whether any of the foregoing are marked “confidential” or “proprietary” or communicated to the other Party by or on behalf of the Disclosing Party, and regardless of whether disclosed or made available in oral, written, visual, graphic, electronic, or any other form.</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1.47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Controls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means, subject to Section 12.3 (Upstream License Agreements) and Section 20.4 (Assignment; Change of Control), with respect to any material, Patent, Know-How, other intellectual property right or Confidential Information, the ability of a Party or its Affiliates, as applicable (whether through ownership or license (other than a license granted in this Agreement or any Ancillary Agreement)) to grant to the other Party the licenses or sublicenses as provided herein, to otherwise disclose such Know-How, intellectual property right or Confidential Information to the other Party, or to grant access to such material to the extent not in violation of the terms of any then-existing agreement with any Third Party at the time such Party or its Affiliates, as applicable, would be required hereunder to grant the other Party such license or sublicenses as provided herein or to otherwise disclose such Know-How, intellectual property right or Confidential Information to the other Party. Notwithstanding the foregoing but subject to Section 12.3 (Upstream License Agreements), in the event of a Change of Control of a Party, then, whether or not this Agreement is assigned to the Acquiring Entity, any Know-How, Patent or other intellectual property rights or Regulatory Material owned or controlled by the Acquiring Entity Family shall not be deemed to be Controlled by such Party after the effective date of such Change of Control transaction for purposes of this Agreement.</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means, with respect to a Valid Claim in a Patent and a given compound, formulation, process, method or product, that, but for ownership of or rights granted to a Person under such Patent, the developing, making, using, practice, offering for sale, promoting, selling, exporting or importing of such compound, formulation, process, method or product, as applicable, would infringe such Valid Claim, or in the case of a Patent right that is a patent application, would infringe a Valid Claim in such patent application if it were to issue as a Patent.</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is defined in Section 19.2.1(a) (Material Breach).</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b w:val="1"/>
          <w:bCs w:val="1"/>
          <w:color w:val="auto"/>
        </w:rPr>
        <w:t>Damages</w:t>
      </w:r>
      <w:r>
        <w:rPr>
          <w:rFonts w:ascii="Times New Roman" w:cs="Times New Roman" w:eastAsia="Times New Roman" w:hAnsi="Times New Roman"/>
          <w:sz w:val="22"/>
          <w:szCs w:val="22"/>
          <w:color w:val="auto"/>
        </w:rPr>
        <w:t>” means all losses, costs, claims, damages, judgments, liabilities and expenses (including reasonable attorneys’ fees and expenses and other documented and reasonable out-of-pocket costs in connection therewith).</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Deemed Exercise</w:t>
      </w:r>
      <w:r>
        <w:rPr>
          <w:rFonts w:ascii="Times New Roman" w:cs="Times New Roman" w:eastAsia="Times New Roman" w:hAnsi="Times New Roman"/>
          <w:sz w:val="21"/>
          <w:szCs w:val="21"/>
          <w:color w:val="auto"/>
        </w:rPr>
        <w:t>” is defined in Section 5.2 (Degrader License Option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174" w:name="page175"/>
    <w:bookmarkEnd w:id="174"/>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b w:val="1"/>
          <w:bCs w:val="1"/>
          <w:color w:val="auto"/>
        </w:rPr>
        <w:t>Degrader</w:t>
      </w:r>
      <w:r>
        <w:rPr>
          <w:rFonts w:ascii="Times New Roman" w:cs="Times New Roman" w:eastAsia="Times New Roman" w:hAnsi="Times New Roman"/>
          <w:sz w:val="22"/>
          <w:szCs w:val="22"/>
          <w:color w:val="auto"/>
        </w:rPr>
        <w:t>” means a compound that consists of a Proteasome Protein Binder, a Degrader Spacer, and a Degrader Target Binder.</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Degrader-Antibody Conjugate</w:t>
      </w:r>
      <w:r>
        <w:rPr>
          <w:rFonts w:ascii="Times New Roman" w:cs="Times New Roman" w:eastAsia="Times New Roman" w:hAnsi="Times New Roman"/>
          <w:sz w:val="22"/>
          <w:szCs w:val="22"/>
          <w:color w:val="auto"/>
        </w:rPr>
        <w:t>” means a compound that consists of a Degrader linked via a Degrader-Antibody Linker to an Antibody.</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Degrader-Antibody Linker</w:t>
      </w:r>
      <w:r>
        <w:rPr>
          <w:rFonts w:ascii="Times New Roman" w:cs="Times New Roman" w:eastAsia="Times New Roman" w:hAnsi="Times New Roman"/>
          <w:sz w:val="21"/>
          <w:szCs w:val="21"/>
          <w:color w:val="auto"/>
        </w:rPr>
        <w:t>” means any chemical composition used to conjugate a Degrader to an Antibody.</w:t>
      </w:r>
    </w:p>
    <w:p>
      <w:pPr>
        <w:spacing w:after="0" w:line="17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b w:val="1"/>
          <w:bCs w:val="1"/>
          <w:color w:val="auto"/>
        </w:rPr>
        <w:t>Degrader-Antibody Linker Technology</w:t>
      </w:r>
      <w:r>
        <w:rPr>
          <w:rFonts w:ascii="Times New Roman" w:cs="Times New Roman" w:eastAsia="Times New Roman" w:hAnsi="Times New Roman"/>
          <w:sz w:val="22"/>
          <w:szCs w:val="22"/>
          <w:color w:val="auto"/>
        </w:rPr>
        <w:t>” means any method (including method of manufacture) or technology used to conjugate a Degrader to an Antibody, in each case, excluding the chemical moiety itself that is on or part of a Degrader and used as an attachment point on the Degrader to enable the conjugation of such Degrader to a Degrader-Antibody Linker.</w:t>
      </w:r>
    </w:p>
    <w:p>
      <w:pPr>
        <w:spacing w:after="0" w:line="32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License</w:t>
      </w:r>
      <w:r>
        <w:rPr>
          <w:rFonts w:ascii="Times New Roman" w:cs="Times New Roman" w:eastAsia="Times New Roman" w:hAnsi="Times New Roman"/>
          <w:sz w:val="21"/>
          <w:szCs w:val="21"/>
          <w:color w:val="auto"/>
        </w:rPr>
        <w:t>” is defined in Section 14.2 (Licensed Degrader License).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License Effective Date</w:t>
      </w:r>
      <w:r>
        <w:rPr>
          <w:rFonts w:ascii="Times New Roman" w:cs="Times New Roman" w:eastAsia="Times New Roman" w:hAnsi="Times New Roman"/>
          <w:sz w:val="21"/>
          <w:szCs w:val="21"/>
          <w:color w:val="auto"/>
        </w:rPr>
        <w:t>” is defined in Section 5.4.2 (Effectiveness).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License Exercise Date</w:t>
      </w:r>
      <w:r>
        <w:rPr>
          <w:rFonts w:ascii="Times New Roman" w:cs="Times New Roman" w:eastAsia="Times New Roman" w:hAnsi="Times New Roman"/>
          <w:sz w:val="21"/>
          <w:szCs w:val="21"/>
          <w:color w:val="auto"/>
        </w:rPr>
        <w:t>” is defined in Section 5.4.1 (Filings).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License Fee</w:t>
      </w:r>
      <w:r>
        <w:rPr>
          <w:rFonts w:ascii="Times New Roman" w:cs="Times New Roman" w:eastAsia="Times New Roman" w:hAnsi="Times New Roman"/>
          <w:sz w:val="21"/>
          <w:szCs w:val="21"/>
          <w:color w:val="auto"/>
        </w:rPr>
        <w:t>” is defined in Section 13.6 (Degrader License Fee).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License Option</w:t>
      </w:r>
      <w:r>
        <w:rPr>
          <w:rFonts w:ascii="Times New Roman" w:cs="Times New Roman" w:eastAsia="Times New Roman" w:hAnsi="Times New Roman"/>
          <w:sz w:val="21"/>
          <w:szCs w:val="21"/>
          <w:color w:val="auto"/>
        </w:rPr>
        <w:t>” is defined in Section 5.1 (Degrader License Option).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License Option Exercise</w:t>
      </w:r>
      <w:r>
        <w:rPr>
          <w:rFonts w:ascii="Times New Roman" w:cs="Times New Roman" w:eastAsia="Times New Roman" w:hAnsi="Times New Roman"/>
          <w:sz w:val="21"/>
          <w:szCs w:val="21"/>
          <w:color w:val="auto"/>
        </w:rPr>
        <w:t>” is defined in Section 5.2 (Degrader License Option Exercise).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License Option Exercise Notice</w:t>
      </w:r>
      <w:r>
        <w:rPr>
          <w:rFonts w:ascii="Times New Roman" w:cs="Times New Roman" w:eastAsia="Times New Roman" w:hAnsi="Times New Roman"/>
          <w:sz w:val="21"/>
          <w:szCs w:val="21"/>
          <w:color w:val="auto"/>
        </w:rPr>
        <w:t>” is defined in Section 5.2 (Degrader License Option Exercise).</w:t>
      </w:r>
    </w:p>
    <w:p>
      <w:pPr>
        <w:spacing w:after="0" w:line="17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1.63 “</w:t>
      </w:r>
      <w:r>
        <w:rPr>
          <w:rFonts w:ascii="Times New Roman" w:cs="Times New Roman" w:eastAsia="Times New Roman" w:hAnsi="Times New Roman"/>
          <w:sz w:val="21"/>
          <w:szCs w:val="21"/>
          <w:b w:val="1"/>
          <w:bCs w:val="1"/>
          <w:color w:val="auto"/>
        </w:rPr>
        <w:t>Degrader License Option Period</w:t>
      </w:r>
      <w:r>
        <w:rPr>
          <w:rFonts w:ascii="Times New Roman" w:cs="Times New Roman" w:eastAsia="Times New Roman" w:hAnsi="Times New Roman"/>
          <w:sz w:val="21"/>
          <w:szCs w:val="21"/>
          <w:color w:val="auto"/>
        </w:rPr>
        <w:t xml:space="preserve">” means, on a Collaboration Degrader Target Set-by-Collaboration Degrader Target Set basis, the period beginning on the applicable Degrader Target Set Selection Date of such Collaboration Degrader Target Set and ending on the earlier of (a) the date on which the Degrader License Option for such Collaboration Degrader Target Set is (i) exercised or (ii) deemed exercised, in each case, as further described in Section 5.2 (Degrader License Option Exercise); and (b) [*] after the end of the applicable Joint Research Term for such Collaboration Degrader Target Set;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Degrader License Option Period may be extended by Seagen on a Collaboration Degrader Target Set-by-Collaboration Degrader Target Set basis by [*] by [*] in accordance with Section 5.3 (Degrader License Option Period Extension).</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b w:val="1"/>
          <w:bCs w:val="1"/>
          <w:color w:val="auto"/>
        </w:rPr>
        <w:t>Degrader License Option Period Extension</w:t>
      </w:r>
      <w:r>
        <w:rPr>
          <w:rFonts w:ascii="Times New Roman" w:cs="Times New Roman" w:eastAsia="Times New Roman" w:hAnsi="Times New Roman"/>
          <w:sz w:val="22"/>
          <w:szCs w:val="22"/>
          <w:color w:val="auto"/>
        </w:rPr>
        <w:t>” is defined in Section 5.3 (Degrader License Option Period Extension).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b w:val="1"/>
          <w:bCs w:val="1"/>
          <w:color w:val="auto"/>
        </w:rPr>
        <w:t>Degrader License Option Period Extension Fee</w:t>
      </w:r>
      <w:r>
        <w:rPr>
          <w:rFonts w:ascii="Times New Roman" w:cs="Times New Roman" w:eastAsia="Times New Roman" w:hAnsi="Times New Roman"/>
          <w:sz w:val="22"/>
          <w:szCs w:val="22"/>
          <w:color w:val="auto"/>
        </w:rPr>
        <w:t>” is defined in Section 13.5 (Degrader License Option Period Extension Fee).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b w:val="1"/>
          <w:bCs w:val="1"/>
          <w:color w:val="auto"/>
        </w:rPr>
        <w:t>Degrader Spacer</w:t>
      </w:r>
      <w:r>
        <w:rPr>
          <w:rFonts w:ascii="Times New Roman" w:cs="Times New Roman" w:eastAsia="Times New Roman" w:hAnsi="Times New Roman"/>
          <w:sz w:val="22"/>
          <w:szCs w:val="22"/>
          <w:color w:val="auto"/>
        </w:rPr>
        <w:t>” means a chemical composition used for linking a Proteasome Protein Binder to a Degrader Target Binder under this Agreement.</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Target</w:t>
      </w:r>
      <w:r>
        <w:rPr>
          <w:rFonts w:ascii="Times New Roman" w:cs="Times New Roman" w:eastAsia="Times New Roman" w:hAnsi="Times New Roman"/>
          <w:sz w:val="21"/>
          <w:szCs w:val="21"/>
          <w:color w:val="auto"/>
        </w:rPr>
        <w:t>” means an intracellular protein that is:</w:t>
      </w:r>
    </w:p>
    <w:p>
      <w:pPr>
        <w:spacing w:after="0" w:line="170" w:lineRule="exact"/>
        <w:rPr>
          <w:sz w:val="20"/>
          <w:szCs w:val="20"/>
          <w:color w:val="auto"/>
        </w:rPr>
      </w:pPr>
    </w:p>
    <w:p>
      <w:pPr>
        <w:ind w:left="1940" w:hanging="636"/>
        <w:spacing w:after="0"/>
        <w:tabs>
          <w:tab w:leader="none" w:pos="19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by a GenBank protein accession number or by its amino acid sequence and coded by a genetic</w:t>
      </w: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1" w:right="339" w:bottom="1440" w:gutter="0" w:footer="0" w:header="0"/>
        </w:sectPr>
      </w:pPr>
    </w:p>
    <w:bookmarkStart w:id="175" w:name="page176"/>
    <w:bookmarkEnd w:id="175"/>
    <w:p>
      <w:pPr>
        <w:ind w:left="820" w:firstLine="484"/>
        <w:spacing w:after="0" w:line="236" w:lineRule="auto"/>
        <w:tabs>
          <w:tab w:leader="none" w:pos="19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naturally occurring and encoded by (i) a mutant version of the genetic locus referred to in clause (a) or (ii) a splice variation of the RNA transcribed from the genetic locus referred to in clause (a) or clause (b)(i);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naturally occurring post-translational modification to any protein referred to in clauses (a) or (b).</w:t>
      </w:r>
    </w:p>
    <w:p>
      <w:pPr>
        <w:spacing w:after="0" w:line="179"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21"/>
          <w:szCs w:val="21"/>
          <w:color w:val="auto"/>
        </w:rPr>
        <w:t>A protein falling under clause (a), together with proteins falling under clauses (b) or (c) by reference to such protein or the applicable genetic locus shall, collectively, be considered a single “Degrader Target” for purposes of this Agreement.</w:t>
      </w:r>
    </w:p>
    <w:p>
      <w:pPr>
        <w:spacing w:after="0" w:line="13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1.68 “</w:t>
      </w:r>
      <w:r>
        <w:rPr>
          <w:rFonts w:ascii="Times New Roman" w:cs="Times New Roman" w:eastAsia="Times New Roman" w:hAnsi="Times New Roman"/>
          <w:sz w:val="22"/>
          <w:szCs w:val="22"/>
          <w:b w:val="1"/>
          <w:bCs w:val="1"/>
          <w:color w:val="auto"/>
        </w:rPr>
        <w:t>Degrader Target Binder</w:t>
      </w:r>
      <w:r>
        <w:rPr>
          <w:rFonts w:ascii="Times New Roman" w:cs="Times New Roman" w:eastAsia="Times New Roman" w:hAnsi="Times New Roman"/>
          <w:sz w:val="22"/>
          <w:szCs w:val="22"/>
          <w:color w:val="auto"/>
        </w:rPr>
        <w:t>” means any chemical moiety that selectively binds a Degrader Target (including (a) a portion of such moiety sufficient to convey such binding and (b) such moiety or portion thereof as incorporated in a Degrader).</w:t>
      </w:r>
    </w:p>
    <w:p>
      <w:pPr>
        <w:spacing w:after="0" w:line="1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1.69 “</w:t>
      </w:r>
      <w:r>
        <w:rPr>
          <w:rFonts w:ascii="Times New Roman" w:cs="Times New Roman" w:eastAsia="Times New Roman" w:hAnsi="Times New Roman"/>
          <w:sz w:val="21"/>
          <w:szCs w:val="21"/>
          <w:b w:val="1"/>
          <w:bCs w:val="1"/>
          <w:color w:val="auto"/>
        </w:rPr>
        <w:t>Degrader Target Binder Patent</w:t>
      </w:r>
      <w:r>
        <w:rPr>
          <w:rFonts w:ascii="Times New Roman" w:cs="Times New Roman" w:eastAsia="Times New Roman" w:hAnsi="Times New Roman"/>
          <w:sz w:val="21"/>
          <w:szCs w:val="21"/>
          <w:color w:val="auto"/>
        </w:rPr>
        <w:t>” means any and all Patents included in the Foreground IP that Cover a Degrader Target Binder that selectively binds one (1) or more Degrader Targets in the applicable Licensed Degrader Target Set.</w:t>
      </w:r>
    </w:p>
    <w:p>
      <w:pPr>
        <w:spacing w:after="0" w:line="12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Target Screening Notice</w:t>
      </w:r>
      <w:r>
        <w:rPr>
          <w:rFonts w:ascii="Times New Roman" w:cs="Times New Roman" w:eastAsia="Times New Roman" w:hAnsi="Times New Roman"/>
          <w:sz w:val="21"/>
          <w:szCs w:val="21"/>
          <w:color w:val="auto"/>
        </w:rPr>
        <w:t>” is defined in Section 3.2.2 (Gatekeeper Responsibilities).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b w:val="1"/>
          <w:bCs w:val="1"/>
          <w:color w:val="auto"/>
        </w:rPr>
        <w:t>Degrader Target Set</w:t>
      </w:r>
      <w:r>
        <w:rPr>
          <w:rFonts w:ascii="Times New Roman" w:cs="Times New Roman" w:eastAsia="Times New Roman" w:hAnsi="Times New Roman"/>
          <w:sz w:val="22"/>
          <w:szCs w:val="22"/>
          <w:color w:val="auto"/>
        </w:rPr>
        <w:t xml:space="preserve">” means any set of one (1) or more Degrader Target(s);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 all Degrader Targets in a Degrader Target Set must be Homologous Targets of each other, and (b) no Degrader Target Set may contain more than [*] Degrader Targets unless the Parties otherwise mutually agree in writing.</w:t>
      </w:r>
    </w:p>
    <w:p>
      <w:pPr>
        <w:spacing w:after="0" w:line="13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Degrader Target Set</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Reservation Fee</w:t>
      </w:r>
      <w:r>
        <w:rPr>
          <w:rFonts w:ascii="Times New Roman" w:cs="Times New Roman" w:eastAsia="Times New Roman" w:hAnsi="Times New Roman"/>
          <w:sz w:val="22"/>
          <w:szCs w:val="22"/>
          <w:color w:val="auto"/>
        </w:rPr>
        <w:t>” is defined in Section 13.3 (Degrader Target Set [*] Reservation</w:t>
      </w:r>
    </w:p>
    <w:p>
      <w:pPr>
        <w:spacing w:after="0"/>
        <w:rPr>
          <w:sz w:val="20"/>
          <w:szCs w:val="20"/>
          <w:color w:val="auto"/>
        </w:rPr>
      </w:pPr>
      <w:r>
        <w:rPr>
          <w:rFonts w:ascii="Times New Roman" w:cs="Times New Roman" w:eastAsia="Times New Roman" w:hAnsi="Times New Roman"/>
          <w:sz w:val="22"/>
          <w:szCs w:val="22"/>
          <w:color w:val="auto"/>
        </w:rPr>
        <w:t>Fee).</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b w:val="1"/>
          <w:bCs w:val="1"/>
          <w:color w:val="auto"/>
        </w:rPr>
        <w:t>Degrader Target Set Reservation Extension Notice</w:t>
      </w:r>
      <w:r>
        <w:rPr>
          <w:rFonts w:ascii="Times New Roman" w:cs="Times New Roman" w:eastAsia="Times New Roman" w:hAnsi="Times New Roman"/>
          <w:sz w:val="22"/>
          <w:szCs w:val="22"/>
          <w:color w:val="auto"/>
        </w:rPr>
        <w:t>” is defined in Section 2.3.3 (Designation and Payment for Reserved Degrader Target Sets).</w:t>
      </w:r>
    </w:p>
    <w:p>
      <w:pPr>
        <w:spacing w:after="0" w:line="13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Degrader Target Set Selection Date</w:t>
      </w:r>
      <w:r>
        <w:rPr>
          <w:rFonts w:ascii="Times New Roman" w:cs="Times New Roman" w:eastAsia="Times New Roman" w:hAnsi="Times New Roman"/>
          <w:sz w:val="21"/>
          <w:szCs w:val="21"/>
          <w:color w:val="auto"/>
        </w:rPr>
        <w:t>” means, (a) with respect to [*], the Effective Date, and (b) with respect to</w:t>
      </w:r>
    </w:p>
    <w:p>
      <w:pPr>
        <w:spacing w:after="0" w:line="3" w:lineRule="exact"/>
        <w:rPr>
          <w:sz w:val="20"/>
          <w:szCs w:val="20"/>
          <w:color w:val="auto"/>
        </w:rPr>
      </w:pPr>
    </w:p>
    <w:p>
      <w:pPr>
        <w:ind w:firstLine="8"/>
        <w:spacing w:after="0" w:line="225" w:lineRule="auto"/>
        <w:tabs>
          <w:tab w:leader="none" w:pos="31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any Replacement Degrader Target Set, if applicable, the date that the Parties mutually agree on the initial Joint Research Plan for such Degrader Target Set as further described in Section 4.1 (Joint Research Plans).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b w:val="1"/>
          <w:bCs w:val="1"/>
          <w:color w:val="auto"/>
        </w:rPr>
        <w:t>DEL Library</w:t>
      </w:r>
      <w:r>
        <w:rPr>
          <w:rFonts w:ascii="Times New Roman" w:cs="Times New Roman" w:eastAsia="Times New Roman" w:hAnsi="Times New Roman"/>
          <w:sz w:val="22"/>
          <w:szCs w:val="22"/>
          <w:color w:val="auto"/>
        </w:rPr>
        <w:t>” means the DNA-encoded libraries Controlled by Nurix or its Affiliates and used by or on behalf of Nurix to identify Proteasome Protein Binders or Degrader Target Binders, as may be modified from time to time during the Term.</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1.76 “</w:t>
      </w:r>
      <w:r>
        <w:rPr>
          <w:rFonts w:ascii="Times New Roman" w:cs="Times New Roman" w:eastAsia="Times New Roman" w:hAnsi="Times New Roman"/>
          <w:sz w:val="22"/>
          <w:szCs w:val="22"/>
          <w:b w:val="1"/>
          <w:bCs w:val="1"/>
          <w:color w:val="auto"/>
        </w:rPr>
        <w:t>DEL Library Technology</w:t>
      </w:r>
      <w:r>
        <w:rPr>
          <w:rFonts w:ascii="Times New Roman" w:cs="Times New Roman" w:eastAsia="Times New Roman" w:hAnsi="Times New Roman"/>
          <w:sz w:val="22"/>
          <w:szCs w:val="22"/>
          <w:color w:val="auto"/>
        </w:rPr>
        <w:t>” means any Know-How Controlled by Nurix or its Affiliates and used by or on behalf of Nurix to (a) make the DEL Library, (b) screen the DEL Library against a biological target, (c) identify compounds in the DEL Library that bind to the target, or (d) develop a structure-binding relationship of the DEL Library compounds that bind to the biological target.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b w:val="1"/>
          <w:bCs w:val="1"/>
          <w:color w:val="auto"/>
        </w:rPr>
        <w:t>DEL Screen</w:t>
      </w:r>
      <w:r>
        <w:rPr>
          <w:rFonts w:ascii="Times New Roman" w:cs="Times New Roman" w:eastAsia="Times New Roman" w:hAnsi="Times New Roman"/>
          <w:sz w:val="22"/>
          <w:szCs w:val="22"/>
          <w:color w:val="auto"/>
        </w:rPr>
        <w:t>” means the screening of the DEL Library by Nurix in connection with the performance of its activities under a Joint Research Plan to discover Proteasome Protein Binders and/or Degrader Target Binders that may be used in Degraders under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1.78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clinical drug development activities and other non-clinical or preclinical development activities with respect to a pharmaceutical or biological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76" w:name="page177"/>
    <w:bookmarkEnd w:id="176"/>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including Clinical Trials (and other trials commenced after Regulatory Approval), test method development and stability testing; toxicology testing; formulation and Manufacturing process development, qualification, and validation; quality assurance and quality control for clinical supply; statistical analysis and report writing; preparation and submission of INDs and MAAs; medical and regulatory affairs with respect to the foregoing and all other activities necessary or useful or otherwise requested or required by a Regulatory Authority or as a condition or in support of obtaining or maintaining a Regulatory Approval or Pricing Approval;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“Development” does not include “Research” (as defined herein). For clarity, “Development” includes Manufacturing for Development. When used as a verb, “Develop” means to engage in Development.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b w:val="1"/>
          <w:bCs w:val="1"/>
          <w:color w:val="auto"/>
        </w:rPr>
        <w:t>Development and Regulatory Milestone Event</w:t>
      </w:r>
      <w:r>
        <w:rPr>
          <w:rFonts w:ascii="Times New Roman" w:cs="Times New Roman" w:eastAsia="Times New Roman" w:hAnsi="Times New Roman"/>
          <w:sz w:val="22"/>
          <w:szCs w:val="22"/>
          <w:color w:val="auto"/>
        </w:rPr>
        <w:t>” is defined in Section 13.7 (Development and Regulatory Milestones).</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b w:val="1"/>
          <w:bCs w:val="1"/>
          <w:color w:val="auto"/>
        </w:rPr>
        <w:t>Development and Regulatory Milestone Payment</w:t>
      </w:r>
      <w:r>
        <w:rPr>
          <w:rFonts w:ascii="Times New Roman" w:cs="Times New Roman" w:eastAsia="Times New Roman" w:hAnsi="Times New Roman"/>
          <w:sz w:val="22"/>
          <w:szCs w:val="22"/>
          <w:color w:val="auto"/>
        </w:rPr>
        <w:t>” is defined in Section 13.7 (Development and Regulatory Milestones).</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Directed To</w:t>
      </w:r>
      <w:r>
        <w:rPr>
          <w:rFonts w:ascii="Times New Roman" w:cs="Times New Roman" w:eastAsia="Times New Roman" w:hAnsi="Times New Roman"/>
          <w:sz w:val="21"/>
          <w:szCs w:val="21"/>
          <w:color w:val="auto"/>
        </w:rPr>
        <w:t>” means:</w:t>
      </w:r>
    </w:p>
    <w:p>
      <w:pPr>
        <w:spacing w:after="0" w:line="183" w:lineRule="exact"/>
        <w:rPr>
          <w:sz w:val="20"/>
          <w:szCs w:val="20"/>
          <w:color w:val="auto"/>
        </w:rPr>
      </w:pPr>
    </w:p>
    <w:p>
      <w:pPr>
        <w:ind w:left="820" w:firstLine="484"/>
        <w:spacing w:after="0" w:line="236" w:lineRule="auto"/>
        <w:tabs>
          <w:tab w:leader="none" w:pos="195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Degrader and a single Degrader Target, that the Degrader at issue (i) [*]; (ii) [*] binds such Degrader Target, and (iii) degrades such Degrader Target of such Degrader Target;</w:t>
      </w:r>
    </w:p>
    <w:p>
      <w:pPr>
        <w:spacing w:after="0" w:line="150" w:lineRule="exact"/>
        <w:rPr>
          <w:rFonts w:ascii="Times New Roman" w:cs="Times New Roman" w:eastAsia="Times New Roman" w:hAnsi="Times New Roman"/>
          <w:sz w:val="22"/>
          <w:szCs w:val="22"/>
          <w:color w:val="auto"/>
        </w:rPr>
      </w:pPr>
    </w:p>
    <w:p>
      <w:pPr>
        <w:jc w:val="both"/>
        <w:ind w:left="820" w:firstLine="484"/>
        <w:spacing w:after="0" w:line="212" w:lineRule="auto"/>
        <w:tabs>
          <w:tab w:leader="none" w:pos="19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 Degrader and a Degrader Target Set that such Degrader is “Directed To” (as defined in clause (a) above) any one (1) or more Degrader Target(s) in such Degrader Target Set, and is not “Directed To” (as defined in clause (a) above) any Degrader Target(s) not in such Degrader Target 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Degrader Target Set in question for purposes of this clause (b) is a Subset of another Degrader Target Set (such other Degrader Target Set, a “</w:t>
      </w:r>
      <w:r>
        <w:rPr>
          <w:rFonts w:ascii="Times New Roman" w:cs="Times New Roman" w:eastAsia="Times New Roman" w:hAnsi="Times New Roman"/>
          <w:sz w:val="22"/>
          <w:szCs w:val="22"/>
          <w:b w:val="1"/>
          <w:bCs w:val="1"/>
          <w:color w:val="auto"/>
        </w:rPr>
        <w:t>Parent Target Set</w:t>
      </w:r>
      <w:r>
        <w:rPr>
          <w:rFonts w:ascii="Times New Roman" w:cs="Times New Roman" w:eastAsia="Times New Roman" w:hAnsi="Times New Roman"/>
          <w:sz w:val="22"/>
          <w:szCs w:val="22"/>
          <w:color w:val="auto"/>
        </w:rPr>
        <w:t>”), the applicable Degrader may be (but is not necessarily) “Directed To” (as defined in clause (a) above) Degrader Target(s) in the Parent Target Set that are not in such Degrader Target Set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in the case of a Degrader that is “Directed To” (as defined in clause (a) above) both a Subset of a Parent Target Set and the Parent Target Set, itself); and</w:t>
      </w:r>
    </w:p>
    <w:p>
      <w:pPr>
        <w:spacing w:after="0" w:line="156" w:lineRule="exact"/>
        <w:rPr>
          <w:rFonts w:ascii="Times New Roman" w:cs="Times New Roman" w:eastAsia="Times New Roman" w:hAnsi="Times New Roman"/>
          <w:sz w:val="22"/>
          <w:szCs w:val="22"/>
          <w:color w:val="auto"/>
        </w:rPr>
      </w:pPr>
    </w:p>
    <w:p>
      <w:pPr>
        <w:ind w:left="820" w:right="20" w:firstLine="484"/>
        <w:spacing w:after="0" w:line="236" w:lineRule="auto"/>
        <w:tabs>
          <w:tab w:leader="none" w:pos="195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Antibody and a Cell-Surface Antigen, that such Antibody specifically binds to such Cell-Surface Antigen.</w:t>
      </w:r>
    </w:p>
    <w:p>
      <w:pPr>
        <w:spacing w:after="0" w:line="150" w:lineRule="exact"/>
        <w:rPr>
          <w:sz w:val="20"/>
          <w:szCs w:val="20"/>
          <w:color w:val="auto"/>
        </w:rPr>
      </w:pPr>
    </w:p>
    <w:p>
      <w:pPr>
        <w:jc w:val="both"/>
        <w:ind w:left="820"/>
        <w:spacing w:after="0" w:line="217" w:lineRule="auto"/>
        <w:rPr>
          <w:sz w:val="20"/>
          <w:szCs w:val="20"/>
          <w:color w:val="auto"/>
        </w:rPr>
      </w:pPr>
      <w:r>
        <w:rPr>
          <w:rFonts w:ascii="Times New Roman" w:cs="Times New Roman" w:eastAsia="Times New Roman" w:hAnsi="Times New Roman"/>
          <w:sz w:val="22"/>
          <w:szCs w:val="22"/>
          <w:color w:val="auto"/>
        </w:rPr>
        <w:t>For clarity, (i) a Degrader may be “Directed To” (A) more than one Degrader Target and (B) both a Degrader Target Set and a Subset thereof, and (ii) an Antibody may be “Directed To” more than one Cell-Surface Antigen. A Degrader-Antibody Conjugate or Licensed Product will be deemed to be “Directed To” a Degrader Target or Degrader Target Set if such Degrader-Antibody Conjugate or Licensed Product contains a Degrader that is “Directed To” such Degrader Target or Degrader Target Set, as applicable.</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is defined in Section 16.1 (Nondisclosure and Non-Use)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is defined in Section 20.6.2(a).</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DOJ</w:t>
      </w:r>
      <w:r>
        <w:rPr>
          <w:rFonts w:ascii="Times New Roman" w:cs="Times New Roman" w:eastAsia="Times New Roman" w:hAnsi="Times New Roman"/>
          <w:sz w:val="21"/>
          <w:szCs w:val="21"/>
          <w:color w:val="auto"/>
        </w:rPr>
        <w:t>” is defined in Section 5.4.1 (Filings).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is defined in the preamble to this Agreement.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Electronic Delivery</w:t>
      </w:r>
      <w:r>
        <w:rPr>
          <w:rFonts w:ascii="Times New Roman" w:cs="Times New Roman" w:eastAsia="Times New Roman" w:hAnsi="Times New Roman"/>
          <w:sz w:val="21"/>
          <w:szCs w:val="21"/>
          <w:color w:val="auto"/>
        </w:rPr>
        <w:t>” is defined in Section 20.11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77" w:name="page178"/>
    <w:bookmarkEnd w:id="177"/>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is defined in Section 1.227 (“Regulatory Authority”).</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Enforcing Party</w:t>
      </w:r>
      <w:r>
        <w:rPr>
          <w:rFonts w:ascii="Times New Roman" w:cs="Times New Roman" w:eastAsia="Times New Roman" w:hAnsi="Times New Roman"/>
          <w:sz w:val="21"/>
          <w:szCs w:val="21"/>
          <w:color w:val="auto"/>
        </w:rPr>
        <w:t>” is defined in Section 15.3.3(d).</w:t>
      </w:r>
    </w:p>
    <w:p>
      <w:pPr>
        <w:spacing w:after="0" w:line="18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1.90 “</w:t>
      </w:r>
      <w:r>
        <w:rPr>
          <w:rFonts w:ascii="Times New Roman" w:cs="Times New Roman" w:eastAsia="Times New Roman" w:hAnsi="Times New Roman"/>
          <w:sz w:val="22"/>
          <w:szCs w:val="22"/>
          <w:b w:val="1"/>
          <w:bCs w:val="1"/>
          <w:color w:val="auto"/>
        </w:rPr>
        <w:t>Excluded Degrader Target</w:t>
      </w:r>
      <w:r>
        <w:rPr>
          <w:rFonts w:ascii="Times New Roman" w:cs="Times New Roman" w:eastAsia="Times New Roman" w:hAnsi="Times New Roman"/>
          <w:sz w:val="22"/>
          <w:szCs w:val="22"/>
          <w:color w:val="auto"/>
        </w:rPr>
        <w:t>” means any Degrader Target that is, as of the time of such determination in accordance with Section 3.1 (Proposed Degrader Target Sets), as applicable: (a) [*], (b) any Former Collaboration Degrader Target or Former Licensed Degrader Target, (c) [*], or (d)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b w:val="1"/>
          <w:bCs w:val="1"/>
          <w:color w:val="auto"/>
        </w:rPr>
        <w:t>Exclusive Degrader Target Set</w:t>
      </w:r>
      <w:r>
        <w:rPr>
          <w:rFonts w:ascii="Times New Roman" w:cs="Times New Roman" w:eastAsia="Times New Roman" w:hAnsi="Times New Roman"/>
          <w:sz w:val="22"/>
          <w:szCs w:val="22"/>
          <w:color w:val="auto"/>
        </w:rPr>
        <w:t>” means each Degrader Target Set with respect to which Nurix has exclusivity obligations in accordance with Section 14.9.1 (Collaboration Degrader Target Set Exclusivity), Section 14.9.2 (Reserved Degrader Target Set Exclusivity), Section 14.9.3 (Licensed Degrader Target Set Exclusivity), or Section 14.9.4 ([*] Licensed Degrader Target Set Exclusivity).</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Exclusivity Period</w:t>
      </w:r>
      <w:r>
        <w:rPr>
          <w:rFonts w:ascii="Times New Roman" w:cs="Times New Roman" w:eastAsia="Times New Roman" w:hAnsi="Times New Roman"/>
          <w:sz w:val="21"/>
          <w:szCs w:val="21"/>
          <w:color w:val="auto"/>
        </w:rPr>
        <w:t>” means,</w:t>
      </w:r>
    </w:p>
    <w:p>
      <w:pPr>
        <w:spacing w:after="0" w:line="183" w:lineRule="exact"/>
        <w:rPr>
          <w:sz w:val="20"/>
          <w:szCs w:val="20"/>
          <w:color w:val="auto"/>
        </w:rPr>
      </w:pPr>
    </w:p>
    <w:p>
      <w:pPr>
        <w:jc w:val="both"/>
        <w:ind w:left="820" w:firstLine="484"/>
        <w:spacing w:after="0" w:line="213" w:lineRule="auto"/>
        <w:tabs>
          <w:tab w:leader="none" w:pos="195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Collaboration Degrader Target Set-by-Collaboration Degrader Target Set basis, the period of time beginning on the applicable Degrader Target Set Selection Date and ending upon (i) the termination or expiration of the applicable Degrader License Option Period (as may be extended in accordance with Section 5.3 (Degrader License Option Period Extension)) if the applicable Degrader License Option is not exercised prior to the expiration of the applicable Joint Research Term, or (ii) the expiration of the applicable Joint Research Term if the applicable Degrader License Option </w:t>
      </w:r>
      <w:r>
        <w:rPr>
          <w:rFonts w:ascii="Times New Roman" w:cs="Times New Roman" w:eastAsia="Times New Roman" w:hAnsi="Times New Roman"/>
          <w:sz w:val="22"/>
          <w:szCs w:val="22"/>
          <w:u w:val="single" w:color="auto"/>
          <w:color w:val="auto"/>
        </w:rPr>
        <w:t>is</w:t>
      </w:r>
      <w:r>
        <w:rPr>
          <w:rFonts w:ascii="Times New Roman" w:cs="Times New Roman" w:eastAsia="Times New Roman" w:hAnsi="Times New Roman"/>
          <w:sz w:val="22"/>
          <w:szCs w:val="22"/>
          <w:color w:val="auto"/>
        </w:rPr>
        <w:t xml:space="preserve"> exercised (including if deemed to be exercised under Section 5.2 (Degrader License Option Exercise)) prior to the expiration of the applicable Joint Research Term;</w:t>
      </w:r>
    </w:p>
    <w:p>
      <w:pPr>
        <w:spacing w:after="0" w:line="156" w:lineRule="exact"/>
        <w:rPr>
          <w:rFonts w:ascii="Times New Roman" w:cs="Times New Roman" w:eastAsia="Times New Roman" w:hAnsi="Times New Roman"/>
          <w:sz w:val="22"/>
          <w:szCs w:val="22"/>
          <w:color w:val="auto"/>
        </w:rPr>
      </w:pPr>
    </w:p>
    <w:p>
      <w:pPr>
        <w:jc w:val="both"/>
        <w:ind w:left="820" w:firstLine="484"/>
        <w:spacing w:after="0" w:line="225" w:lineRule="auto"/>
        <w:tabs>
          <w:tab w:leader="none" w:pos="194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Licensed Degrader Target Set-by-Licensed Degrader Target Set basis, the period of time beginning on the Degrader License Effective Date for such Licensed Degrader Target Set, and ending upon the earlier of (i) termination of the Degrader License with respect to such Licensed Degrader Target Set, or (ii) [*];</w:t>
      </w:r>
    </w:p>
    <w:p>
      <w:pPr>
        <w:spacing w:after="0" w:line="152" w:lineRule="exact"/>
        <w:rPr>
          <w:rFonts w:ascii="Times New Roman" w:cs="Times New Roman" w:eastAsia="Times New Roman" w:hAnsi="Times New Roman"/>
          <w:sz w:val="22"/>
          <w:szCs w:val="22"/>
          <w:color w:val="auto"/>
        </w:rPr>
      </w:pPr>
    </w:p>
    <w:p>
      <w:pPr>
        <w:jc w:val="both"/>
        <w:ind w:left="820" w:firstLine="484"/>
        <w:spacing w:after="0" w:line="211" w:lineRule="auto"/>
        <w:tabs>
          <w:tab w:leader="none" w:pos="195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 Licensed Degrader Target Set-by-[*] Licensed Degrader Target Set basis, the period of time beginning on [*] for a Licensed Product containing a Licensed Degrader (including any Licensed Degrader-Antibody Conjugate) that is Pan-Directed To such [*] Licensed Degrader Target Set until the earliest of (i) termination of the Degrader License with respect to such [*] Licensed Degrader Target Set, (ii) the date on which no further payments in or for [*] can be made under this Agreement with respect to Licensed Products containing Licensed Degraders (including any Licensed Degrader-Antibody Conjugate) that are Directed To the applicable Licensed Degrader Target Set (including, for Profit-Share Products, expiration of the relevant profit-sharing period as set forth in the applicable Profit-Share Product Agreement, subject to Section 11.4 (Nurix Opt-Out)), (iii) the [*] anniversary of the Degrader License Effective Date with respect to the applicable Licensed Degrader Target Set, or (iv) the occurrence of [*] for such applicable Licensed Degrader Target Set [*]; and</w:t>
      </w:r>
    </w:p>
    <w:p>
      <w:pPr>
        <w:spacing w:after="0" w:line="151" w:lineRule="exact"/>
        <w:rPr>
          <w:rFonts w:ascii="Times New Roman" w:cs="Times New Roman" w:eastAsia="Times New Roman" w:hAnsi="Times New Roman"/>
          <w:sz w:val="22"/>
          <w:szCs w:val="22"/>
          <w:color w:val="auto"/>
        </w:rPr>
      </w:pPr>
    </w:p>
    <w:p>
      <w:pPr>
        <w:jc w:val="both"/>
        <w:ind w:left="820" w:firstLine="484"/>
        <w:spacing w:after="0" w:line="236" w:lineRule="auto"/>
        <w:tabs>
          <w:tab w:leader="none" w:pos="194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 Reserved Degrader Target Set-by-Reserved Degrader Target Set basis, the period beginning on the date a Degrader Target Set becomes a Reserved Degrader Target Set and ending on the date such Degrader Target Set ceases to be a Reserved Degrader Target Set, in each case, as described in Section 2.3 (Reserved Degrader Target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178" w:name="page179"/>
    <w:bookmarkEnd w:id="178"/>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1.93 “</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(a) with respect to Nurix, the Chief Executive Officer of Nurix or their designee or successor with appropriate decision-making authority; and (b) with respect to Seagen, Seagen’s [*] or their designee or successor with appropriate decision-making authority.</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Existing Regulatory Materials</w:t>
      </w:r>
      <w:r>
        <w:rPr>
          <w:rFonts w:ascii="Times New Roman" w:cs="Times New Roman" w:eastAsia="Times New Roman" w:hAnsi="Times New Roman"/>
          <w:sz w:val="21"/>
          <w:szCs w:val="21"/>
          <w:color w:val="auto"/>
        </w:rPr>
        <w:t>” is defined in Section 7.2.1 (Existing Regulatory Materials).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to make, have made, import, use, sell, or offer for sale, including to research, Develop, Commercialize, register, Manufacture, have Manufactured, hold, or keep (whether for disposal or otherwise), have used, import, export, transport, distribute, promote, market, or have sold or otherwise dispose of.</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FCPA</w:t>
      </w:r>
      <w:r>
        <w:rPr>
          <w:rFonts w:ascii="Times New Roman" w:cs="Times New Roman" w:eastAsia="Times New Roman" w:hAnsi="Times New Roman"/>
          <w:sz w:val="21"/>
          <w:szCs w:val="21"/>
          <w:color w:val="auto"/>
        </w:rPr>
        <w:t>” means the United States Foreign Corrupt Practices Act (15 U.S.C. § 78dd-1, et seq.) as amended.</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is defined in Section 1.227 (“Regulatory Authority”).</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b w:val="1"/>
          <w:bCs w:val="1"/>
          <w:color w:val="auto"/>
        </w:rPr>
        <w:t>FFDCA</w:t>
      </w:r>
      <w:r>
        <w:rPr>
          <w:rFonts w:ascii="Times New Roman" w:cs="Times New Roman" w:eastAsia="Times New Roman" w:hAnsi="Times New Roman"/>
          <w:sz w:val="22"/>
          <w:szCs w:val="22"/>
          <w:color w:val="auto"/>
        </w:rPr>
        <w:t>” means the United States Federal Food, Drug, and Cosmetic Act, 21 U.S.C. §§ 301 et seq., as it may be amended from time to time, and the rules, regulations, guidance, guidelines, and requirements promulgated or issued thereunder.</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any and all uses.</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1.100 “</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xml:space="preserve">” means, on a Licensed Product-by-Licensed Product and country-by-country basis, the first sale of such Licensed Product in such country for monetary value for use or consumption by the general public (following receipt of all Regulatory Approvals and, solely to the extent the marketing and sale of the relevant product without any Pricing Approvals is prohibited under Applicable Law, following receipt of any such Pricing Approvals, that are required in order to sell such Licensed Product in such country) and for which any of Seagen or its Affiliates or Sublicensees has invoiced sales of Licensed Products in the Territory;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following will not constitute a First Commercial Sale: (a) any sale to an Affiliate or Sublicensee, unless such Affiliate or Sublicensee is the last Person in the distribution chain of the Licensed Product; (b) any use of such Licensed Product in Clinical Trials or non-clinical research or Development activities with respect to such Licensed Product by or on behalf of a Party; or (c) any disposal or transfer of such Licensed Product for a bona fide charitable purpose, for compassionate use, as samples, and any similar use. For clarity, references herein to “First Commercial Sale” without reference to a specific country are to the First Commercial Sale in any country in the Territory.</w:t>
      </w:r>
    </w:p>
    <w:p>
      <w:pPr>
        <w:spacing w:after="0" w:line="15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1.101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Indication</w:t>
      </w:r>
      <w:r>
        <w:rPr>
          <w:rFonts w:ascii="Times New Roman" w:cs="Times New Roman" w:eastAsia="Times New Roman" w:hAnsi="Times New Roman"/>
          <w:sz w:val="21"/>
          <w:szCs w:val="21"/>
          <w:color w:val="auto"/>
        </w:rPr>
        <w:t>” is defined in Section 13.7.1.</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1.102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Licensed Product</w:t>
      </w:r>
      <w:r>
        <w:rPr>
          <w:rFonts w:ascii="Times New Roman" w:cs="Times New Roman" w:eastAsia="Times New Roman" w:hAnsi="Times New Roman"/>
          <w:sz w:val="21"/>
          <w:szCs w:val="21"/>
          <w:color w:val="auto"/>
        </w:rPr>
        <w:t>” is defined in Section 13.7.2(b).</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1.103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Floor</w:t>
      </w:r>
      <w:r>
        <w:rPr>
          <w:rFonts w:ascii="Times New Roman" w:cs="Times New Roman" w:eastAsia="Times New Roman" w:hAnsi="Times New Roman"/>
          <w:sz w:val="21"/>
          <w:szCs w:val="21"/>
          <w:color w:val="auto"/>
        </w:rPr>
        <w:t>” is defined in Section 13.10.2(d).</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1.104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Foregone Milestones</w:t>
      </w:r>
      <w:r>
        <w:rPr>
          <w:rFonts w:ascii="Times New Roman" w:cs="Times New Roman" w:eastAsia="Times New Roman" w:hAnsi="Times New Roman"/>
          <w:sz w:val="21"/>
          <w:szCs w:val="21"/>
          <w:color w:val="auto"/>
        </w:rPr>
        <w:t>” is defined in Section 11.2.3 (Profit-Share Products).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b w:val="1"/>
          <w:bCs w:val="1"/>
          <w:color w:val="auto"/>
        </w:rPr>
        <w:t>Foreground Antibody/Conjugation IP</w:t>
      </w:r>
      <w:r>
        <w:rPr>
          <w:rFonts w:ascii="Times New Roman" w:cs="Times New Roman" w:eastAsia="Times New Roman" w:hAnsi="Times New Roman"/>
          <w:sz w:val="22"/>
          <w:szCs w:val="22"/>
          <w:color w:val="auto"/>
        </w:rPr>
        <w:t>” means any and all Foreground IP that is not Foreground DEL IP or Foreground Degrader IP and that primarily relates to any of the following: (a) one (1) or more Antibodies, (b) any modifications of an Antibody, (c) the conjugation of an Antibody to a Degrader, (d) a Degrader-Antibody Linker, or (e) Degrader-Antibody Linker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179" w:name="page180"/>
    <w:bookmarkEnd w:id="179"/>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b w:val="1"/>
          <w:bCs w:val="1"/>
          <w:color w:val="auto"/>
        </w:rPr>
        <w:t>Foreground Degrader IP</w:t>
      </w:r>
      <w:r>
        <w:rPr>
          <w:rFonts w:ascii="Times New Roman" w:cs="Times New Roman" w:eastAsia="Times New Roman" w:hAnsi="Times New Roman"/>
          <w:sz w:val="22"/>
          <w:szCs w:val="22"/>
          <w:color w:val="auto"/>
        </w:rPr>
        <w:t>” means any and all Foreground IP that primarily relates to the composition of matter of any Collaboration Degrader or Licensed Degrader, in each case, as a whole.</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1.107 “</w:t>
      </w:r>
      <w:r>
        <w:rPr>
          <w:rFonts w:ascii="Times New Roman" w:cs="Times New Roman" w:eastAsia="Times New Roman" w:hAnsi="Times New Roman"/>
          <w:sz w:val="21"/>
          <w:szCs w:val="21"/>
          <w:b w:val="1"/>
          <w:bCs w:val="1"/>
          <w:color w:val="auto"/>
        </w:rPr>
        <w:t>Foreground DEL IP</w:t>
      </w:r>
      <w:r>
        <w:rPr>
          <w:rFonts w:ascii="Times New Roman" w:cs="Times New Roman" w:eastAsia="Times New Roman" w:hAnsi="Times New Roman"/>
          <w:sz w:val="21"/>
          <w:szCs w:val="21"/>
          <w:color w:val="auto"/>
        </w:rPr>
        <w:t>” means any and all Foreground IP that primarily relates to any of the following: (a) the DEL Library; (b) DEL Library Technology; (c) Degrader Target Binders derived from DEL Screens (including any chemical moiety that serves as an attachment point thereon that enables the conjugation of a Degrader containing any such Degrader Target Binder to a Degrader-Antibody Linker, as and to the extent such chemical moiety is attached to such Degrader Target Binder);</w:t>
      </w:r>
    </w:p>
    <w:p>
      <w:pPr>
        <w:spacing w:after="0" w:line="3" w:lineRule="exact"/>
        <w:rPr>
          <w:sz w:val="20"/>
          <w:szCs w:val="20"/>
          <w:color w:val="auto"/>
        </w:rPr>
      </w:pPr>
    </w:p>
    <w:p>
      <w:pPr>
        <w:jc w:val="both"/>
        <w:ind w:firstLine="8"/>
        <w:spacing w:after="0" w:line="210" w:lineRule="auto"/>
        <w:tabs>
          <w:tab w:leader="none" w:pos="32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Proteasome Protein Binders (including any chemical moiety that serves as an attachment point thereon that enables the conjugation of a Degrader containing any such Proteasome Protein Binder to a Degrader-Antibody Linker, as and to the extent such chemical moiety is attached to such Proteasome Protein Binder); and (e) any Degrader Spacers (including any chemical moiety that serves as an attachment point thereon that enables the conjugation of a Degrader containing any such Degrader Spacer to a Degrader-Antibody Linker, as and to the extent such chemical moiety is attached to such Degrader Spacer), in each case (clauses (a)-(c)), that do not primarily relate to any of the following: (i) one (1) or more Antibodies, (ii) the conjugation of an Antibody to a Degrader, (iii) a Degrader-Antibody Linker, or (iv) Degrader-Antibody Linker Technology.</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Foreground IP</w:t>
      </w:r>
      <w:r>
        <w:rPr>
          <w:rFonts w:ascii="Times New Roman" w:cs="Times New Roman" w:eastAsia="Times New Roman" w:hAnsi="Times New Roman"/>
          <w:sz w:val="21"/>
          <w:szCs w:val="21"/>
          <w:color w:val="auto"/>
        </w:rPr>
        <w:t>” is defined in Section 15.1.2 (Foreground IP).</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Foreground Patent</w:t>
      </w:r>
      <w:r>
        <w:rPr>
          <w:rFonts w:ascii="Times New Roman" w:cs="Times New Roman" w:eastAsia="Times New Roman" w:hAnsi="Times New Roman"/>
          <w:sz w:val="21"/>
          <w:szCs w:val="21"/>
          <w:color w:val="auto"/>
        </w:rPr>
        <w:t>” means any and all Patents included in the Foreground IP.</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1.110 “</w:t>
      </w:r>
      <w:r>
        <w:rPr>
          <w:rFonts w:ascii="Times New Roman" w:cs="Times New Roman" w:eastAsia="Times New Roman" w:hAnsi="Times New Roman"/>
          <w:sz w:val="22"/>
          <w:szCs w:val="22"/>
          <w:b w:val="1"/>
          <w:bCs w:val="1"/>
          <w:color w:val="auto"/>
        </w:rPr>
        <w:t>Former Collaboration Degrader Target</w:t>
      </w:r>
      <w:r>
        <w:rPr>
          <w:rFonts w:ascii="Times New Roman" w:cs="Times New Roman" w:eastAsia="Times New Roman" w:hAnsi="Times New Roman"/>
          <w:sz w:val="22"/>
          <w:szCs w:val="22"/>
          <w:color w:val="auto"/>
        </w:rPr>
        <w:t>” means (a) each Degrader Target that is in a Former Collaboration Degrader Target Set, and (b) to the extent not included in clause (a), any other Removed Degrader Target.</w:t>
      </w:r>
    </w:p>
    <w:p>
      <w:pPr>
        <w:spacing w:after="0" w:line="13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Former Collaboration Degrader Target Set</w:t>
      </w:r>
      <w:r>
        <w:rPr>
          <w:rFonts w:ascii="Times New Roman" w:cs="Times New Roman" w:eastAsia="Times New Roman" w:hAnsi="Times New Roman"/>
          <w:sz w:val="21"/>
          <w:szCs w:val="21"/>
          <w:color w:val="auto"/>
        </w:rPr>
        <w:t>” is defined in Section 2.8 (Former Collaboration Degrader Target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Sets).</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1.112 “</w:t>
      </w:r>
      <w:r>
        <w:rPr>
          <w:rFonts w:ascii="Times New Roman" w:cs="Times New Roman" w:eastAsia="Times New Roman" w:hAnsi="Times New Roman"/>
          <w:sz w:val="22"/>
          <w:szCs w:val="22"/>
          <w:b w:val="1"/>
          <w:bCs w:val="1"/>
          <w:color w:val="auto"/>
        </w:rPr>
        <w:t>Former Licensed Degrader Target</w:t>
      </w:r>
      <w:r>
        <w:rPr>
          <w:rFonts w:ascii="Times New Roman" w:cs="Times New Roman" w:eastAsia="Times New Roman" w:hAnsi="Times New Roman"/>
          <w:sz w:val="22"/>
          <w:szCs w:val="22"/>
          <w:color w:val="auto"/>
        </w:rPr>
        <w:t>” means each Degrader Target that is in a Former Licensed Degrader Target Set.</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Former Licensed Degrader Target Set</w:t>
      </w:r>
      <w:r>
        <w:rPr>
          <w:rFonts w:ascii="Times New Roman" w:cs="Times New Roman" w:eastAsia="Times New Roman" w:hAnsi="Times New Roman"/>
          <w:sz w:val="21"/>
          <w:szCs w:val="21"/>
          <w:color w:val="auto"/>
        </w:rPr>
        <w:t>” is defined in Section 2.9 (Former Licensed Degrader Target Sets).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FTC</w:t>
      </w:r>
      <w:r>
        <w:rPr>
          <w:rFonts w:ascii="Times New Roman" w:cs="Times New Roman" w:eastAsia="Times New Roman" w:hAnsi="Times New Roman"/>
          <w:sz w:val="21"/>
          <w:szCs w:val="21"/>
          <w:color w:val="auto"/>
        </w:rPr>
        <w:t>” is defined in Section 5.4.1 (Filings).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FTE</w:t>
      </w:r>
      <w:r>
        <w:rPr>
          <w:rFonts w:ascii="Times New Roman" w:cs="Times New Roman" w:eastAsia="Times New Roman" w:hAnsi="Times New Roman"/>
          <w:sz w:val="21"/>
          <w:szCs w:val="21"/>
          <w:color w:val="auto"/>
        </w:rPr>
        <w:t>” is defined in Section 1.122 (“Global Development Costs”).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FTE Costs</w:t>
      </w:r>
      <w:r>
        <w:rPr>
          <w:rFonts w:ascii="Times New Roman" w:cs="Times New Roman" w:eastAsia="Times New Roman" w:hAnsi="Times New Roman"/>
          <w:sz w:val="21"/>
          <w:szCs w:val="21"/>
          <w:color w:val="auto"/>
        </w:rPr>
        <w:t>” is defined in Section 1.122 (“Global Development Costs”).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Gatekeeper</w:t>
      </w:r>
      <w:r>
        <w:rPr>
          <w:rFonts w:ascii="Times New Roman" w:cs="Times New Roman" w:eastAsia="Times New Roman" w:hAnsi="Times New Roman"/>
          <w:sz w:val="21"/>
          <w:szCs w:val="21"/>
          <w:color w:val="auto"/>
        </w:rPr>
        <w:t>” is defined in Section 3.2.1 (Appointment of Gatekeeper).</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Gatekeeper Availability Notice</w:t>
      </w:r>
      <w:r>
        <w:rPr>
          <w:rFonts w:ascii="Times New Roman" w:cs="Times New Roman" w:eastAsia="Times New Roman" w:hAnsi="Times New Roman"/>
          <w:sz w:val="21"/>
          <w:szCs w:val="21"/>
          <w:color w:val="auto"/>
        </w:rPr>
        <w:t>” is defined in Section 3.2.2 (Gatekeeper Responsibilities).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1.119 “</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the applicable then-current ethical and scientific quality standards for designing, conducting, recording and reporting Clinical Trials as are required by applicable Regulatory Authorities or Applicable Law in the relevant jurisdiction, and as amended from time to time, including, in the United States, Good Clinical Practices established in FDA regulations set forth in 21 C.F.R. Parts 50, 54, 56, and 58 and analogous rules and regulations as promulgated or endorsed by applicable Regulatory Authorities outside the United States, including Guidelines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180" w:name="page181"/>
    <w:bookmarkEnd w:id="180"/>
    <w:p>
      <w:pPr>
        <w:jc w:val="both"/>
        <w:spacing w:after="0" w:line="236" w:lineRule="auto"/>
        <w:rPr>
          <w:sz w:val="20"/>
          <w:szCs w:val="20"/>
          <w:color w:val="auto"/>
        </w:rPr>
      </w:pPr>
      <w:r>
        <w:rPr>
          <w:rFonts w:ascii="Times New Roman" w:cs="Times New Roman" w:eastAsia="Times New Roman" w:hAnsi="Times New Roman"/>
          <w:sz w:val="22"/>
          <w:szCs w:val="22"/>
          <w:color w:val="auto"/>
        </w:rPr>
        <w:t>Good Clinical Practice – ICH Harmonized Tripartite Guideline (ICH E6), to the extent such standards are not less stringent than United States GCP.</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1.120 “</w:t>
      </w:r>
      <w:r>
        <w:rPr>
          <w:rFonts w:ascii="Times New Roman" w:cs="Times New Roman" w:eastAsia="Times New Roman" w:hAnsi="Times New Roman"/>
          <w:sz w:val="22"/>
          <w:szCs w:val="22"/>
          <w:b w:val="1"/>
          <w:bCs w:val="1"/>
          <w:color w:val="auto"/>
        </w:rPr>
        <w:t>Generic/Biosimilar Product</w:t>
      </w:r>
      <w:r>
        <w:rPr>
          <w:rFonts w:ascii="Times New Roman" w:cs="Times New Roman" w:eastAsia="Times New Roman" w:hAnsi="Times New Roman"/>
          <w:sz w:val="22"/>
          <w:szCs w:val="22"/>
          <w:color w:val="auto"/>
        </w:rPr>
        <w:t>” means, with respect to a given Licensed Product in a particular country in the Territory, a pharmaceutical or biological product that (a) is approved for use in such country pursuant to a Regulatory Approval process governing approval of a generic product or biosimilar product of such Licensed Product based on the then-current standards for Regulatory Approval in such country, based upon all or part of the clinical data generated by or on behalf of the Parties pursuant to this Agreement or obtained using an abbreviated, expedited or other process, and (b) is sold in the same country as such Licensed Product by any Third Party that (i) is not a Sublicensee (other than a Sublicensee that has been granted a sublicense to any Foreground Patent by Seagen solely in connection with any settlement) and (ii) did not purchase such pharmaceutical product in a chain of distribution that included any of Seagen, its Affiliates or its or their Sublicensees.</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Global Development Cost Estimated Budget</w:t>
      </w:r>
      <w:r>
        <w:rPr>
          <w:rFonts w:ascii="Times New Roman" w:cs="Times New Roman" w:eastAsia="Times New Roman" w:hAnsi="Times New Roman"/>
          <w:sz w:val="21"/>
          <w:szCs w:val="21"/>
          <w:color w:val="auto"/>
        </w:rPr>
        <w:t>” is defined in Section 11.2.1 (Option Data Package).</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1.122 “</w:t>
      </w:r>
      <w:r>
        <w:rPr>
          <w:rFonts w:ascii="Times New Roman" w:cs="Times New Roman" w:eastAsia="Times New Roman" w:hAnsi="Times New Roman"/>
          <w:sz w:val="22"/>
          <w:szCs w:val="22"/>
          <w:b w:val="1"/>
          <w:bCs w:val="1"/>
          <w:color w:val="auto"/>
        </w:rPr>
        <w:t>Global Development Costs</w:t>
      </w:r>
      <w:r>
        <w:rPr>
          <w:rFonts w:ascii="Times New Roman" w:cs="Times New Roman" w:eastAsia="Times New Roman" w:hAnsi="Times New Roman"/>
          <w:sz w:val="22"/>
          <w:szCs w:val="22"/>
          <w:color w:val="auto"/>
        </w:rPr>
        <w:t xml:space="preserve">” means, with respect to a Profit-Share Product, the sum of the FTE Costs and Out-of-Pocket Development Costs incurred by or on behalf of Seagen and its Affiliates for the Development of the applicable Profit-Share Product that is necessary or reasonably useful for obtaining, maintaining, or supporting Regulatory Approval in [*] (including, for the avoidance of doubt, (a) to the extent obtaining, maintaining, or supporting such Regulatory Approval is necessary or reasonably useful for Development or Commercialization in [*], and (b) whether such activities are conducted before or after receipt of such Regulatory Approval), in each case, excluding those Development costs reasonably allocable to Clinical Trials conducted solely to obtain Regulatory Approval in a jurisdiction outside [*] (and not for purposes of obtaining Regulatory Approval in [*]). By way of example, the Development costs of a [*] study would not be included in “Global Development Costs.” The Parties shall mutually agree in each Profit-Share Product Agreement on the applicable FTE rate for determination of FTE Costs and a mechanism for adjustments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rate and mechanism shall be in accordance with then-current industry practice. For purposes of this Section 1.122 (“Global Development Costs”): (i) “</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Costs</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FTE Costs shall be calculated in accordance with accounting and reimbursement principles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with Seagen’s then-current Accounting Standard (such calculation methodology will be discussed and agreed by the applicable Committee in connection with Nurix’s exercise of the relevant Profit-Share Option); (ii) “</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a full-time equivalent person year as further defined and mutually agreed by the Parties in good faith in the relevant Profit-Share Product Agreement (which definition shall be consistent with Seagen’s then-current policies and Accounting Standard); and (iii) “</w:t>
      </w:r>
      <w:r>
        <w:rPr>
          <w:rFonts w:ascii="Times New Roman" w:cs="Times New Roman" w:eastAsia="Times New Roman" w:hAnsi="Times New Roman"/>
          <w:sz w:val="22"/>
          <w:szCs w:val="22"/>
          <w:b w:val="1"/>
          <w:bCs w:val="1"/>
          <w:color w:val="auto"/>
        </w:rPr>
        <w:t>Out-of-Pocket Development Costs</w:t>
      </w:r>
      <w:r>
        <w:rPr>
          <w:rFonts w:ascii="Times New Roman" w:cs="Times New Roman" w:eastAsia="Times New Roman" w:hAnsi="Times New Roman"/>
          <w:sz w:val="22"/>
          <w:szCs w:val="22"/>
          <w:color w:val="auto"/>
        </w:rPr>
        <w:t>” means all costs incurred by or on behalf of Seagen and its Affiliates for payments made to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in the Development of the applicable Profit-Share Product (including CMC Development and the Manufacture of clinical material for Clinical Trials for such Profit-Share Product).</w:t>
      </w:r>
    </w:p>
    <w:p>
      <w:pPr>
        <w:spacing w:after="0" w:line="15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1.123 “</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applicable then-current good laboratory practice standards as are required by applicable Regulatory Authorities or Applicable Law in the relevant jurisdiction, including, in the United States, those promulgated or endorsed by the FDA, including FDA regulations set forth in 21 C.F.R. Part 58, or the equivalent thereof as promulgated or endorsed by the applicable Regulatory Authorities outside of the United States, to the extent such standards are not less stringent than United States GLP.</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1.124</w:t>
      </w:r>
      <w:r>
        <w:rPr>
          <w:sz w:val="20"/>
          <w:szCs w:val="20"/>
          <w:color w:val="auto"/>
        </w:rPr>
        <w:tab/>
      </w:r>
      <w:r>
        <w:rPr>
          <w:rFonts w:ascii="Times New Roman" w:cs="Times New Roman" w:eastAsia="Times New Roman" w:hAnsi="Times New Roman"/>
          <w:sz w:val="21"/>
          <w:szCs w:val="21"/>
          <w:color w:val="auto"/>
        </w:rPr>
        <w:t>“[*]” is defined in Section 13.4 (Research Milestones).</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1.125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all applicable then-current good manufacturing practice standards relating to fine chemicals, intermediates, bulk products, components, or finished pharmaceutical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15" w:lineRule="auto"/>
        <w:rPr>
          <w:sz w:val="20"/>
          <w:szCs w:val="20"/>
          <w:color w:val="auto"/>
        </w:rPr>
      </w:pPr>
      <w:r>
        <w:rPr>
          <w:rFonts w:ascii="Times New Roman" w:cs="Times New Roman" w:eastAsia="Times New Roman" w:hAnsi="Times New Roman"/>
          <w:sz w:val="22"/>
          <w:szCs w:val="22"/>
          <w:color w:val="auto"/>
        </w:rPr>
        <w:t>biological products, as are required by applicable Regulatory Authorities or Applicable Law in the relevant jurisdiction, including: (a) all applicable requirements detailed in the FDA’s current Good Manufacturing Practices regulations at 21 C.F.R. Parts 210 and 211 and 600-680; (b) all applicable requirements detailed in the EMA’s “The Rules Governing Medicinal Products in the European Community, Volume IV, Good Manufacturing Practice for Medicinal Products” and (c) all Applicable Law promulgated by any other Governmental Authority having jurisdiction over the Manufacture of the applicable compound or pharmaceutical or biological product.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1.126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(a) federal, state, local, municipal, foreign, or other government; (b) governmental authority of any nature (including any agency, board, body, branch, bureau, commission, council, department, division, office, officer, official, organization, representative, subdivision, unit, and any court or other tribunal); (c) multinational or supranational governmental organization or body; or (d) entity or body exercising, or entitled to exercise, any executive, legislative, judicial, administrative, regulatory, police, military or taxing authority or power (including any arbiter) on behalf of a government or governmental authority.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1.127 “</w:t>
      </w:r>
      <w:r>
        <w:rPr>
          <w:rFonts w:ascii="Times New Roman" w:cs="Times New Roman" w:eastAsia="Times New Roman" w:hAnsi="Times New Roman"/>
          <w:sz w:val="22"/>
          <w:szCs w:val="22"/>
          <w:b w:val="1"/>
          <w:bCs w:val="1"/>
          <w:color w:val="auto"/>
        </w:rPr>
        <w:t>Homologous Target</w:t>
      </w:r>
      <w:r>
        <w:rPr>
          <w:rFonts w:ascii="Times New Roman" w:cs="Times New Roman" w:eastAsia="Times New Roman" w:hAnsi="Times New Roman"/>
          <w:sz w:val="22"/>
          <w:szCs w:val="22"/>
          <w:color w:val="auto"/>
        </w:rPr>
        <w:t xml:space="preserve">” means, with respect to the Degrader Target at issue, any Degrader Target that is a paralog of such Degrader Target as reasonably agreed in good faith by the Parties in writing;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neither Party shall unreasonably withhold, condition or delay such agreement.</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HSR Act</w:t>
      </w:r>
      <w:r>
        <w:rPr>
          <w:rFonts w:ascii="Times New Roman" w:cs="Times New Roman" w:eastAsia="Times New Roman" w:hAnsi="Times New Roman"/>
          <w:sz w:val="21"/>
          <w:szCs w:val="21"/>
          <w:color w:val="auto"/>
        </w:rPr>
        <w:t>” means the Hart-Scott-Rodino Antitrust Improvements Act of 1976 (15 U.S.C. § 18a).</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IFRS</w:t>
      </w:r>
      <w:r>
        <w:rPr>
          <w:rFonts w:ascii="Times New Roman" w:cs="Times New Roman" w:eastAsia="Times New Roman" w:hAnsi="Times New Roman"/>
          <w:sz w:val="21"/>
          <w:szCs w:val="21"/>
          <w:color w:val="auto"/>
        </w:rPr>
        <w:t>” means the International Financial Reporting Standards.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1.130 “[*] </w:t>
      </w:r>
      <w:r>
        <w:rPr>
          <w:rFonts w:ascii="Times New Roman" w:cs="Times New Roman" w:eastAsia="Times New Roman" w:hAnsi="Times New Roman"/>
          <w:sz w:val="22"/>
          <w:szCs w:val="22"/>
          <w:b w:val="1"/>
          <w:bCs w:val="1"/>
          <w:color w:val="auto"/>
        </w:rPr>
        <w:t>Potency Benchmark</w:t>
      </w:r>
      <w:r>
        <w:rPr>
          <w:rFonts w:ascii="Times New Roman" w:cs="Times New Roman" w:eastAsia="Times New Roman" w:hAnsi="Times New Roman"/>
          <w:sz w:val="22"/>
          <w:szCs w:val="22"/>
          <w:color w:val="auto"/>
        </w:rPr>
        <w:t>” means, with respect to a Collaboration Degrader Target Set, the set of key [*] potency properties (to be described in the applicable Joint Research Plan) of Collaboration Degraders Directed To such Collaboration Degrader Target Set that must be demonstrated (for clarity, demonstrated with respect to such Collaboration Degrader [*], unless otherwise determined by Seagen in its sole discretion) in order to achieve Research Milestone [*].</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1.131 “</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(including any amendment or supplement thereto) submitted to the FDA pursuant to 21 C.F.R. Part 312, including any amendments thereto. References herein to IND will include, to the extent applicable, any foreign counterpart of the foregoing filed with a Regulatory Authority outside the U.S. for the investigation of a pharmaceutical or biological product in any other country or group of countries (such as a Clinical Trial Application in the EU) in conformance with the requirements of such Regulatory Authority.</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1.132</w:t>
      </w:r>
      <w:r>
        <w:rPr>
          <w:sz w:val="20"/>
          <w:szCs w:val="20"/>
          <w:color w:val="auto"/>
        </w:rPr>
        <w:tab/>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Licensed Degrader Target Set</w:t>
      </w:r>
      <w:r>
        <w:rPr>
          <w:rFonts w:ascii="Times New Roman" w:cs="Times New Roman" w:eastAsia="Times New Roman" w:hAnsi="Times New Roman"/>
          <w:sz w:val="21"/>
          <w:szCs w:val="21"/>
          <w:color w:val="auto"/>
        </w:rPr>
        <w:t>” is defined in Section 2.7 ([*] Licensed Degrader Target Set).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Indemnification Claim Notice</w:t>
      </w:r>
      <w:r>
        <w:rPr>
          <w:rFonts w:ascii="Times New Roman" w:cs="Times New Roman" w:eastAsia="Times New Roman" w:hAnsi="Times New Roman"/>
          <w:sz w:val="21"/>
          <w:szCs w:val="21"/>
          <w:color w:val="auto"/>
        </w:rPr>
        <w:t>” is defined in Section 18.2.1 (Indemnification Notice).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is defined in Section 18.2.1 (Indemnification Notice).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Indemnitor</w:t>
      </w:r>
      <w:r>
        <w:rPr>
          <w:rFonts w:ascii="Times New Roman" w:cs="Times New Roman" w:eastAsia="Times New Roman" w:hAnsi="Times New Roman"/>
          <w:sz w:val="21"/>
          <w:szCs w:val="21"/>
          <w:color w:val="auto"/>
        </w:rPr>
        <w:t>” is defined in Section 18.2.1 (Indemnification Notice).</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1.136 “</w:t>
      </w:r>
      <w:r>
        <w:rPr>
          <w:rFonts w:ascii="Times New Roman" w:cs="Times New Roman" w:eastAsia="Times New Roman" w:hAnsi="Times New Roman"/>
          <w:sz w:val="21"/>
          <w:szCs w:val="21"/>
          <w:b w:val="1"/>
          <w:bCs w:val="1"/>
          <w:color w:val="auto"/>
        </w:rPr>
        <w:t>Indication</w:t>
      </w:r>
      <w:r>
        <w:rPr>
          <w:rFonts w:ascii="Times New Roman" w:cs="Times New Roman" w:eastAsia="Times New Roman" w:hAnsi="Times New Roman"/>
          <w:sz w:val="21"/>
          <w:szCs w:val="21"/>
          <w:color w:val="auto"/>
        </w:rPr>
        <w:t xml:space="preserve">” means a separate and distinct disease, medical condition or disorder in humans that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the broadening of use of a product for different stages of a particular disease, condition or disorder shall not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separate Indications; (b) moving from one line of therapy to another for a particular disease, condition or disorder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182" w:name="page183"/>
    <w:bookmarkEnd w:id="182"/>
    <w:p>
      <w:pPr>
        <w:jc w:val="both"/>
        <w:spacing w:after="0" w:line="218" w:lineRule="auto"/>
        <w:rPr>
          <w:sz w:val="20"/>
          <w:szCs w:val="20"/>
          <w:color w:val="auto"/>
        </w:rPr>
      </w:pPr>
      <w:r>
        <w:rPr>
          <w:rFonts w:ascii="Times New Roman" w:cs="Times New Roman" w:eastAsia="Times New Roman" w:hAnsi="Times New Roman"/>
          <w:sz w:val="22"/>
          <w:szCs w:val="22"/>
          <w:color w:val="auto"/>
        </w:rPr>
        <w:t>considered to be a new Indication,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moving from second line therapy to first line therapy); (c) an Indication for a product includes all uses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prophylactic and therapeutic uses) for the relevant disease, condition or disorder for all patient populations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pediatric and adult uses) irrespective of different formulation(s), dosage forms, dosage strengths, or delivery system(s) used; and (d) obtaining a label expansion for use of a product in combination with another product in the same disease, condition or disorder will not be considered to be a new Indication.</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Infringement</w:t>
      </w:r>
      <w:r>
        <w:rPr>
          <w:rFonts w:ascii="Times New Roman" w:cs="Times New Roman" w:eastAsia="Times New Roman" w:hAnsi="Times New Roman"/>
          <w:sz w:val="21"/>
          <w:szCs w:val="21"/>
          <w:color w:val="auto"/>
        </w:rPr>
        <w:t>” is defined in Section 15.3.1 (Notification).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Degrader Target Set</w:t>
      </w:r>
      <w:r>
        <w:rPr>
          <w:rFonts w:ascii="Times New Roman" w:cs="Times New Roman" w:eastAsia="Times New Roman" w:hAnsi="Times New Roman"/>
          <w:sz w:val="21"/>
          <w:szCs w:val="21"/>
          <w:color w:val="auto"/>
        </w:rPr>
        <w:t>” is defined in Section 2.2.1 (Initial Degrader Target Sets).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Joint Research Plan</w:t>
      </w:r>
      <w:r>
        <w:rPr>
          <w:rFonts w:ascii="Times New Roman" w:cs="Times New Roman" w:eastAsia="Times New Roman" w:hAnsi="Times New Roman"/>
          <w:sz w:val="21"/>
          <w:szCs w:val="21"/>
          <w:color w:val="auto"/>
        </w:rPr>
        <w:t>” is defined in Section 4.1 (Joint Research Plans).</w:t>
      </w:r>
    </w:p>
    <w:p>
      <w:pPr>
        <w:spacing w:after="0" w:line="179"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2"/>
          <w:szCs w:val="22"/>
          <w:color w:val="auto"/>
        </w:rPr>
        <w:t>1.140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means, with respect to a pharmaceutical or biological product and a Clinical Trial, the administration of the first dose of such product or placebo to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patient dosed in such Clinical Trial.</w:t>
      </w:r>
    </w:p>
    <w:p>
      <w:pPr>
        <w:spacing w:after="0" w:line="5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1.141 “</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means any process, method, composition of matter, article of manufacture, discovery or finding, in each case, that is first conceived or reduced to practice under this Agreement.</w:t>
      </w:r>
    </w:p>
    <w:p>
      <w:pPr>
        <w:spacing w:after="0" w:line="150"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1.142</w:t>
        <w:tab/>
        <w:t>[*]</w:t>
      </w:r>
    </w:p>
    <w:p>
      <w:pPr>
        <w:spacing w:after="0" w:line="17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Foreground IP</w:t>
      </w:r>
      <w:r>
        <w:rPr>
          <w:rFonts w:ascii="Times New Roman" w:cs="Times New Roman" w:eastAsia="Times New Roman" w:hAnsi="Times New Roman"/>
          <w:sz w:val="21"/>
          <w:szCs w:val="21"/>
          <w:color w:val="auto"/>
        </w:rPr>
        <w:t>” is defined in Section 15.1.2 (Foreground IP).</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Foreground Patents</w:t>
      </w:r>
      <w:r>
        <w:rPr>
          <w:rFonts w:ascii="Times New Roman" w:cs="Times New Roman" w:eastAsia="Times New Roman" w:hAnsi="Times New Roman"/>
          <w:sz w:val="21"/>
          <w:szCs w:val="21"/>
          <w:color w:val="auto"/>
        </w:rPr>
        <w:t>” is defined in Section 15.1.2 (Foreground IP).</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Patent Committee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JPC</w:t>
      </w:r>
      <w:r>
        <w:rPr>
          <w:rFonts w:ascii="Times New Roman" w:cs="Times New Roman" w:eastAsia="Times New Roman" w:hAnsi="Times New Roman"/>
          <w:sz w:val="21"/>
          <w:szCs w:val="21"/>
          <w:color w:val="auto"/>
        </w:rPr>
        <w:t>” is defined in Section 10.4 (Joint Patent Committee).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Research</w:t>
      </w:r>
      <w:r>
        <w:rPr>
          <w:rFonts w:ascii="Times New Roman" w:cs="Times New Roman" w:eastAsia="Times New Roman" w:hAnsi="Times New Roman"/>
          <w:sz w:val="21"/>
          <w:szCs w:val="21"/>
          <w:color w:val="auto"/>
        </w:rPr>
        <w:t>” is defined in Section 4.2 (Joint Research Activities).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1.147 “</w:t>
      </w:r>
      <w:r>
        <w:rPr>
          <w:rFonts w:ascii="Times New Roman" w:cs="Times New Roman" w:eastAsia="Times New Roman" w:hAnsi="Times New Roman"/>
          <w:sz w:val="22"/>
          <w:szCs w:val="22"/>
          <w:b w:val="1"/>
          <w:bCs w:val="1"/>
          <w:color w:val="auto"/>
        </w:rPr>
        <w:t>Joint Research Plan</w:t>
      </w:r>
      <w:r>
        <w:rPr>
          <w:rFonts w:ascii="Times New Roman" w:cs="Times New Roman" w:eastAsia="Times New Roman" w:hAnsi="Times New Roman"/>
          <w:sz w:val="22"/>
          <w:szCs w:val="22"/>
          <w:color w:val="auto"/>
        </w:rPr>
        <w:t>” means each research plan for each Collaboration Degrader Target Set approved as further described in Section 4.1 (Joint Research Plans) (as such plan may be amended as permitted under this Agreement), which plan shall include the applicable Collaboration Degrader Criteria and the [*] validation criteria (including the applicable [*] Potency Benchmark) for advancement of Collaboration Degraders or Collaboration Degrader-Antibody Conjugates that are Directed To such Collaboration Degrader Target Set as further described in Section 4.1 (Joint Research Plans).</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Research Team</w:t>
      </w:r>
      <w:r>
        <w:rPr>
          <w:rFonts w:ascii="Times New Roman" w:cs="Times New Roman" w:eastAsia="Times New Roman" w:hAnsi="Times New Roman"/>
          <w:sz w:val="21"/>
          <w:szCs w:val="21"/>
          <w:color w:val="auto"/>
        </w:rPr>
        <w:t>” is defined in Section 10.3.1 (Joint Research Team Membership).</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1.149 “</w:t>
      </w:r>
      <w:r>
        <w:rPr>
          <w:rFonts w:ascii="Times New Roman" w:cs="Times New Roman" w:eastAsia="Times New Roman" w:hAnsi="Times New Roman"/>
          <w:sz w:val="22"/>
          <w:szCs w:val="22"/>
          <w:b w:val="1"/>
          <w:bCs w:val="1"/>
          <w:color w:val="auto"/>
        </w:rPr>
        <w:t>Joint Research Term</w:t>
      </w:r>
      <w:r>
        <w:rPr>
          <w:rFonts w:ascii="Times New Roman" w:cs="Times New Roman" w:eastAsia="Times New Roman" w:hAnsi="Times New Roman"/>
          <w:sz w:val="22"/>
          <w:szCs w:val="22"/>
          <w:color w:val="auto"/>
        </w:rPr>
        <w:t xml:space="preserve">” means, on a Collaboration Degrader Target Set-by-Collaboration Degrader Target Set basis, the period beginning upon the applicable Degrader Target Set Selection Date and ending upon the earliest of (a) the completion of the applicable Joint Research Plan for such Collaboration Degrader Target Set, (b) the date that is [*] after the applicable [*], or (c) the date that is [*] after the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(x) the Joint Research Term may be extended on a Collaboration Degrader Target Set-by-Collaboration Degrader Target Set basis for [*] by the payment of the Joint Research Term Extension Fee in accordance with Section 4.3 (Joint Research Term Extension), and (y) except as the Parties may otherwise mutually agree in writing, under no circumstances (including any such extension under Section 4.3 (Joint Research Term Extension)) will the Joint Research Term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1" w:right="339" w:bottom="1440" w:gutter="0" w:footer="0" w:header="0"/>
        </w:sectPr>
      </w:pPr>
    </w:p>
    <w:bookmarkStart w:id="183" w:name="page184"/>
    <w:bookmarkEnd w:id="183"/>
    <w:p>
      <w:pPr>
        <w:jc w:val="both"/>
        <w:spacing w:after="0" w:line="236" w:lineRule="auto"/>
        <w:rPr>
          <w:sz w:val="20"/>
          <w:szCs w:val="20"/>
          <w:color w:val="auto"/>
        </w:rPr>
      </w:pPr>
      <w:r>
        <w:rPr>
          <w:rFonts w:ascii="Times New Roman" w:cs="Times New Roman" w:eastAsia="Times New Roman" w:hAnsi="Times New Roman"/>
          <w:sz w:val="22"/>
          <w:szCs w:val="22"/>
          <w:color w:val="auto"/>
        </w:rPr>
        <w:t>Collaboration Degrader Target Set, including [*] or any Replacement Degrader Target Set, as applicable, extend beyond the date that is [*] after the Effective Date.</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Research Term Extension</w:t>
      </w:r>
      <w:r>
        <w:rPr>
          <w:rFonts w:ascii="Times New Roman" w:cs="Times New Roman" w:eastAsia="Times New Roman" w:hAnsi="Times New Roman"/>
          <w:sz w:val="21"/>
          <w:szCs w:val="21"/>
          <w:color w:val="auto"/>
        </w:rPr>
        <w:t>” is defined in Section 4.3 (Joint Research Term Extension).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Research Term Extension Fee</w:t>
      </w:r>
      <w:r>
        <w:rPr>
          <w:rFonts w:ascii="Times New Roman" w:cs="Times New Roman" w:eastAsia="Times New Roman" w:hAnsi="Times New Roman"/>
          <w:sz w:val="21"/>
          <w:szCs w:val="21"/>
          <w:color w:val="auto"/>
        </w:rPr>
        <w:t>” is defined in Section 13.2 (Joint Research Term Extension Fee).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JRC</w:t>
      </w:r>
      <w:r>
        <w:rPr>
          <w:rFonts w:ascii="Times New Roman" w:cs="Times New Roman" w:eastAsia="Times New Roman" w:hAnsi="Times New Roman"/>
          <w:sz w:val="21"/>
          <w:szCs w:val="21"/>
          <w:color w:val="auto"/>
        </w:rPr>
        <w:t>” is defined in Section 10.2.1 (JRC Membership).</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JRC Co-Chairs</w:t>
      </w:r>
      <w:r>
        <w:rPr>
          <w:rFonts w:ascii="Times New Roman" w:cs="Times New Roman" w:eastAsia="Times New Roman" w:hAnsi="Times New Roman"/>
          <w:sz w:val="21"/>
          <w:szCs w:val="21"/>
          <w:color w:val="auto"/>
        </w:rPr>
        <w:t>” is defined in Section 10.2.2 (JRC Co-Chairs).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JSC</w:t>
      </w:r>
      <w:r>
        <w:rPr>
          <w:rFonts w:ascii="Times New Roman" w:cs="Times New Roman" w:eastAsia="Times New Roman" w:hAnsi="Times New Roman"/>
          <w:sz w:val="21"/>
          <w:szCs w:val="21"/>
          <w:color w:val="auto"/>
        </w:rPr>
        <w:t>” is defined in Section 10.1.1 (JSC Membership).</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JSC Co-Chairs</w:t>
      </w:r>
      <w:r>
        <w:rPr>
          <w:rFonts w:ascii="Times New Roman" w:cs="Times New Roman" w:eastAsia="Times New Roman" w:hAnsi="Times New Roman"/>
          <w:sz w:val="21"/>
          <w:szCs w:val="21"/>
          <w:color w:val="auto"/>
        </w:rPr>
        <w:t>” is defined in Section 10.1.1 (JSC Membership).</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1.156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Know-How</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means any and all proprietary or confidential algorithms, data, information, inventions, knowledge, methods (including methods of use or administration or dosing), practices, results, software, techniques, technology and trade secrets, including analytical and quality control data, analytical methods (including applicable reference standards), assays, biomarkers, batch records, chemical structures and formulations, compositions of matter, formulae, manufacturing data,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1.157 “</w:t>
      </w:r>
      <w:r>
        <w:rPr>
          <w:rFonts w:ascii="Times New Roman" w:cs="Times New Roman" w:eastAsia="Times New Roman" w:hAnsi="Times New Roman"/>
          <w:sz w:val="22"/>
          <w:szCs w:val="22"/>
          <w:b w:val="1"/>
          <w:bCs w:val="1"/>
          <w:color w:val="auto"/>
        </w:rPr>
        <w:t>Licensed Degrader</w:t>
      </w:r>
      <w:r>
        <w:rPr>
          <w:rFonts w:ascii="Times New Roman" w:cs="Times New Roman" w:eastAsia="Times New Roman" w:hAnsi="Times New Roman"/>
          <w:sz w:val="22"/>
          <w:szCs w:val="22"/>
          <w:color w:val="auto"/>
        </w:rPr>
        <w:t>” means, with respect to a Licensed Degrader Target Set, any Collaboration Degrader Directed To such Licensed Degrader Target Set (for clarity, or a Subset thereof). For clarity, (a) a Licensed Degrader may or may not contain one (1) or more attachment moieties in its Proteasome Protein Binder, Degrader Spacer, or Degrader Target Binder that enable the conjugation of such Licensed Degrader to a Degrader-Antibody Linker, and (b) a Licensed Degrader Directed To a Licensed Degrader Target Set that, as of the time of determination, is simultaneously both a Licensed Degrader Target Set and a Collaboration Degrader Target Set (as further described in Section 1.159 (“Licensed Degrader Target Set”)) shall be a Licensed Degrader Directed To such Licensed Degrader Target Set and, simultaneously, a Collaboration Degrader Directed To such Collaboration Degrader Target Set, until the expiration of the Joint Research Term applicable to such Collaboration Degrader Target Set (subsequently, upon expiration of the applicable Joint Research Term, such Degrader shall be a Licensed Degrader and not a Collaboration Degrader).</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1.158 “</w:t>
      </w:r>
      <w:r>
        <w:rPr>
          <w:rFonts w:ascii="Times New Roman" w:cs="Times New Roman" w:eastAsia="Times New Roman" w:hAnsi="Times New Roman"/>
          <w:sz w:val="22"/>
          <w:szCs w:val="22"/>
          <w:b w:val="1"/>
          <w:bCs w:val="1"/>
          <w:color w:val="auto"/>
        </w:rPr>
        <w:t>Licensed Degrader Target</w:t>
      </w:r>
      <w:r>
        <w:rPr>
          <w:rFonts w:ascii="Times New Roman" w:cs="Times New Roman" w:eastAsia="Times New Roman" w:hAnsi="Times New Roman"/>
          <w:sz w:val="22"/>
          <w:szCs w:val="22"/>
          <w:color w:val="auto"/>
        </w:rPr>
        <w:t xml:space="preserve">” means each Degrader Target in a Licensed Degrader Target Set from and after the applicable Degrader License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Degrader Target shall no longer be a Licensed Degrader Target from and after the time that such Degrader Target becomes a Former Licensed Degrader Target.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1.159 “</w:t>
      </w:r>
      <w:r>
        <w:rPr>
          <w:rFonts w:ascii="Times New Roman" w:cs="Times New Roman" w:eastAsia="Times New Roman" w:hAnsi="Times New Roman"/>
          <w:sz w:val="22"/>
          <w:szCs w:val="22"/>
          <w:b w:val="1"/>
          <w:bCs w:val="1"/>
          <w:color w:val="auto"/>
        </w:rPr>
        <w:t>Licensed Degrader Target Set</w:t>
      </w:r>
      <w:r>
        <w:rPr>
          <w:rFonts w:ascii="Times New Roman" w:cs="Times New Roman" w:eastAsia="Times New Roman" w:hAnsi="Times New Roman"/>
          <w:sz w:val="22"/>
          <w:szCs w:val="22"/>
          <w:color w:val="auto"/>
        </w:rPr>
        <w:t>” means a Collaboration Degrader Target Set for which the Degrader License Effective Date has occurred in accordance with Section 5.2 (Degrader License Option Exercise). For clarity, (a) there can be no more than [*] Licensed Degrader Target Sets at any one time (provided that, unless the context otherwise requires, a Licensed Degrader Target Set and its Subsets, including any [*] Licensed Degrader Target Set, shall be considered a single Licensed Degrader Target Set hereunder), and (b) if the Degrader License Effective Date with respect to a Collaboration Degrader Target Set occurs before the expiration of the Joint Research Term applicable to such Collaboration Degrader Target Set, such Collaboration Degrader Target Set is considered, simultaneously, both a Licensed Degrader Target Set and a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84" w:name="page185"/>
    <w:bookmarkEnd w:id="184"/>
    <w:p>
      <w:pPr>
        <w:jc w:val="both"/>
        <w:spacing w:after="0" w:line="225" w:lineRule="auto"/>
        <w:rPr>
          <w:sz w:val="20"/>
          <w:szCs w:val="20"/>
          <w:color w:val="auto"/>
        </w:rPr>
      </w:pPr>
      <w:r>
        <w:rPr>
          <w:rFonts w:ascii="Times New Roman" w:cs="Times New Roman" w:eastAsia="Times New Roman" w:hAnsi="Times New Roman"/>
          <w:sz w:val="22"/>
          <w:szCs w:val="22"/>
          <w:color w:val="auto"/>
        </w:rPr>
        <w:t>Degrader Target Set, until the expiration of such applicable Joint Research Term (subsequently, upon expiration of the applicable Joint Research Term, such Degrader Target Set shall be a Licensed Degrader Target Set and not a Collaboration Degrader Target Set).</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1.160 “</w:t>
      </w:r>
      <w:r>
        <w:rPr>
          <w:rFonts w:ascii="Times New Roman" w:cs="Times New Roman" w:eastAsia="Times New Roman" w:hAnsi="Times New Roman"/>
          <w:sz w:val="22"/>
          <w:szCs w:val="22"/>
          <w:b w:val="1"/>
          <w:bCs w:val="1"/>
          <w:color w:val="auto"/>
        </w:rPr>
        <w:t>Licensed Degrader-Antibody Conjugate</w:t>
      </w:r>
      <w:r>
        <w:rPr>
          <w:rFonts w:ascii="Times New Roman" w:cs="Times New Roman" w:eastAsia="Times New Roman" w:hAnsi="Times New Roman"/>
          <w:sz w:val="22"/>
          <w:szCs w:val="22"/>
          <w:color w:val="auto"/>
        </w:rPr>
        <w:t>” means, with respect to a Licensed Degrader Target Set, a Degrader-Antibody Conjugate that (a) contains a Licensed Degrader that is Directed To such Licensed Degrader Target Set (for clarity, or a Subset thereof) and (b) does not contain any Degrader that is not a Licensed Degrader. For clarity, any Degrader-Antibody Conjugate that contains (x) a Licensed Degrader and (y) a Collaboration Degrader that is not a Licensed Degrader, shall not be considered a Licensed Degrader-Antibody Conjugate.</w:t>
      </w:r>
    </w:p>
    <w:p>
      <w:pPr>
        <w:spacing w:after="0" w:line="14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1.161 “</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pharmaceutical or biological preparation that is a Licensed Degrader or Licensed Degrader-Antibody Conjugate (in all presentations and formulations including all manners of delivery, strengths and dosages).</w:t>
      </w:r>
    </w:p>
    <w:p>
      <w:pPr>
        <w:spacing w:after="0" w:line="35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1.162 “</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means a Marketing Authorization Application or similar application, as applicable, and all amendments and supplements thereto, submitted to the FDA, EMA or other Regulatory Authority to obtain marketing approval (but excluding Pricing Approval) for a pharmaceutical or biological product in the U.S., EU, or other country or group of countries. For clarity, an MAA includes an NDA.</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1.163 “</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means all activities related to the manufacturing of a pharmaceutical or biological product or any component or ingredient thereof, including the production, manufacture, having manufactured, processing, filling, finishing, packaging, labeling, assembling, shipping and holding (including storage) of product or any intermediate thereof, including process development, process qualification and validation, scale-up, commercial manufacture and analytic development, product characterization, stability testing, quality assurance and quality control and release. When used as a verb, “Manufacture” means to engage in Manufacture.</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Transfer Agreement</w:t>
      </w:r>
      <w:r>
        <w:rPr>
          <w:rFonts w:ascii="Times New Roman" w:cs="Times New Roman" w:eastAsia="Times New Roman" w:hAnsi="Times New Roman"/>
          <w:sz w:val="21"/>
          <w:szCs w:val="21"/>
          <w:color w:val="auto"/>
        </w:rPr>
        <w:t>” is defined in Section 4.6 (Seagen-Provided Property).</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1.165 “</w:t>
      </w:r>
      <w:r>
        <w:rPr>
          <w:rFonts w:ascii="Times New Roman" w:cs="Times New Roman" w:eastAsia="Times New Roman" w:hAnsi="Times New Roman"/>
          <w:sz w:val="22"/>
          <w:szCs w:val="22"/>
          <w:b w:val="1"/>
          <w:bCs w:val="1"/>
          <w:color w:val="auto"/>
        </w:rPr>
        <w:t>Milestone Event</w:t>
      </w:r>
      <w:r>
        <w:rPr>
          <w:rFonts w:ascii="Times New Roman" w:cs="Times New Roman" w:eastAsia="Times New Roman" w:hAnsi="Times New Roman"/>
          <w:sz w:val="22"/>
          <w:szCs w:val="22"/>
          <w:color w:val="auto"/>
        </w:rPr>
        <w:t>” means any Research Milestone Event, Development and Regulatory Milestone Event, or Sales Milestone Event, as applicable.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1.166 “</w:t>
      </w:r>
      <w:r>
        <w:rPr>
          <w:rFonts w:ascii="Times New Roman" w:cs="Times New Roman" w:eastAsia="Times New Roman" w:hAnsi="Times New Roman"/>
          <w:sz w:val="22"/>
          <w:szCs w:val="22"/>
          <w:b w:val="1"/>
          <w:bCs w:val="1"/>
          <w:color w:val="auto"/>
        </w:rPr>
        <w:t>Milestone Payment</w:t>
      </w:r>
      <w:r>
        <w:rPr>
          <w:rFonts w:ascii="Times New Roman" w:cs="Times New Roman" w:eastAsia="Times New Roman" w:hAnsi="Times New Roman"/>
          <w:sz w:val="22"/>
          <w:szCs w:val="22"/>
          <w:color w:val="auto"/>
        </w:rPr>
        <w:t>” means any Research Milestone Payment, Development and Regulatory Milestone Payment, or Sales Milestone Payment, as applicable.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1.167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with respect to a pharmaceutical product, a New Drug Application submitted to the FDA in accordance with the FFDCA, and with respect to a biological product, a Biologics License Application submitted to the FDA in accordance with the Public Health Service Act and the applicable regulations promulgated thereunder.</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1.168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with respect to a Licensed Product for any period during the Term, the gross amount billed or invoiced by Seagen or any of its Affiliates or its or their Sublicensees for the sale of a Licensed Product to a Third Party commencing with the First Commercial Sale of such Licensed Product less the following deductions determined in accordance with the Accounting Standard of Seagen, its Affiliates or Sublicensees from such gross amounts which are actually incurred, allowed, accrued or specifically allocated: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22"/>
          <w:szCs w:val="22"/>
          <w:color w:val="auto"/>
        </w:rPr>
        <w:t>1.168.3[*];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1.168.6[*];</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1.168.7[*];</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1.168.8[*]; and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1.168.9[*].</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Net Sales shall not include transfers or dispositions of such Licensed Product for pre-clinical or clinical purposes, compassionate use or as samples, in each case, without charge. Such Party’s, its Affiliates’ or its or their Sublicensees’ transfer of any Licensed Product to an Affiliate or Sublicensee shall not result in any Net Sales unless the transferee is an end user.</w:t>
      </w:r>
    </w:p>
    <w:p>
      <w:pPr>
        <w:spacing w:after="0" w:line="15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In the event that a Licensed Product is sold in any country in the form of a Combination Product, Net Sales of such Combination Product shall be adjusted by multiplying actual Net Sales of such Combination Product in such country calculated pursuant to the foregoing definition of “Net Sales” by the fraction [*]. If either such Licensed Product that contains the applicable Licensed Degrader or Licensed Degrader-Antibody Conjugate as its sole active ingredient or any such product that solely contains Additional Active(s) is not sold separately (including in the case of the sale of a combination therapy that contains the Licensed Degrader but it is not sold separately) in a particular country, then the adjustment to Net Sales shall be determined by</w:t>
      </w:r>
    </w:p>
    <w:p>
      <w:pPr>
        <w:spacing w:after="0" w:line="4" w:lineRule="exact"/>
        <w:rPr>
          <w:sz w:val="20"/>
          <w:szCs w:val="20"/>
          <w:color w:val="auto"/>
        </w:rPr>
      </w:pPr>
    </w:p>
    <w:p>
      <w:pPr>
        <w:ind w:left="660" w:right="160" w:hanging="652"/>
        <w:spacing w:after="0" w:line="396" w:lineRule="auto"/>
        <w:tabs>
          <w:tab w:leader="none" w:pos="37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dispute arises regarding the allocation mechanism under this paragraph, the Dispute shall be resolved [*]. 1.169 “</w:t>
      </w:r>
      <w:r>
        <w:rPr>
          <w:rFonts w:ascii="Times New Roman" w:cs="Times New Roman" w:eastAsia="Times New Roman" w:hAnsi="Times New Roman"/>
          <w:sz w:val="22"/>
          <w:szCs w:val="22"/>
          <w:b w:val="1"/>
          <w:bCs w:val="1"/>
          <w:color w:val="auto"/>
        </w:rPr>
        <w:t>Non-Enforcing Party</w:t>
      </w:r>
      <w:r>
        <w:rPr>
          <w:rFonts w:ascii="Times New Roman" w:cs="Times New Roman" w:eastAsia="Times New Roman" w:hAnsi="Times New Roman"/>
          <w:sz w:val="22"/>
          <w:szCs w:val="22"/>
          <w:color w:val="auto"/>
        </w:rPr>
        <w:t>” is defined in Section 15.3.3(d).</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1.170   “</w:t>
      </w:r>
      <w:r>
        <w:rPr>
          <w:rFonts w:ascii="Times New Roman" w:cs="Times New Roman" w:eastAsia="Times New Roman" w:hAnsi="Times New Roman"/>
          <w:sz w:val="22"/>
          <w:szCs w:val="22"/>
          <w:b w:val="1"/>
          <w:bCs w:val="1"/>
          <w:color w:val="auto"/>
        </w:rPr>
        <w:t>Notice of Dispute</w:t>
      </w:r>
      <w:r>
        <w:rPr>
          <w:rFonts w:ascii="Times New Roman" w:cs="Times New Roman" w:eastAsia="Times New Roman" w:hAnsi="Times New Roman"/>
          <w:sz w:val="22"/>
          <w:szCs w:val="22"/>
          <w:color w:val="auto"/>
        </w:rPr>
        <w:t>” is defined in Section 20.6.2(a).</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1.171   “</w:t>
      </w:r>
      <w:r>
        <w:rPr>
          <w:rFonts w:ascii="Times New Roman" w:cs="Times New Roman" w:eastAsia="Times New Roman" w:hAnsi="Times New Roman"/>
          <w:sz w:val="22"/>
          <w:szCs w:val="22"/>
          <w:b w:val="1"/>
          <w:bCs w:val="1"/>
          <w:color w:val="auto"/>
        </w:rPr>
        <w:t>Nurix</w:t>
      </w:r>
      <w:r>
        <w:rPr>
          <w:rFonts w:ascii="Times New Roman" w:cs="Times New Roman" w:eastAsia="Times New Roman" w:hAnsi="Times New Roman"/>
          <w:sz w:val="22"/>
          <w:szCs w:val="22"/>
          <w:color w:val="auto"/>
        </w:rPr>
        <w:t>” is defined in the preamble to this Agreement.</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1.172   “</w:t>
      </w:r>
      <w:r>
        <w:rPr>
          <w:rFonts w:ascii="Times New Roman" w:cs="Times New Roman" w:eastAsia="Times New Roman" w:hAnsi="Times New Roman"/>
          <w:sz w:val="22"/>
          <w:szCs w:val="22"/>
          <w:b w:val="1"/>
          <w:bCs w:val="1"/>
          <w:color w:val="auto"/>
        </w:rPr>
        <w:t>Nurix Background In-Licensed IP</w:t>
      </w:r>
      <w:r>
        <w:rPr>
          <w:rFonts w:ascii="Times New Roman" w:cs="Times New Roman" w:eastAsia="Times New Roman" w:hAnsi="Times New Roman"/>
          <w:sz w:val="22"/>
          <w:szCs w:val="22"/>
          <w:color w:val="auto"/>
        </w:rPr>
        <w:t>” is defined in Section 12.3 (Upstream License Agreements).</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1.173   “</w:t>
      </w:r>
      <w:r>
        <w:rPr>
          <w:rFonts w:ascii="Times New Roman" w:cs="Times New Roman" w:eastAsia="Times New Roman" w:hAnsi="Times New Roman"/>
          <w:sz w:val="22"/>
          <w:szCs w:val="22"/>
          <w:b w:val="1"/>
          <w:bCs w:val="1"/>
          <w:color w:val="auto"/>
        </w:rPr>
        <w:t>Nurix Background IP</w:t>
      </w:r>
      <w:r>
        <w:rPr>
          <w:rFonts w:ascii="Times New Roman" w:cs="Times New Roman" w:eastAsia="Times New Roman" w:hAnsi="Times New Roman"/>
          <w:sz w:val="22"/>
          <w:szCs w:val="22"/>
          <w:color w:val="auto"/>
        </w:rPr>
        <w:t>” is defined in Section 15.1.1 (Background IP).</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1.174   “</w:t>
      </w:r>
      <w:r>
        <w:rPr>
          <w:rFonts w:ascii="Times New Roman" w:cs="Times New Roman" w:eastAsia="Times New Roman" w:hAnsi="Times New Roman"/>
          <w:sz w:val="22"/>
          <w:szCs w:val="22"/>
          <w:b w:val="1"/>
          <w:bCs w:val="1"/>
          <w:color w:val="auto"/>
        </w:rPr>
        <w:t>Nurix Co-Promotion Plan</w:t>
      </w:r>
      <w:r>
        <w:rPr>
          <w:rFonts w:ascii="Times New Roman" w:cs="Times New Roman" w:eastAsia="Times New Roman" w:hAnsi="Times New Roman"/>
          <w:sz w:val="22"/>
          <w:szCs w:val="22"/>
          <w:color w:val="auto"/>
        </w:rPr>
        <w:t>” is defined in Section 11.2.5 (Co-Promotion Criteria).</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1.175   “</w:t>
      </w:r>
      <w:r>
        <w:rPr>
          <w:rFonts w:ascii="Times New Roman" w:cs="Times New Roman" w:eastAsia="Times New Roman" w:hAnsi="Times New Roman"/>
          <w:sz w:val="22"/>
          <w:szCs w:val="22"/>
          <w:b w:val="1"/>
          <w:bCs w:val="1"/>
          <w:color w:val="auto"/>
        </w:rPr>
        <w:t>Nurix Foreground In-Licensed IP</w:t>
      </w:r>
      <w:r>
        <w:rPr>
          <w:rFonts w:ascii="Times New Roman" w:cs="Times New Roman" w:eastAsia="Times New Roman" w:hAnsi="Times New Roman"/>
          <w:sz w:val="22"/>
          <w:szCs w:val="22"/>
          <w:color w:val="auto"/>
        </w:rPr>
        <w:t>” is defined in Section 12.3 (Upstream License Agreements).</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1.176   “</w:t>
      </w:r>
      <w:r>
        <w:rPr>
          <w:rFonts w:ascii="Times New Roman" w:cs="Times New Roman" w:eastAsia="Times New Roman" w:hAnsi="Times New Roman"/>
          <w:sz w:val="22"/>
          <w:szCs w:val="22"/>
          <w:b w:val="1"/>
          <w:bCs w:val="1"/>
          <w:color w:val="auto"/>
        </w:rPr>
        <w:t>Nurix Foreground IP</w:t>
      </w:r>
      <w:r>
        <w:rPr>
          <w:rFonts w:ascii="Times New Roman" w:cs="Times New Roman" w:eastAsia="Times New Roman" w:hAnsi="Times New Roman"/>
          <w:sz w:val="22"/>
          <w:szCs w:val="22"/>
          <w:color w:val="auto"/>
        </w:rPr>
        <w:t>” is defined in Section 15.1.2 (Foreground IP).</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1.177   “</w:t>
      </w:r>
      <w:r>
        <w:rPr>
          <w:rFonts w:ascii="Times New Roman" w:cs="Times New Roman" w:eastAsia="Times New Roman" w:hAnsi="Times New Roman"/>
          <w:sz w:val="22"/>
          <w:szCs w:val="22"/>
          <w:b w:val="1"/>
          <w:bCs w:val="1"/>
          <w:color w:val="auto"/>
        </w:rPr>
        <w:t>Nurix Foreground Patents</w:t>
      </w:r>
      <w:r>
        <w:rPr>
          <w:rFonts w:ascii="Times New Roman" w:cs="Times New Roman" w:eastAsia="Times New Roman" w:hAnsi="Times New Roman"/>
          <w:sz w:val="22"/>
          <w:szCs w:val="22"/>
          <w:color w:val="auto"/>
        </w:rPr>
        <w:t>” is defined in Section 15.1.2 (Foreground IP).</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1.178   “</w:t>
      </w:r>
      <w:r>
        <w:rPr>
          <w:rFonts w:ascii="Times New Roman" w:cs="Times New Roman" w:eastAsia="Times New Roman" w:hAnsi="Times New Roman"/>
          <w:sz w:val="22"/>
          <w:szCs w:val="22"/>
          <w:b w:val="1"/>
          <w:bCs w:val="1"/>
          <w:color w:val="auto"/>
        </w:rPr>
        <w:t>Nurix Indemnitee</w:t>
      </w:r>
      <w:r>
        <w:rPr>
          <w:rFonts w:ascii="Times New Roman" w:cs="Times New Roman" w:eastAsia="Times New Roman" w:hAnsi="Times New Roman"/>
          <w:sz w:val="22"/>
          <w:szCs w:val="22"/>
          <w:color w:val="auto"/>
        </w:rPr>
        <w:t>” is defined in Section 18.1.1 (Indemnification by Seagen).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86" w:name="page187"/>
    <w:bookmarkEnd w:id="186"/>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Nurix IP</w:t>
      </w:r>
      <w:r>
        <w:rPr>
          <w:rFonts w:ascii="Times New Roman" w:cs="Times New Roman" w:eastAsia="Times New Roman" w:hAnsi="Times New Roman"/>
          <w:sz w:val="21"/>
          <w:szCs w:val="21"/>
          <w:color w:val="auto"/>
        </w:rPr>
        <w:t>” means the Nurix Patents and the Nurix Know-How (for clarity, excluding any Joint Foreground IP).</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1.180 “</w:t>
      </w:r>
      <w:r>
        <w:rPr>
          <w:rFonts w:ascii="Times New Roman" w:cs="Times New Roman" w:eastAsia="Times New Roman" w:hAnsi="Times New Roman"/>
          <w:sz w:val="22"/>
          <w:szCs w:val="22"/>
          <w:b w:val="1"/>
          <w:bCs w:val="1"/>
          <w:color w:val="auto"/>
        </w:rPr>
        <w:t>Nurix Know-How</w:t>
      </w:r>
      <w:r>
        <w:rPr>
          <w:rFonts w:ascii="Times New Roman" w:cs="Times New Roman" w:eastAsia="Times New Roman" w:hAnsi="Times New Roman"/>
          <w:sz w:val="22"/>
          <w:szCs w:val="22"/>
          <w:color w:val="auto"/>
        </w:rPr>
        <w:t>” means any and all Know-How that, as between the Parties, is solely Controlled by Nurix or any of its Affiliates as of the Effective Date or thereafter during the Term which is necessary or reasonably useful for the research, Development, Manufacture or Commercialization of any Collaboration Degrader or Collaboration Degrader-Antibody Conjugate, including any Licensed Product, in the Field in the Territory.</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1.181 “</w:t>
      </w:r>
      <w:r>
        <w:rPr>
          <w:rFonts w:ascii="Times New Roman" w:cs="Times New Roman" w:eastAsia="Times New Roman" w:hAnsi="Times New Roman"/>
          <w:sz w:val="22"/>
          <w:szCs w:val="22"/>
          <w:b w:val="1"/>
          <w:bCs w:val="1"/>
          <w:color w:val="auto"/>
        </w:rPr>
        <w:t>Nurix Materials</w:t>
      </w:r>
      <w:r>
        <w:rPr>
          <w:rFonts w:ascii="Times New Roman" w:cs="Times New Roman" w:eastAsia="Times New Roman" w:hAnsi="Times New Roman"/>
          <w:sz w:val="22"/>
          <w:szCs w:val="22"/>
          <w:color w:val="auto"/>
        </w:rPr>
        <w:t>” means any materials made, generated or developed by Nurix, and any information that is necessary to apprise Seagen of the stability, proper storage and safe handling requirements for such materials, in each case, Controlled by Nurix or its Affiliates that are necessary or reasonably useful to the Parties’ Research activities under this Agreement or are necessary or reasonably useful to the research, Development, Manufacture, or Commercialization of Collaboration Degraders, Collaboration Degrader-Antibody Conjugates or Licensed Products (as applicable), including all applicable assays, Know-How and tangible materials related to the foregoing and actually provided by Nurix to Seagen in accordance with Section 4.7 (Nurix-Provided Property) for use with respect to the Parties’ research activities under this Agreement.</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Nurix Opt-In Agreement(s)</w:t>
      </w:r>
      <w:r>
        <w:rPr>
          <w:rFonts w:ascii="Times New Roman" w:cs="Times New Roman" w:eastAsia="Times New Roman" w:hAnsi="Times New Roman"/>
          <w:sz w:val="21"/>
          <w:szCs w:val="21"/>
          <w:color w:val="auto"/>
        </w:rPr>
        <w:t>” is defined in Section 11.1 (U.S. Profit-Share Option).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Nurix Opt-Out Date</w:t>
      </w:r>
      <w:r>
        <w:rPr>
          <w:rFonts w:ascii="Times New Roman" w:cs="Times New Roman" w:eastAsia="Times New Roman" w:hAnsi="Times New Roman"/>
          <w:sz w:val="21"/>
          <w:szCs w:val="21"/>
          <w:color w:val="auto"/>
        </w:rPr>
        <w:t>” is defined in Section 11.4.2 (Opt-Out Date and Wind-Down).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Nurix Opt-Out Notice</w:t>
      </w:r>
      <w:r>
        <w:rPr>
          <w:rFonts w:ascii="Times New Roman" w:cs="Times New Roman" w:eastAsia="Times New Roman" w:hAnsi="Times New Roman"/>
          <w:sz w:val="21"/>
          <w:szCs w:val="21"/>
          <w:color w:val="auto"/>
        </w:rPr>
        <w:t>” is defined in Section 11.4.1 (Opt-Out Notice).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1.185 “</w:t>
      </w:r>
      <w:r>
        <w:rPr>
          <w:rFonts w:ascii="Times New Roman" w:cs="Times New Roman" w:eastAsia="Times New Roman" w:hAnsi="Times New Roman"/>
          <w:sz w:val="22"/>
          <w:szCs w:val="22"/>
          <w:b w:val="1"/>
          <w:bCs w:val="1"/>
          <w:color w:val="auto"/>
        </w:rPr>
        <w:t>Nurix Patent</w:t>
      </w:r>
      <w:r>
        <w:rPr>
          <w:rFonts w:ascii="Times New Roman" w:cs="Times New Roman" w:eastAsia="Times New Roman" w:hAnsi="Times New Roman"/>
          <w:sz w:val="22"/>
          <w:szCs w:val="22"/>
          <w:color w:val="auto"/>
        </w:rPr>
        <w:t>” means any Patent that, as between the Parties, is solely Controlled by Nurix or any of its Affiliates as of the Effective Date or thereafter during the Term that Covers the research, Development, Manufacture or Commercialization of any Collaboration Degrader or Collaboration Degrader-Antibody Conjugate, including any Licensed Product, in the Field in the Territory, including all such Patents that are Nurix Foreground Patents.</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Nurix Research</w:t>
      </w:r>
      <w:r>
        <w:rPr>
          <w:rFonts w:ascii="Times New Roman" w:cs="Times New Roman" w:eastAsia="Times New Roman" w:hAnsi="Times New Roman"/>
          <w:sz w:val="21"/>
          <w:szCs w:val="21"/>
          <w:color w:val="auto"/>
        </w:rPr>
        <w:t>” is defined in Section 4.2 (Joint Research Activities).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Nurix Resources</w:t>
      </w:r>
      <w:r>
        <w:rPr>
          <w:rFonts w:ascii="Times New Roman" w:cs="Times New Roman" w:eastAsia="Times New Roman" w:hAnsi="Times New Roman"/>
          <w:sz w:val="21"/>
          <w:szCs w:val="21"/>
          <w:color w:val="auto"/>
        </w:rPr>
        <w:t>” is defined in Section 11.2.5 (Co-Promotion Criteria).</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Opt-Out Wind-Down Period</w:t>
      </w:r>
      <w:r>
        <w:rPr>
          <w:rFonts w:ascii="Times New Roman" w:cs="Times New Roman" w:eastAsia="Times New Roman" w:hAnsi="Times New Roman"/>
          <w:sz w:val="21"/>
          <w:szCs w:val="21"/>
          <w:color w:val="auto"/>
        </w:rPr>
        <w:t>” is defined in Section 11.4.2 (Opt-Out Date and Wind-Down).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Data Package</w:t>
      </w:r>
      <w:r>
        <w:rPr>
          <w:rFonts w:ascii="Times New Roman" w:cs="Times New Roman" w:eastAsia="Times New Roman" w:hAnsi="Times New Roman"/>
          <w:sz w:val="21"/>
          <w:szCs w:val="21"/>
          <w:color w:val="auto"/>
        </w:rPr>
        <w:t>” is defined in Section 11.2.1 (Option Data Package).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Reversion License Agreement</w:t>
      </w:r>
      <w:r>
        <w:rPr>
          <w:rFonts w:ascii="Times New Roman" w:cs="Times New Roman" w:eastAsia="Times New Roman" w:hAnsi="Times New Roman"/>
          <w:sz w:val="21"/>
          <w:szCs w:val="21"/>
          <w:color w:val="auto"/>
        </w:rPr>
        <w:t>” is defined in Section 14.3.2 (Potential Reversion Products).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Out-of-Pocket Development Costs</w:t>
      </w:r>
      <w:r>
        <w:rPr>
          <w:rFonts w:ascii="Times New Roman" w:cs="Times New Roman" w:eastAsia="Times New Roman" w:hAnsi="Times New Roman"/>
          <w:sz w:val="21"/>
          <w:szCs w:val="21"/>
          <w:color w:val="auto"/>
        </w:rPr>
        <w:t>” is defined in Section 1.122 (“Global Development Costs”).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Outside Date</w:t>
      </w:r>
      <w:r>
        <w:rPr>
          <w:rFonts w:ascii="Times New Roman" w:cs="Times New Roman" w:eastAsia="Times New Roman" w:hAnsi="Times New Roman"/>
          <w:sz w:val="21"/>
          <w:szCs w:val="21"/>
          <w:color w:val="auto"/>
        </w:rPr>
        <w:t>” is defined in Section 5.4.3 (Outside Date).</w:t>
      </w:r>
    </w:p>
    <w:p>
      <w:pPr>
        <w:spacing w:after="0" w:line="18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1.193</w:t>
      </w:r>
      <w:r>
        <w:rPr>
          <w:sz w:val="20"/>
          <w:szCs w:val="20"/>
          <w:color w:val="auto"/>
        </w:rPr>
        <w:tab/>
      </w:r>
      <w:r>
        <w:rPr>
          <w:rFonts w:ascii="Times New Roman" w:cs="Times New Roman" w:eastAsia="Times New Roman" w:hAnsi="Times New Roman"/>
          <w:sz w:val="21"/>
          <w:szCs w:val="21"/>
          <w:color w:val="auto"/>
        </w:rPr>
        <w:t>“[*]” is defined in Schedule 2.2.1 (Initial Degrader Target Sets).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1.194</w:t>
      </w:r>
      <w:r>
        <w:rPr>
          <w:sz w:val="20"/>
          <w:szCs w:val="20"/>
          <w:color w:val="auto"/>
        </w:rPr>
        <w:tab/>
      </w:r>
      <w:r>
        <w:rPr>
          <w:rFonts w:ascii="Times New Roman" w:cs="Times New Roman" w:eastAsia="Times New Roman" w:hAnsi="Times New Roman"/>
          <w:sz w:val="21"/>
          <w:szCs w:val="21"/>
          <w:color w:val="auto"/>
        </w:rPr>
        <w:t>“[*]” is defined in Schedule 2.2.1 (Initial Degrader Target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1" w:right="339" w:bottom="1440" w:gutter="0" w:footer="0" w:header="0"/>
        </w:sectPr>
      </w:pPr>
    </w:p>
    <w:bookmarkStart w:id="187" w:name="page188"/>
    <w:bookmarkEnd w:id="187"/>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1.195 “</w:t>
      </w:r>
      <w:r>
        <w:rPr>
          <w:rFonts w:ascii="Times New Roman" w:cs="Times New Roman" w:eastAsia="Times New Roman" w:hAnsi="Times New Roman"/>
          <w:sz w:val="22"/>
          <w:szCs w:val="22"/>
          <w:b w:val="1"/>
          <w:bCs w:val="1"/>
          <w:color w:val="auto"/>
        </w:rPr>
        <w:t>Pan-Directed To</w:t>
      </w:r>
      <w:r>
        <w:rPr>
          <w:rFonts w:ascii="Times New Roman" w:cs="Times New Roman" w:eastAsia="Times New Roman" w:hAnsi="Times New Roman"/>
          <w:sz w:val="22"/>
          <w:szCs w:val="22"/>
          <w:color w:val="auto"/>
        </w:rPr>
        <w:t>” means, with respect to any Degrader Target Set, that (a) the Degrader at issue (i) is Directed To all Degrader Targets in such Degrader Target Set and no other Degrader Target, (ii) selectively binds all of the Degrader Target(s) in such Degrader Target Set, (iii) degrades all of the Degrader Target(s) in such Degrader Target Set; and (iv) has been optimized to cause pharmacologically relevant activity as a result of such degradation of such Degrader Target(s) in such Degrader Target Set; or (b) the Degrader-Antibody Conjugate at issue contains a Degrader that is Pan-Directed To (as defined in clause (a) above) such Degrader Target Set. For clarity, if the applicable Degrader Target Set contains only one (1) Degrader Target, then a Degrader or Degrader-Antibody Conjugate that is Directed To such Degrader Target is also considered Pan-Directed To such Degrader Target Set. A Licensed Product will be deemed to be “Pan-Directed To” a Degrader Target Set if such Licensed Product contains a Licensed Degrader or Licensed Degrader-Antibody Conjugate that is “Pan-Directed To” such Degrader Target Set.</w:t>
      </w:r>
    </w:p>
    <w:p>
      <w:pPr>
        <w:spacing w:after="0" w:line="15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Parent Target Set</w:t>
      </w:r>
      <w:r>
        <w:rPr>
          <w:rFonts w:ascii="Times New Roman" w:cs="Times New Roman" w:eastAsia="Times New Roman" w:hAnsi="Times New Roman"/>
          <w:sz w:val="21"/>
          <w:szCs w:val="21"/>
          <w:color w:val="auto"/>
        </w:rPr>
        <w:t>” is defined in Section 1.81(b).</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is defined in the preamble to this Agreement.</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1.198 “</w:t>
      </w:r>
      <w:r>
        <w:rPr>
          <w:rFonts w:ascii="Times New Roman" w:cs="Times New Roman" w:eastAsia="Times New Roman" w:hAnsi="Times New Roman"/>
          <w:sz w:val="22"/>
          <w:szCs w:val="22"/>
          <w:b w:val="1"/>
          <w:bCs w:val="1"/>
          <w:color w:val="auto"/>
        </w:rPr>
        <w:t>Patent</w:t>
      </w:r>
      <w:r>
        <w:rPr>
          <w:rFonts w:ascii="Times New Roman" w:cs="Times New Roman" w:eastAsia="Times New Roman" w:hAnsi="Times New Roman"/>
          <w:sz w:val="22"/>
          <w:szCs w:val="22"/>
          <w:color w:val="auto"/>
        </w:rPr>
        <w:t>” means: (a) any patent or patent application in any country or supranational jurisdiction worldwide; (b) any substitution, divisional, continuation, continuation-in-part, reissue, renewal, registration, confirmation or the like of any such patent or patent application or (c) any extension or restoration by existing or future extension or restoration mechanism, including revalidation, reissue, re-examination or extension, including any supplementary protection certificate and extension thereto of any of the foregoing.</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Dispute</w:t>
      </w:r>
      <w:r>
        <w:rPr>
          <w:rFonts w:ascii="Times New Roman" w:cs="Times New Roman" w:eastAsia="Times New Roman" w:hAnsi="Times New Roman"/>
          <w:sz w:val="21"/>
          <w:szCs w:val="21"/>
          <w:color w:val="auto"/>
        </w:rPr>
        <w:t>” is defined in Section 20.6.1 (Choice of Law).</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Subcontractors</w:t>
      </w:r>
      <w:r>
        <w:rPr>
          <w:rFonts w:ascii="Times New Roman" w:cs="Times New Roman" w:eastAsia="Times New Roman" w:hAnsi="Times New Roman"/>
          <w:sz w:val="21"/>
          <w:szCs w:val="21"/>
          <w:color w:val="auto"/>
        </w:rPr>
        <w:t>” is defined in Section 14.4 (Subcontracting).</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1.201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partnership, joint venture, limited liability company, corporation, firm, trust, association, unincorporated organization, Governmental Authority or any other entity not specifically listed herein.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1.202 “</w:t>
      </w:r>
      <w:r>
        <w:rPr>
          <w:rFonts w:ascii="Times New Roman" w:cs="Times New Roman" w:eastAsia="Times New Roman" w:hAnsi="Times New Roman"/>
          <w:sz w:val="22"/>
          <w:szCs w:val="22"/>
          <w:b w:val="1"/>
          <w:bCs w:val="1"/>
          <w:color w:val="auto"/>
        </w:rPr>
        <w:t>Phase 1 Clinical Trial</w:t>
      </w:r>
      <w:r>
        <w:rPr>
          <w:rFonts w:ascii="Times New Roman" w:cs="Times New Roman" w:eastAsia="Times New Roman" w:hAnsi="Times New Roman"/>
          <w:sz w:val="22"/>
          <w:szCs w:val="22"/>
          <w:color w:val="auto"/>
        </w:rPr>
        <w:t>” means a Clinical Trial which provides for the initial introduction into humans of a pharmaceutical or biological product, conducted in healthy volunteers or patients to obtain information on product safety, tolerability, pharmacological activity or pharmacokinetics, as defined in 21 C.F.R. § 312.21(a) or its foreign equivalents.</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1.203 “</w:t>
      </w:r>
      <w:r>
        <w:rPr>
          <w:rFonts w:ascii="Times New Roman" w:cs="Times New Roman" w:eastAsia="Times New Roman" w:hAnsi="Times New Roman"/>
          <w:sz w:val="22"/>
          <w:szCs w:val="22"/>
          <w:b w:val="1"/>
          <w:bCs w:val="1"/>
          <w:color w:val="auto"/>
        </w:rPr>
        <w:t>Phase 1/2 Clinical Trial</w:t>
      </w:r>
      <w:r>
        <w:rPr>
          <w:rFonts w:ascii="Times New Roman" w:cs="Times New Roman" w:eastAsia="Times New Roman" w:hAnsi="Times New Roman"/>
          <w:sz w:val="22"/>
          <w:szCs w:val="22"/>
          <w:color w:val="auto"/>
        </w:rPr>
        <w:t>” means a Clinical Trial that combines both a Phase 1 Clinical Trial and a Phase 2 Clinical Trial into a single protocol, where the Phase 1 Clinical Trial portion is performed first to (a) establish initial safety, tolerability, pharmacokinetic and pharmacodynamic information for a pharmaceutical or biological product as a monotherapy or in combination with another agent and (b) determine the maximum tolerable dose of such product, and the Phase 2 Clinical Trial portion is performed second to evaluate the safety and efficacy of such product as a monotherapy or in combination with another agent in subjects with a target disease or medical condition treated with a selected dose. For clarity, “Phase 1/2 Clinical Trial” shall include any Clinical Trial that includes any combination of the portions of a Phase 1 Clinical Trial and a Phase 2 Clinical Trial, including a Phase 1b/2a Clinical Trial or a Phase 1b/2 Clinical Trial.</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1.204 “</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a controlled Clinical Trial, the principal purposes of which are the evaluation of the efficacy of a pharmaceutical or biological product in a target patient population and a determination of the common side-effects and risks associated with the product in the dosage range under evaluation, and to obtain sufficient additional information to permit the design of a Pivotal Trial, and is otherwise consistent with 21 C.F.R. §312.21(b)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2"/>
          <w:szCs w:val="22"/>
          <w:color w:val="auto"/>
        </w:rPr>
        <w:t>foreign equivalents. For clarity, “Phase 2 Clinical Trial” will exclude in all cases any combined Phase 1/2 Clinical Trial.</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1.205 “</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 controlled Clinical Trial to evaluate the efficacy and safety of a pharmaceutical or biological product, which is prospectively designed to demonstrate with statistical rigor whether such product is effective and safe for use in a particular Indication in a manner sufficient to support a filing for an MAA, and is otherwise consistent with the requirements of 21 C.F.R. § 312.21(c) or its foreign equivalents.</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1.206 “</w:t>
      </w:r>
      <w:r>
        <w:rPr>
          <w:rFonts w:ascii="Times New Roman" w:cs="Times New Roman" w:eastAsia="Times New Roman" w:hAnsi="Times New Roman"/>
          <w:sz w:val="21"/>
          <w:szCs w:val="21"/>
          <w:b w:val="1"/>
          <w:bCs w:val="1"/>
          <w:color w:val="auto"/>
        </w:rPr>
        <w:t>Pivotal Trial</w:t>
      </w:r>
      <w:r>
        <w:rPr>
          <w:rFonts w:ascii="Times New Roman" w:cs="Times New Roman" w:eastAsia="Times New Roman" w:hAnsi="Times New Roman"/>
          <w:sz w:val="21"/>
          <w:szCs w:val="21"/>
          <w:color w:val="auto"/>
        </w:rPr>
        <w:t>” means an expanded Clinical Trial of a pharmaceutical or biological product that: (a) is prospectively designed to demonstrate that a product is safe and effective for use in a particular Indication in a manner sufficient to evaluate the overall risk-benefit relationship of the product and to provide an adequate basis for physician labeling; (b) is intended to provide sufficient efficacy data to support the filing of a MAA for such product without the need for any additional Clinical Trials; and (c) which, at the time of Initiation of such Clinical Trial, is expected to be the basis for European Union Regulatory Approval of such product or Regulatory Approval by the FDA of such product, in each case, based on discussions with the relevant Regulatory Authority. For clarity, (x) a Phase 3 Clinical Trial (as defined herein) is always a “Pivotal Trial,” and</w:t>
      </w:r>
    </w:p>
    <w:p>
      <w:pPr>
        <w:spacing w:after="0" w:line="5" w:lineRule="exact"/>
        <w:rPr>
          <w:sz w:val="20"/>
          <w:szCs w:val="20"/>
          <w:color w:val="auto"/>
        </w:rPr>
      </w:pPr>
    </w:p>
    <w:p>
      <w:pPr>
        <w:ind w:right="20" w:firstLine="8"/>
        <w:spacing w:after="0" w:line="225" w:lineRule="auto"/>
        <w:tabs>
          <w:tab w:leader="none" w:pos="33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Phase 2 Clinical Trial, Phase 1/2 Clinical Trial, Phase 1 Clinical Trial, or other Clinical Trial (such as a “Phase 2b/3” Clinical Trial) (as such terms are defined herein) are only a “Pivotal Trial” if all conditions of this definition are met.</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PMDA</w:t>
      </w:r>
      <w:r>
        <w:rPr>
          <w:rFonts w:ascii="Times New Roman" w:cs="Times New Roman" w:eastAsia="Times New Roman" w:hAnsi="Times New Roman"/>
          <w:sz w:val="21"/>
          <w:szCs w:val="21"/>
          <w:color w:val="auto"/>
        </w:rPr>
        <w:t>” is defined in Section 1.227 (“Regulatory Authority”).</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Potential Reversion Product</w:t>
      </w:r>
      <w:r>
        <w:rPr>
          <w:rFonts w:ascii="Times New Roman" w:cs="Times New Roman" w:eastAsia="Times New Roman" w:hAnsi="Times New Roman"/>
          <w:sz w:val="21"/>
          <w:szCs w:val="21"/>
          <w:color w:val="auto"/>
        </w:rPr>
        <w:t>” is defined in Section 14.3.2 (Potential Reversion Products).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1.209 “</w:t>
      </w:r>
      <w:r>
        <w:rPr>
          <w:rFonts w:ascii="Times New Roman" w:cs="Times New Roman" w:eastAsia="Times New Roman" w:hAnsi="Times New Roman"/>
          <w:sz w:val="22"/>
          <w:szCs w:val="22"/>
          <w:b w:val="1"/>
          <w:bCs w:val="1"/>
          <w:color w:val="auto"/>
        </w:rPr>
        <w:t>Pricing Approval</w:t>
      </w:r>
      <w:r>
        <w:rPr>
          <w:rFonts w:ascii="Times New Roman" w:cs="Times New Roman" w:eastAsia="Times New Roman" w:hAnsi="Times New Roman"/>
          <w:sz w:val="22"/>
          <w:szCs w:val="22"/>
          <w:color w:val="auto"/>
        </w:rPr>
        <w:t>” means all approvals, agreements, determinations or decisions establishing prices that can be charged to consumers or third-party payors for a pharmaceutical or biological product or that will be reimbursed by Governmental Authorities for a pharmaceutical or biological product, in each case, in a country where Governmental Authorities approve or determine pricing for pharmaceutical or biological products for reimbursement or otherwise.</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Prior CDA</w:t>
      </w:r>
      <w:r>
        <w:rPr>
          <w:rFonts w:ascii="Times New Roman" w:cs="Times New Roman" w:eastAsia="Times New Roman" w:hAnsi="Times New Roman"/>
          <w:sz w:val="21"/>
          <w:szCs w:val="21"/>
          <w:color w:val="auto"/>
        </w:rPr>
        <w:t>” is defined in Section 20.10 (Entire Agreement).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1.211 “</w:t>
      </w:r>
      <w:r>
        <w:rPr>
          <w:rFonts w:ascii="Times New Roman" w:cs="Times New Roman" w:eastAsia="Times New Roman" w:hAnsi="Times New Roman"/>
          <w:sz w:val="22"/>
          <w:szCs w:val="22"/>
          <w:b w:val="1"/>
          <w:bCs w:val="1"/>
          <w:color w:val="auto"/>
        </w:rPr>
        <w:t>Product Patent</w:t>
      </w:r>
      <w:r>
        <w:rPr>
          <w:rFonts w:ascii="Times New Roman" w:cs="Times New Roman" w:eastAsia="Times New Roman" w:hAnsi="Times New Roman"/>
          <w:sz w:val="22"/>
          <w:szCs w:val="22"/>
          <w:color w:val="auto"/>
        </w:rPr>
        <w:t>” means: (a) with respect to any Licensed Product containing a Licensed Degrader-Antibody Conjugate, any and all Foreground Patents that include at least one (1) claim that claims the entirety of such Licensed Product, the Licensed Degrader-Antibody Conjugate contained in such Licensed Product, or the Licensed Degrader contained in such Licensed Degrader-Antibody Conjugate; and (b) with respect to any Licensed Product containing a Licensed Degrader and not containing a Licensed Degrader-Antibody Conjugate, any and all Foreground Patents that include at least one (1) claim that claims the entirety of such Licensed Product or the Licensed Degrader contained in such Licensed Product. For clarity, no “Product Patents” exist with respect to a Licensed Product prior to the applicable Degrader License Effective Date, but Patents existing prior to the Degrader License Effective Date may become Product Patents upon the Degrader License Effective Date.</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Profit-Share Option</w:t>
      </w:r>
      <w:r>
        <w:rPr>
          <w:rFonts w:ascii="Times New Roman" w:cs="Times New Roman" w:eastAsia="Times New Roman" w:hAnsi="Times New Roman"/>
          <w:sz w:val="21"/>
          <w:szCs w:val="21"/>
          <w:color w:val="auto"/>
        </w:rPr>
        <w:t>” is defined in Section 11.1 (U.S. Profit-Share Option).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Profit-Share Option Exercise Notice</w:t>
      </w:r>
      <w:r>
        <w:rPr>
          <w:rFonts w:ascii="Times New Roman" w:cs="Times New Roman" w:eastAsia="Times New Roman" w:hAnsi="Times New Roman"/>
          <w:sz w:val="21"/>
          <w:szCs w:val="21"/>
          <w:color w:val="auto"/>
        </w:rPr>
        <w:t>” is defined in Section 11.2.2 (Option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189" w:name="page190"/>
    <w:bookmarkEnd w:id="189"/>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Profit-Share Option Exercise Period</w:t>
      </w:r>
      <w:r>
        <w:rPr>
          <w:rFonts w:ascii="Times New Roman" w:cs="Times New Roman" w:eastAsia="Times New Roman" w:hAnsi="Times New Roman"/>
          <w:sz w:val="21"/>
          <w:szCs w:val="21"/>
          <w:color w:val="auto"/>
        </w:rPr>
        <w:t>” is defined in Section 11.2.2 (Option Exercise).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1.215 “</w:t>
      </w:r>
      <w:r>
        <w:rPr>
          <w:rFonts w:ascii="Times New Roman" w:cs="Times New Roman" w:eastAsia="Times New Roman" w:hAnsi="Times New Roman"/>
          <w:sz w:val="22"/>
          <w:szCs w:val="22"/>
          <w:b w:val="1"/>
          <w:bCs w:val="1"/>
          <w:color w:val="auto"/>
        </w:rPr>
        <w:t>Profit-Share Option Triggering Event</w:t>
      </w:r>
      <w:r>
        <w:rPr>
          <w:rFonts w:ascii="Times New Roman" w:cs="Times New Roman" w:eastAsia="Times New Roman" w:hAnsi="Times New Roman"/>
          <w:sz w:val="22"/>
          <w:szCs w:val="22"/>
          <w:color w:val="auto"/>
        </w:rPr>
        <w:t>” means, with respect to each Licensed Product for so long as Nurix may exercise a Profit-Share Option in accordance with Section 11.1 (U.S. Profit-Share Option) and Seagen has an obligation to deliver an Option Data Package with respect to the Licensed Product pursuant to Section 11.2.1 (Option Data Package), (a) [*], or (b) otherwise, the [*].</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Profit-Share Product</w:t>
      </w:r>
      <w:r>
        <w:rPr>
          <w:rFonts w:ascii="Times New Roman" w:cs="Times New Roman" w:eastAsia="Times New Roman" w:hAnsi="Times New Roman"/>
          <w:sz w:val="21"/>
          <w:szCs w:val="21"/>
          <w:color w:val="auto"/>
        </w:rPr>
        <w:t>” is defined in Section 11.1 (U.S. Profit-Share Option).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Profit-Share Product Agreement</w:t>
      </w:r>
      <w:r>
        <w:rPr>
          <w:rFonts w:ascii="Times New Roman" w:cs="Times New Roman" w:eastAsia="Times New Roman" w:hAnsi="Times New Roman"/>
          <w:sz w:val="21"/>
          <w:szCs w:val="21"/>
          <w:color w:val="auto"/>
        </w:rPr>
        <w:t>” is defined in Section 11.1 (U.S. Profit-Share Option).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Proposed Degrader Target Set</w:t>
      </w:r>
      <w:r>
        <w:rPr>
          <w:rFonts w:ascii="Times New Roman" w:cs="Times New Roman" w:eastAsia="Times New Roman" w:hAnsi="Times New Roman"/>
          <w:sz w:val="21"/>
          <w:szCs w:val="21"/>
          <w:color w:val="auto"/>
        </w:rPr>
        <w:t>” is defined in Section 3.1.1 (Proposed Degrader Target Set Notice).</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Proposed Degrader Target Set Notice</w:t>
      </w:r>
      <w:r>
        <w:rPr>
          <w:rFonts w:ascii="Times New Roman" w:cs="Times New Roman" w:eastAsia="Times New Roman" w:hAnsi="Times New Roman"/>
          <w:sz w:val="21"/>
          <w:szCs w:val="21"/>
          <w:color w:val="auto"/>
        </w:rPr>
        <w:t>” is defined in Section 3.1.1 (Proposed Degrader Target Set Notice).</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1.220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xml:space="preserve">” means, with regard to a Patent, the preparation, filing, prosecution and maintenance of such Patent, as well as re-examinations, reissues and appeals with respect to such Patent, together with the initiation or defense of interferences, oppositions,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derivations, re-examinations,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 and actions to obtain patent term extensions and supplementary protection certificates with respect to such Patent and the like. For clarification, “Prosecution and Maintenance” or “Prosecute and Maintain” will not include any other enforcement actions taken with respect to a Patent.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1.221 “</w:t>
      </w:r>
      <w:r>
        <w:rPr>
          <w:rFonts w:ascii="Times New Roman" w:cs="Times New Roman" w:eastAsia="Times New Roman" w:hAnsi="Times New Roman"/>
          <w:sz w:val="22"/>
          <w:szCs w:val="22"/>
          <w:b w:val="1"/>
          <w:bCs w:val="1"/>
          <w:color w:val="auto"/>
        </w:rPr>
        <w:t>Proteasome Protein</w:t>
      </w:r>
      <w:r>
        <w:rPr>
          <w:rFonts w:ascii="Times New Roman" w:cs="Times New Roman" w:eastAsia="Times New Roman" w:hAnsi="Times New Roman"/>
          <w:sz w:val="22"/>
          <w:szCs w:val="22"/>
          <w:color w:val="auto"/>
        </w:rPr>
        <w:t>” means any protein component of the Ubiquitin Proteasome System that is capable of initiating proteasome-dependent degradation of a Degrader Target when such protein component is bound to a Degrader, including, for clarity, any E3 ubiquitin ligase. For purposes of this Section 1.221 (“Proteasome Protein”), “</w:t>
      </w:r>
      <w:r>
        <w:rPr>
          <w:rFonts w:ascii="Times New Roman" w:cs="Times New Roman" w:eastAsia="Times New Roman" w:hAnsi="Times New Roman"/>
          <w:sz w:val="22"/>
          <w:szCs w:val="22"/>
          <w:b w:val="1"/>
          <w:bCs w:val="1"/>
          <w:color w:val="auto"/>
        </w:rPr>
        <w:t>Ubiquitin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Proteasome System</w:t>
      </w:r>
      <w:r>
        <w:rPr>
          <w:rFonts w:ascii="Times New Roman" w:cs="Times New Roman" w:eastAsia="Times New Roman" w:hAnsi="Times New Roman"/>
          <w:sz w:val="22"/>
          <w:szCs w:val="22"/>
          <w:color w:val="auto"/>
        </w:rPr>
        <w:t>” means the eukaryotic intracellular ubiquitin-proteasome protein degradation system, including, for clarity,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ubiquitin, any protein members of the proteasome, and any E3 ubiquitin ligase (but, for clarity, not including any Degrader Target).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1.222 “</w:t>
      </w:r>
      <w:r>
        <w:rPr>
          <w:rFonts w:ascii="Times New Roman" w:cs="Times New Roman" w:eastAsia="Times New Roman" w:hAnsi="Times New Roman"/>
          <w:sz w:val="22"/>
          <w:szCs w:val="22"/>
          <w:b w:val="1"/>
          <w:bCs w:val="1"/>
          <w:color w:val="auto"/>
        </w:rPr>
        <w:t>Proteasome Protein Binder</w:t>
      </w:r>
      <w:r>
        <w:rPr>
          <w:rFonts w:ascii="Times New Roman" w:cs="Times New Roman" w:eastAsia="Times New Roman" w:hAnsi="Times New Roman"/>
          <w:sz w:val="22"/>
          <w:szCs w:val="22"/>
          <w:color w:val="auto"/>
        </w:rPr>
        <w:t>” means any chemical moiety that selectively binds a Proteasome Protein (including (a) a portion of such moiety sufficient to convey such binding and (b) such moiety or portion thereof as incorporated in a Degrader under this Agreement).</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Publication</w:t>
      </w:r>
      <w:r>
        <w:rPr>
          <w:rFonts w:ascii="Times New Roman" w:cs="Times New Roman" w:eastAsia="Times New Roman" w:hAnsi="Times New Roman"/>
          <w:sz w:val="21"/>
          <w:szCs w:val="21"/>
          <w:color w:val="auto"/>
        </w:rPr>
        <w:t>” is defined in Section 16.8 (Publications).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Publishing Party</w:t>
      </w:r>
      <w:r>
        <w:rPr>
          <w:rFonts w:ascii="Times New Roman" w:cs="Times New Roman" w:eastAsia="Times New Roman" w:hAnsi="Times New Roman"/>
          <w:sz w:val="21"/>
          <w:szCs w:val="21"/>
          <w:color w:val="auto"/>
        </w:rPr>
        <w:t>” is defined in Section 16.8 (Publications).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is defined in Section 16.1 (Nondisclosure and Non-Use).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1.226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approvals, licenses or authorizations of the applicable Regulatory Authority necessary for the marketing and sale of a pharmaceutical or biological product in a country or region (but excluding separate Pricing Approvals), and any supplements or amendments thereto including approval by the applicable Regulatory Authority of any expansion or modification of the label for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1" w:right="339" w:bottom="1440" w:gutter="0" w:footer="0" w:header="0"/>
        </w:sectPr>
      </w:pPr>
    </w:p>
    <w:bookmarkStart w:id="190" w:name="page191"/>
    <w:bookmarkEnd w:id="190"/>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1.227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national, multinational, supranational, regional, state or local Governmental Authority, including the U.S. Food and Drug Administration (and any successor entity thereto) (the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in the U.S., the European Medicines Agency (and any successor entity thereto) (the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in the EU or any counterpart to the foregoing agencies, such as the Pharmaceutical and Medical Device Agency in Japan (“</w:t>
      </w:r>
      <w:r>
        <w:rPr>
          <w:rFonts w:ascii="Times New Roman" w:cs="Times New Roman" w:eastAsia="Times New Roman" w:hAnsi="Times New Roman"/>
          <w:sz w:val="22"/>
          <w:szCs w:val="22"/>
          <w:b w:val="1"/>
          <w:bCs w:val="1"/>
          <w:color w:val="auto"/>
        </w:rPr>
        <w:t>PMDA</w:t>
      </w:r>
      <w:r>
        <w:rPr>
          <w:rFonts w:ascii="Times New Roman" w:cs="Times New Roman" w:eastAsia="Times New Roman" w:hAnsi="Times New Roman"/>
          <w:sz w:val="22"/>
          <w:szCs w:val="22"/>
          <w:color w:val="auto"/>
        </w:rPr>
        <w:t>”), that in each case, holds responsibility for regulating Development, Manufacturing, and Commercialization activities, and the granting of Regulatory Approval for, a pharmaceutical or biological product in the applicable country or region.</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1.228 “</w:t>
      </w:r>
      <w:r>
        <w:rPr>
          <w:rFonts w:ascii="Times New Roman" w:cs="Times New Roman" w:eastAsia="Times New Roman" w:hAnsi="Times New Roman"/>
          <w:sz w:val="22"/>
          <w:szCs w:val="22"/>
          <w:b w:val="1"/>
          <w:bCs w:val="1"/>
          <w:color w:val="auto"/>
        </w:rPr>
        <w:t>Regulatory Exclusivity</w:t>
      </w:r>
      <w:r>
        <w:rPr>
          <w:rFonts w:ascii="Times New Roman" w:cs="Times New Roman" w:eastAsia="Times New Roman" w:hAnsi="Times New Roman"/>
          <w:sz w:val="22"/>
          <w:szCs w:val="22"/>
          <w:color w:val="auto"/>
        </w:rPr>
        <w:t>” means, with respect to a Licensed Product, any rights or protections which are recognized, afforded or granted by the FDA or any other Regulatory Authority in any country or region of the Territory, in association with the Regulatory Approval of the Licensed Product, providing the Licensed Product (a) a period of regulatory exclusivity during which a Regulatory Authority will refrain from accepting, reviewing, approving or extending an MAA or similar regulatory submission submitted by a Third Party seeking to market a Generic/Biosimilar Product of such Licensed Product, including any period of orphan drug exclusivity, or (b) a period of marketing protection during which a Generic/Biosimilar Product of such Licensed Product may obtain a Regulatory Approval but is not permitted to be placed on the market under Applicable Law.</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1.229 “</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the registrations, applications, authorizations and Regulatory Approvals (including approvals of MAAs, supplements and amendments, pre- and post-approvals, Pricing Approvals and labeling approvals) and other submissions made to or with any Regulatory Authority, including drug master files, for research, Development (including the conduct of Clinical Trials), Manufacture or Commercialization of a pharmaceutical or biological product in a regulatory jurisdiction, together with all related correspondence to or from any Regulatory Authority and all documents referenced in the complete regulatory chronology for each NDA, MAA, IND and foreign equivalents of any of the foregoing.</w:t>
      </w:r>
    </w:p>
    <w:p>
      <w:pPr>
        <w:spacing w:after="0" w:line="14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Removed Degrader Target</w:t>
      </w:r>
      <w:r>
        <w:rPr>
          <w:rFonts w:ascii="Times New Roman" w:cs="Times New Roman" w:eastAsia="Times New Roman" w:hAnsi="Times New Roman"/>
          <w:sz w:val="21"/>
          <w:szCs w:val="21"/>
          <w:color w:val="auto"/>
        </w:rPr>
        <w:t>” is defined in Section 2.5.1 (Amendment of Joint Research Plan).</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1.231 “</w:t>
      </w:r>
      <w:r>
        <w:rPr>
          <w:rFonts w:ascii="Times New Roman" w:cs="Times New Roman" w:eastAsia="Times New Roman" w:hAnsi="Times New Roman"/>
          <w:sz w:val="22"/>
          <w:szCs w:val="22"/>
          <w:b w:val="1"/>
          <w:bCs w:val="1"/>
          <w:color w:val="auto"/>
        </w:rPr>
        <w:t>Replacement Degrader Target Set</w:t>
      </w:r>
      <w:r>
        <w:rPr>
          <w:rFonts w:ascii="Times New Roman" w:cs="Times New Roman" w:eastAsia="Times New Roman" w:hAnsi="Times New Roman"/>
          <w:sz w:val="22"/>
          <w:szCs w:val="22"/>
          <w:color w:val="auto"/>
        </w:rPr>
        <w:t>” is defined in Section 2.2.3 (Collaboration Degrader Target Set Replacement Right).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1.232 “</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any pre-clinical or non-clinical research or development activities, including any related manufacturing activities, including Collaboration Degrader Target Set validation, drug discovery, identification or synthesis, with respect to a Collaboration Degrader Target Set, Collaboration Degrader, or Collaboration Degrader-Antibody Conjugate. When used as a verb, “Research” means to engage in Research.</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Milestone #2</w:t>
      </w:r>
      <w:r>
        <w:rPr>
          <w:rFonts w:ascii="Times New Roman" w:cs="Times New Roman" w:eastAsia="Times New Roman" w:hAnsi="Times New Roman"/>
          <w:sz w:val="21"/>
          <w:szCs w:val="21"/>
          <w:color w:val="auto"/>
        </w:rPr>
        <w:t>” is defined in Section 13.4 (Research Milestones).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Milestone #3</w:t>
      </w:r>
      <w:r>
        <w:rPr>
          <w:rFonts w:ascii="Times New Roman" w:cs="Times New Roman" w:eastAsia="Times New Roman" w:hAnsi="Times New Roman"/>
          <w:sz w:val="21"/>
          <w:szCs w:val="21"/>
          <w:color w:val="auto"/>
        </w:rPr>
        <w:t>” is defined in Section 13.4 (Research Milestones).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Milestone Event</w:t>
      </w:r>
      <w:r>
        <w:rPr>
          <w:rFonts w:ascii="Times New Roman" w:cs="Times New Roman" w:eastAsia="Times New Roman" w:hAnsi="Times New Roman"/>
          <w:sz w:val="21"/>
          <w:szCs w:val="21"/>
          <w:color w:val="auto"/>
        </w:rPr>
        <w:t>” is defined in Section 13.4 (Research Milestones).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Milestone Payment</w:t>
      </w:r>
      <w:r>
        <w:rPr>
          <w:rFonts w:ascii="Times New Roman" w:cs="Times New Roman" w:eastAsia="Times New Roman" w:hAnsi="Times New Roman"/>
          <w:sz w:val="21"/>
          <w:szCs w:val="21"/>
          <w:color w:val="auto"/>
        </w:rPr>
        <w:t>” is defined in Section 13.4 (Research Milestones).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1.237 “</w:t>
      </w:r>
      <w:r>
        <w:rPr>
          <w:rFonts w:ascii="Times New Roman" w:cs="Times New Roman" w:eastAsia="Times New Roman" w:hAnsi="Times New Roman"/>
          <w:sz w:val="22"/>
          <w:szCs w:val="22"/>
          <w:b w:val="1"/>
          <w:bCs w:val="1"/>
          <w:color w:val="auto"/>
        </w:rPr>
        <w:t>Research Program</w:t>
      </w:r>
      <w:r>
        <w:rPr>
          <w:rFonts w:ascii="Times New Roman" w:cs="Times New Roman" w:eastAsia="Times New Roman" w:hAnsi="Times New Roman"/>
          <w:sz w:val="22"/>
          <w:szCs w:val="22"/>
          <w:color w:val="auto"/>
        </w:rPr>
        <w:t>” means, on a Collaboration Degrader Target Set-by-Collaboration Degrader Target Set basis, all Joint Research activities undertaken under the Joint Research Plan for such Collaboration Degrader Target Set, to identify compounds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1" w:right="339" w:bottom="1440" w:gutter="0" w:footer="0" w:header="0"/>
        </w:sectPr>
      </w:pPr>
    </w:p>
    <w:bookmarkStart w:id="191" w:name="page192"/>
    <w:bookmarkEnd w:id="191"/>
    <w:p>
      <w:pPr>
        <w:jc w:val="both"/>
        <w:spacing w:after="0" w:line="236" w:lineRule="auto"/>
        <w:rPr>
          <w:sz w:val="20"/>
          <w:szCs w:val="20"/>
          <w:color w:val="auto"/>
        </w:rPr>
      </w:pPr>
      <w:r>
        <w:rPr>
          <w:rFonts w:ascii="Times New Roman" w:cs="Times New Roman" w:eastAsia="Times New Roman" w:hAnsi="Times New Roman"/>
          <w:sz w:val="22"/>
          <w:szCs w:val="22"/>
          <w:color w:val="auto"/>
        </w:rPr>
        <w:t>Collaboration Degraders and Collaboration Degrader-Antibody Conjugates, in each case, that are Directed To such Collaboration Degrader Target Set.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1.238 “</w:t>
      </w:r>
      <w:r>
        <w:rPr>
          <w:rFonts w:ascii="Times New Roman" w:cs="Times New Roman" w:eastAsia="Times New Roman" w:hAnsi="Times New Roman"/>
          <w:sz w:val="22"/>
          <w:szCs w:val="22"/>
          <w:b w:val="1"/>
          <w:bCs w:val="1"/>
          <w:color w:val="auto"/>
        </w:rPr>
        <w:t>Research Results</w:t>
      </w:r>
      <w:r>
        <w:rPr>
          <w:rFonts w:ascii="Times New Roman" w:cs="Times New Roman" w:eastAsia="Times New Roman" w:hAnsi="Times New Roman"/>
          <w:sz w:val="22"/>
          <w:szCs w:val="22"/>
          <w:color w:val="auto"/>
        </w:rPr>
        <w:t>” means any Research data, relevant compound structures (including structures of Degraders, Proteasome Protein Binders, Degrader Spacers and Degrader Target Binders), material, results or other information related to or otherwise arising under or out of any Joint Research activities or Seagen Research activities, to the extent in existence and in the Control of Nurix or Seagen, as applicable, at the time that such material, results or information is required to be disclosed to the other Party in accordance with Section 4.8 (Information Sharing).</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Reservation Period</w:t>
      </w:r>
      <w:r>
        <w:rPr>
          <w:rFonts w:ascii="Times New Roman" w:cs="Times New Roman" w:eastAsia="Times New Roman" w:hAnsi="Times New Roman"/>
          <w:sz w:val="21"/>
          <w:szCs w:val="21"/>
          <w:color w:val="auto"/>
        </w:rPr>
        <w:t>” is defined in Section 2.3.1 (General).</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Reserved Degrader Target Set</w:t>
      </w:r>
      <w:r>
        <w:rPr>
          <w:rFonts w:ascii="Times New Roman" w:cs="Times New Roman" w:eastAsia="Times New Roman" w:hAnsi="Times New Roman"/>
          <w:sz w:val="21"/>
          <w:szCs w:val="21"/>
          <w:color w:val="auto"/>
        </w:rPr>
        <w:t>” is defined in Section 2.3.1 (General).</w:t>
      </w:r>
    </w:p>
    <w:p>
      <w:pPr>
        <w:spacing w:after="0" w:line="18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1.241</w:t>
        <w:tab/>
        <w:t>[*]</w:t>
      </w:r>
    </w:p>
    <w:p>
      <w:pPr>
        <w:spacing w:after="0" w:line="17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1.242 “</w:t>
      </w:r>
      <w:r>
        <w:rPr>
          <w:rFonts w:ascii="Times New Roman" w:cs="Times New Roman" w:eastAsia="Times New Roman" w:hAnsi="Times New Roman"/>
          <w:sz w:val="22"/>
          <w:szCs w:val="22"/>
          <w:b w:val="1"/>
          <w:bCs w:val="1"/>
          <w:color w:val="auto"/>
        </w:rPr>
        <w:t>Reversion Product</w:t>
      </w:r>
      <w:r>
        <w:rPr>
          <w:rFonts w:ascii="Times New Roman" w:cs="Times New Roman" w:eastAsia="Times New Roman" w:hAnsi="Times New Roman"/>
          <w:sz w:val="22"/>
          <w:szCs w:val="22"/>
          <w:color w:val="auto"/>
        </w:rPr>
        <w:t>” means, upon any Licensed Degrader Target Set becoming a Former Licensed Degrader Target Set, (a) any Profit-Share Product containing a Licensed Degrader or Licensed Degrader-Antibody Conjugate, in each case, Directed To such Former Licensed Degrader Target Set, and (b) any Licensed Product for which [*] comprising a Licensed Degrader Directed To such Former Licensed Degrader Target Set that does not contain a Licensed Degrader-Antibody Conjugate (a Licensed Product satisfying clause (b), a “</w:t>
      </w:r>
      <w:r>
        <w:rPr>
          <w:rFonts w:ascii="Times New Roman" w:cs="Times New Roman" w:eastAsia="Times New Roman" w:hAnsi="Times New Roman"/>
          <w:sz w:val="22"/>
          <w:szCs w:val="22"/>
          <w:b w:val="1"/>
          <w:bCs w:val="1"/>
          <w:color w:val="auto"/>
        </w:rPr>
        <w:t>Reverted Standalone Degrader</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Reversion Product License Agreement</w:t>
      </w:r>
      <w:r>
        <w:rPr>
          <w:rFonts w:ascii="Times New Roman" w:cs="Times New Roman" w:eastAsia="Times New Roman" w:hAnsi="Times New Roman"/>
          <w:sz w:val="21"/>
          <w:szCs w:val="21"/>
          <w:color w:val="auto"/>
        </w:rPr>
        <w:t>” is defined in Section 14.3.1 (Reversion Product License Agreement).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Reverted Standalone Degrader</w:t>
      </w:r>
      <w:r>
        <w:rPr>
          <w:rFonts w:ascii="Times New Roman" w:cs="Times New Roman" w:eastAsia="Times New Roman" w:hAnsi="Times New Roman"/>
          <w:sz w:val="21"/>
          <w:szCs w:val="21"/>
          <w:color w:val="auto"/>
        </w:rPr>
        <w:t>” is defined in Section 1.242 (“Reversion Product”).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Reviewing Party</w:t>
      </w:r>
      <w:r>
        <w:rPr>
          <w:rFonts w:ascii="Times New Roman" w:cs="Times New Roman" w:eastAsia="Times New Roman" w:hAnsi="Times New Roman"/>
          <w:sz w:val="21"/>
          <w:szCs w:val="21"/>
          <w:color w:val="auto"/>
        </w:rPr>
        <w:t>” is defined in Section 16.8 (Publications).</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1.246 “</w:t>
      </w:r>
      <w:r>
        <w:rPr>
          <w:rFonts w:ascii="Times New Roman" w:cs="Times New Roman" w:eastAsia="Times New Roman" w:hAnsi="Times New Roman"/>
          <w:sz w:val="22"/>
          <w:szCs w:val="22"/>
          <w:b w:val="1"/>
          <w:bCs w:val="1"/>
          <w:color w:val="auto"/>
        </w:rPr>
        <w:t>Royalty Patents</w:t>
      </w:r>
      <w:r>
        <w:rPr>
          <w:rFonts w:ascii="Times New Roman" w:cs="Times New Roman" w:eastAsia="Times New Roman" w:hAnsi="Times New Roman"/>
          <w:sz w:val="22"/>
          <w:szCs w:val="22"/>
          <w:color w:val="auto"/>
        </w:rPr>
        <w:t>” means, collectively, with respect to a Licensed Product, any and all (a) [*] Patents, in each case, claiming [*] and (b) [*]. For clarity, the “Royalty Patents” shall not include [*].</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1.247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means, on a Licensed Product-by-Licensed Product and country by country basis, the period of time commencing on the First Commercial Sale of such Licensed Product in such country and ending upon the last to occur of:</w:t>
      </w:r>
    </w:p>
    <w:p>
      <w:pPr>
        <w:jc w:val="both"/>
        <w:ind w:firstLine="8"/>
        <w:spacing w:after="0" w:line="218" w:lineRule="auto"/>
        <w:tabs>
          <w:tab w:leader="none" w:pos="30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last-to-expire Royalty Patent having at least one Valid Claim that Covers such Licensed Product as it is sold in such country; (b) the expiration of all Regulatory Exclusivity for such Licensed Product in such country; and (c) [*] years after the First Commercial Sale of such Licensed Product in such country.</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is defined in Section 20.6.3 (Arbitration)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Sales Milestone Event</w:t>
      </w:r>
      <w:r>
        <w:rPr>
          <w:rFonts w:ascii="Times New Roman" w:cs="Times New Roman" w:eastAsia="Times New Roman" w:hAnsi="Times New Roman"/>
          <w:sz w:val="21"/>
          <w:szCs w:val="21"/>
          <w:color w:val="auto"/>
        </w:rPr>
        <w:t>” is defined in Section 13.8 (Sales-Based Milestones).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Sales Milestone Payment</w:t>
      </w:r>
      <w:r>
        <w:rPr>
          <w:rFonts w:ascii="Times New Roman" w:cs="Times New Roman" w:eastAsia="Times New Roman" w:hAnsi="Times New Roman"/>
          <w:sz w:val="21"/>
          <w:szCs w:val="21"/>
          <w:color w:val="auto"/>
        </w:rPr>
        <w:t>” is defined in Section 13.8 (Sales-Based Milestones).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w:t>
      </w:r>
      <w:r>
        <w:rPr>
          <w:rFonts w:ascii="Times New Roman" w:cs="Times New Roman" w:eastAsia="Times New Roman" w:hAnsi="Times New Roman"/>
          <w:sz w:val="21"/>
          <w:szCs w:val="21"/>
          <w:color w:val="auto"/>
        </w:rPr>
        <w:t>” is defined in the preamble to this Agreement.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Background IP</w:t>
      </w:r>
      <w:r>
        <w:rPr>
          <w:rFonts w:ascii="Times New Roman" w:cs="Times New Roman" w:eastAsia="Times New Roman" w:hAnsi="Times New Roman"/>
          <w:sz w:val="21"/>
          <w:szCs w:val="21"/>
          <w:color w:val="auto"/>
        </w:rPr>
        <w:t>” is defined in Section 15.1.1 (Background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192" w:name="page193"/>
    <w:bookmarkEnd w:id="192"/>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Desired Degrader Targets</w:t>
      </w:r>
      <w:r>
        <w:rPr>
          <w:rFonts w:ascii="Times New Roman" w:cs="Times New Roman" w:eastAsia="Times New Roman" w:hAnsi="Times New Roman"/>
          <w:sz w:val="21"/>
          <w:szCs w:val="21"/>
          <w:color w:val="auto"/>
        </w:rPr>
        <w:t>” is defined in Section 3.2.2 (Gatekeeper Responsibilities).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Foreground IP</w:t>
      </w:r>
      <w:r>
        <w:rPr>
          <w:rFonts w:ascii="Times New Roman" w:cs="Times New Roman" w:eastAsia="Times New Roman" w:hAnsi="Times New Roman"/>
          <w:sz w:val="21"/>
          <w:szCs w:val="21"/>
          <w:color w:val="auto"/>
        </w:rPr>
        <w:t>” is defined in Section 15.1.2 (Foreground IP).</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Foreground Patents</w:t>
      </w:r>
      <w:r>
        <w:rPr>
          <w:rFonts w:ascii="Times New Roman" w:cs="Times New Roman" w:eastAsia="Times New Roman" w:hAnsi="Times New Roman"/>
          <w:sz w:val="21"/>
          <w:szCs w:val="21"/>
          <w:color w:val="auto"/>
        </w:rPr>
        <w:t>” is defined in Section 15.1.2 (Foreground IP).</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1.256 “</w:t>
      </w:r>
      <w:r>
        <w:rPr>
          <w:rFonts w:ascii="Times New Roman" w:cs="Times New Roman" w:eastAsia="Times New Roman" w:hAnsi="Times New Roman"/>
          <w:sz w:val="21"/>
          <w:szCs w:val="21"/>
          <w:b w:val="1"/>
          <w:bCs w:val="1"/>
          <w:color w:val="auto"/>
        </w:rPr>
        <w:t>Seagen Inactive Period</w:t>
      </w:r>
      <w:r>
        <w:rPr>
          <w:rFonts w:ascii="Times New Roman" w:cs="Times New Roman" w:eastAsia="Times New Roman" w:hAnsi="Times New Roman"/>
          <w:sz w:val="21"/>
          <w:szCs w:val="21"/>
          <w:color w:val="auto"/>
        </w:rPr>
        <w:t>” means, with respect to a Licensed Degrader Target Set, any consecutive [*] period (a) beginning after the applicable Degrader License Effective Date and (b) during which Seagen has not, directly or indirectly (including with or through any Affiliate or Third Party), [*]. Notwithstanding the foregoing, a Seagen Inactive Period will not be deemed to have occurred unless and until (A) Nurix notifies Seagen in writing of its good faith belief that a Seagen Inactive Period has occurred with respect to a [*] (the “</w:t>
      </w:r>
      <w:r>
        <w:rPr>
          <w:rFonts w:ascii="Times New Roman" w:cs="Times New Roman" w:eastAsia="Times New Roman" w:hAnsi="Times New Roman"/>
          <w:sz w:val="21"/>
          <w:szCs w:val="21"/>
          <w:b w:val="1"/>
          <w:bCs w:val="1"/>
          <w:color w:val="auto"/>
        </w:rPr>
        <w:t>Seagen Inactive Period Notice</w:t>
      </w:r>
      <w:r>
        <w:rPr>
          <w:rFonts w:ascii="Times New Roman" w:cs="Times New Roman" w:eastAsia="Times New Roman" w:hAnsi="Times New Roman"/>
          <w:sz w:val="21"/>
          <w:szCs w:val="21"/>
          <w:color w:val="auto"/>
        </w:rPr>
        <w:t xml:space="preserve">”) and (B) the passage of [*] days following delivery of such notice;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Seagen disputes that a Seagen Inactive Period has occurred and so notifies Nurix within</w:t>
      </w:r>
    </w:p>
    <w:p>
      <w:pPr>
        <w:ind w:left="320" w:hanging="312"/>
        <w:spacing w:after="0" w:line="216" w:lineRule="auto"/>
        <w:tabs>
          <w:tab w:leader="none" w:pos="3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delivery to Seagen of Nurix’s written notice, a Seagen Inactive Period will not be deemed to have occurred unless and until</w:t>
      </w:r>
    </w:p>
    <w:p>
      <w:pPr>
        <w:jc w:val="both"/>
        <w:spacing w:after="0" w:line="21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the Parties mutually agree in writing that a Seagen Inactive Period has occurred or (2) the conclusion of a dispute resolution process under Section 20.6 (Choice of Law; Dispute Resolution; Jurisdiction) resulting in a final determination that a Seagen Inactive Period has occurred. Notwithstanding anything to the contrary in this Agreement, any Seagen activities undertaken after receipt of the Seagen Inactive Period Notice will not be considered in determining whether or not a Seagen Inactive Period has occurred, and any exercise by Seagen of its final decision-making authority under in Section 10.6 (Committee Decisions) not to conduct the activities described in the foregoing clauses (b)(ii) or (b)(iii) shall not be considered in any determining whether or not a Seagen Inactive Period has occurred.</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Inactive Period Notice</w:t>
      </w:r>
      <w:r>
        <w:rPr>
          <w:rFonts w:ascii="Times New Roman" w:cs="Times New Roman" w:eastAsia="Times New Roman" w:hAnsi="Times New Roman"/>
          <w:sz w:val="21"/>
          <w:szCs w:val="21"/>
          <w:color w:val="auto"/>
        </w:rPr>
        <w:t>” is defined in Section 1.256 (“Seagen Inactive Period”).</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Indemnitee</w:t>
      </w:r>
      <w:r>
        <w:rPr>
          <w:rFonts w:ascii="Times New Roman" w:cs="Times New Roman" w:eastAsia="Times New Roman" w:hAnsi="Times New Roman"/>
          <w:sz w:val="21"/>
          <w:szCs w:val="21"/>
          <w:color w:val="auto"/>
        </w:rPr>
        <w:t>” is defined in Section 18.1.2 (Indemnification by Nurix).</w:t>
      </w:r>
    </w:p>
    <w:p>
      <w:pPr>
        <w:spacing w:after="0" w:line="16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IP</w:t>
      </w:r>
      <w:r>
        <w:rPr>
          <w:rFonts w:ascii="Times New Roman" w:cs="Times New Roman" w:eastAsia="Times New Roman" w:hAnsi="Times New Roman"/>
          <w:sz w:val="21"/>
          <w:szCs w:val="21"/>
          <w:color w:val="auto"/>
        </w:rPr>
        <w:t>” means the Seagen Patents and the Seagen Know-How (for clarity, excluding any Joint Foreground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IP).</w:t>
      </w:r>
    </w:p>
    <w:p>
      <w:pPr>
        <w:spacing w:after="0" w:line="151"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1.260 “</w:t>
      </w:r>
      <w:r>
        <w:rPr>
          <w:rFonts w:ascii="Times New Roman" w:cs="Times New Roman" w:eastAsia="Times New Roman" w:hAnsi="Times New Roman"/>
          <w:sz w:val="22"/>
          <w:szCs w:val="22"/>
          <w:b w:val="1"/>
          <w:bCs w:val="1"/>
          <w:color w:val="auto"/>
        </w:rPr>
        <w:t>Seagen Know-How</w:t>
      </w:r>
      <w:r>
        <w:rPr>
          <w:rFonts w:ascii="Times New Roman" w:cs="Times New Roman" w:eastAsia="Times New Roman" w:hAnsi="Times New Roman"/>
          <w:sz w:val="22"/>
          <w:szCs w:val="22"/>
          <w:color w:val="auto"/>
        </w:rPr>
        <w:t>” means any and all Know-How that, as between the Parties, is solely Controlled by Seagen or any of its Affiliates as of the Effective Date or thereafter which is necessary or reasonably useful for the Research, Development, Manufacture or Commercialization of a Licensed Product in the Field in the Territory.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1.261 “</w:t>
      </w:r>
      <w:r>
        <w:rPr>
          <w:rFonts w:ascii="Times New Roman" w:cs="Times New Roman" w:eastAsia="Times New Roman" w:hAnsi="Times New Roman"/>
          <w:sz w:val="22"/>
          <w:szCs w:val="22"/>
          <w:b w:val="1"/>
          <w:bCs w:val="1"/>
          <w:color w:val="auto"/>
        </w:rPr>
        <w:t>Seagen Materials</w:t>
      </w:r>
      <w:r>
        <w:rPr>
          <w:rFonts w:ascii="Times New Roman" w:cs="Times New Roman" w:eastAsia="Times New Roman" w:hAnsi="Times New Roman"/>
          <w:sz w:val="22"/>
          <w:szCs w:val="22"/>
          <w:color w:val="auto"/>
        </w:rPr>
        <w:t>” means any materials made, generated or developed by Seagen, and any information that is necessary to apprise Nurix of the stability, proper storage and safe handling requirements for such materials, in each case, Controlled by Seagen or its Affiliates and provided by Seagen to Nurix in accordance with Section 4.6 (Seagen-Provided Property) for use with respect to the Parties’ Research activities under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1.262 “</w:t>
      </w:r>
      <w:r>
        <w:rPr>
          <w:rFonts w:ascii="Times New Roman" w:cs="Times New Roman" w:eastAsia="Times New Roman" w:hAnsi="Times New Roman"/>
          <w:sz w:val="22"/>
          <w:szCs w:val="22"/>
          <w:b w:val="1"/>
          <w:bCs w:val="1"/>
          <w:color w:val="auto"/>
        </w:rPr>
        <w:t>Seagen Patent</w:t>
      </w:r>
      <w:r>
        <w:rPr>
          <w:rFonts w:ascii="Times New Roman" w:cs="Times New Roman" w:eastAsia="Times New Roman" w:hAnsi="Times New Roman"/>
          <w:sz w:val="22"/>
          <w:szCs w:val="22"/>
          <w:color w:val="auto"/>
        </w:rPr>
        <w:t>” means any Patent that, as between the Parties, is solely Controlled by Seagen or any of its Affiliates (other than by operation of the licenses granted by Nurix to Seagen under this Agreement or any Ancillary Agreement) as of or after the Effective Date and that Covers the research, Development, Manufacture or Commercialization of a Licensed Product in the Field in the Territory, including all such Patents that are Seagen Foreground Patents.</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Prosecution Step-In Patent</w:t>
      </w:r>
      <w:r>
        <w:rPr>
          <w:rFonts w:ascii="Times New Roman" w:cs="Times New Roman" w:eastAsia="Times New Roman" w:hAnsi="Times New Roman"/>
          <w:sz w:val="21"/>
          <w:szCs w:val="21"/>
          <w:color w:val="auto"/>
        </w:rPr>
        <w:t>” is defined in Section 15.2.2(c).</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Research</w:t>
      </w:r>
      <w:r>
        <w:rPr>
          <w:rFonts w:ascii="Times New Roman" w:cs="Times New Roman" w:eastAsia="Times New Roman" w:hAnsi="Times New Roman"/>
          <w:sz w:val="21"/>
          <w:szCs w:val="21"/>
          <w:color w:val="auto"/>
        </w:rPr>
        <w:t>” is defined in Section 4.2 (Joint Research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1" w:right="339" w:bottom="1440" w:gutter="0" w:footer="0" w:header="0"/>
        </w:sectPr>
      </w:pPr>
    </w:p>
    <w:bookmarkStart w:id="193" w:name="page194"/>
    <w:bookmarkEnd w:id="193"/>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Seagen Research Term</w:t>
      </w:r>
      <w:r>
        <w:rPr>
          <w:rFonts w:ascii="Times New Roman" w:cs="Times New Roman" w:eastAsia="Times New Roman" w:hAnsi="Times New Roman"/>
          <w:sz w:val="21"/>
          <w:szCs w:val="21"/>
          <w:color w:val="auto"/>
        </w:rPr>
        <w:t>” is defined in Section 4.4 (Seagen Research Activities).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1.266 “</w:t>
      </w:r>
      <w:r>
        <w:rPr>
          <w:rFonts w:ascii="Times New Roman" w:cs="Times New Roman" w:eastAsia="Times New Roman" w:hAnsi="Times New Roman"/>
          <w:sz w:val="22"/>
          <w:szCs w:val="22"/>
          <w:b w:val="1"/>
          <w:bCs w:val="1"/>
          <w:color w:val="auto"/>
        </w:rPr>
        <w:t>Seagen Safety Review Committee</w:t>
      </w:r>
      <w:r>
        <w:rPr>
          <w:rFonts w:ascii="Times New Roman" w:cs="Times New Roman" w:eastAsia="Times New Roman" w:hAnsi="Times New Roman"/>
          <w:sz w:val="22"/>
          <w:szCs w:val="22"/>
          <w:color w:val="auto"/>
        </w:rPr>
        <w:t>” means (a) Seagen’s global safety risk management committee responsible for reviewing Development or Commercialization activities with respect to safety matters for Seagen and its Affiliates’ entire portfolio established and conducted in accordance with Seagen’s internal policies governing the management of global safety risk for products Developed or Commercialized by or on behalf of Seagen, or (b) successor committee(s) that may be in effect following the Effective Date that satisfy the conditions described in clause (a) above.</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Indication</w:t>
      </w:r>
      <w:r>
        <w:rPr>
          <w:rFonts w:ascii="Times New Roman" w:cs="Times New Roman" w:eastAsia="Times New Roman" w:hAnsi="Times New Roman"/>
          <w:sz w:val="21"/>
          <w:szCs w:val="21"/>
          <w:color w:val="auto"/>
        </w:rPr>
        <w:t>” is defined in Section 13.7.1.</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Licensed Product</w:t>
      </w:r>
      <w:r>
        <w:rPr>
          <w:rFonts w:ascii="Times New Roman" w:cs="Times New Roman" w:eastAsia="Times New Roman" w:hAnsi="Times New Roman"/>
          <w:sz w:val="21"/>
          <w:szCs w:val="21"/>
          <w:color w:val="auto"/>
        </w:rPr>
        <w:t>” is defined in Section 13.7.2(b).</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Regulator</w:t>
      </w:r>
      <w:r>
        <w:rPr>
          <w:rFonts w:ascii="Times New Roman" w:cs="Times New Roman" w:eastAsia="Times New Roman" w:hAnsi="Times New Roman"/>
          <w:sz w:val="21"/>
          <w:szCs w:val="21"/>
          <w:color w:val="auto"/>
        </w:rPr>
        <w:t>” is defined in Section 16.3.1(a).</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1.270 “</w:t>
      </w:r>
      <w:r>
        <w:rPr>
          <w:rFonts w:ascii="Times New Roman" w:cs="Times New Roman" w:eastAsia="Times New Roman" w:hAnsi="Times New Roman"/>
          <w:sz w:val="22"/>
          <w:szCs w:val="22"/>
          <w:b w:val="1"/>
          <w:bCs w:val="1"/>
          <w:color w:val="auto"/>
        </w:rPr>
        <w:t>Segregate</w:t>
      </w:r>
      <w:r>
        <w:rPr>
          <w:rFonts w:ascii="Times New Roman" w:cs="Times New Roman" w:eastAsia="Times New Roman" w:hAnsi="Times New Roman"/>
          <w:sz w:val="22"/>
          <w:szCs w:val="22"/>
          <w:color w:val="auto"/>
        </w:rPr>
        <w:t xml:space="preserve">” means, with respect to a Competing Product and an applicable Exclusive Degrader Target Set, to segregate the research, Development, Manufacture and Commercialization activities relating to such Competing Product conducted by or on behalf of the applicable Party from the Research, Development, Manufacture and Commercialization activities conducted by or on behalf of the applicable Party with respect to the Exclusive Degrader Target Set and Collaboration Degraders (if any) Directed To such Exclusive Degrader Target Set, including ensuring that: (a) no personnel involved in performing the research, Development, Manufacture or Commercialization, as applicable, of such Competing Product have access to non-public plans or non-public information relating to the Research, Development, Manufacture or Commercialization of the Exclusive Degrader Target Set or Collaboration Degraders (if any) Directed To such Exclusive Degrader Target Set, including all applicable Research Results and any other relevant Confidential Information of the Parties under this Agreement; and (b) no personnel involved in performing the Research, Development, Manufacture or Commercialization of the Exclusive Degrader Target Set or Collaboration Degraders (if any) Directed To such Exclusive Degrader Target Set have access to non-public plans or information relating to the research, Development, Manufacture or Commercialization of such Competing Product;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either case ((a) or (b)), [*].</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Subcommittee</w:t>
      </w:r>
      <w:r>
        <w:rPr>
          <w:rFonts w:ascii="Times New Roman" w:cs="Times New Roman" w:eastAsia="Times New Roman" w:hAnsi="Times New Roman"/>
          <w:sz w:val="21"/>
          <w:szCs w:val="21"/>
          <w:color w:val="auto"/>
        </w:rPr>
        <w:t>” is defined in Section 10.1.1 (JSC Membership).</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1.272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with respect to Seagen, a Third Party to whom Seagen has granted a sublicense or license in accordance with Section 14.5 (Sublicensing), either directly or indirectly, in each case, of the Degrader License rights licensed to Seagen by Nurix pursuant to this Agreement, but excluding: (a) any Third Party acting as a service provider, vendor or distributor for Seagen or its Affiliates, and (b) Nurix and any of its Affiliates.</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1.273 “</w:t>
      </w:r>
      <w:r>
        <w:rPr>
          <w:rFonts w:ascii="Times New Roman" w:cs="Times New Roman" w:eastAsia="Times New Roman" w:hAnsi="Times New Roman"/>
          <w:sz w:val="21"/>
          <w:szCs w:val="21"/>
          <w:b w:val="1"/>
          <w:bCs w:val="1"/>
          <w:color w:val="auto"/>
        </w:rPr>
        <w:t>Subset</w:t>
      </w:r>
      <w:r>
        <w:rPr>
          <w:rFonts w:ascii="Times New Roman" w:cs="Times New Roman" w:eastAsia="Times New Roman" w:hAnsi="Times New Roman"/>
          <w:sz w:val="21"/>
          <w:szCs w:val="21"/>
          <w:color w:val="auto"/>
        </w:rPr>
        <w:t>” means, with respect to any Degrader Target Set containing more than one (1) Degrader Target, any smaller Degrader Target Set comprising some (but not all), or any one, of the Degrader Targets included in such Degrader Target Set. By way of example and not limitation, [*]. For clarity, (w) a Subset of a Degrader Target Set is also considered a “Degrader Target Set” hereunder, (x) no Degrader Target Set is considered a Subset of itself, (y) each Degrader Target included in a Degrader Target Set containing more than one (1) Degrader Target is a Subset of such Degrader Target Set, and (z) with respect to any Degrader Target Set containing only one (1) Degrader Target, no Subsets exist for such Degrader Target Set.</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Supplementary Option Data Package</w:t>
      </w:r>
      <w:r>
        <w:rPr>
          <w:rFonts w:ascii="Times New Roman" w:cs="Times New Roman" w:eastAsia="Times New Roman" w:hAnsi="Times New Roman"/>
          <w:sz w:val="21"/>
          <w:szCs w:val="21"/>
          <w:color w:val="auto"/>
        </w:rPr>
        <w:t>” is defined in Section 11.2.1 (Option Data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1" w:right="339" w:bottom="1440" w:gutter="0" w:footer="0" w:header="0"/>
        </w:sectPr>
      </w:pPr>
    </w:p>
    <w:bookmarkStart w:id="194" w:name="page195"/>
    <w:bookmarkEnd w:id="194"/>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is defined in Section 13.11.6(a) (Generally).</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is defined in Section 19.1 (Term; Expiration).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worldwide.</w:t>
      </w:r>
    </w:p>
    <w:p>
      <w:pPr>
        <w:spacing w:after="0" w:line="18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1.278</w:t>
        <w:tab/>
        <w:t>[*]</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1.279</w:t>
        <w:tab/>
        <w:t>[*]</w:t>
      </w:r>
    </w:p>
    <w:p>
      <w:pPr>
        <w:spacing w:after="0" w:line="17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other than (a) Nurix or Seagen, or (b) an Affiliate of Nurix or of Seagen.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Claim</w:t>
      </w:r>
      <w:r>
        <w:rPr>
          <w:rFonts w:ascii="Times New Roman" w:cs="Times New Roman" w:eastAsia="Times New Roman" w:hAnsi="Times New Roman"/>
          <w:sz w:val="21"/>
          <w:szCs w:val="21"/>
          <w:color w:val="auto"/>
        </w:rPr>
        <w:t>” means any and all Actions brought by a Third Party.</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is defined in Section 15.4.1 (Notification).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Ubiquitin Proteasome System</w:t>
      </w:r>
      <w:r>
        <w:rPr>
          <w:rFonts w:ascii="Times New Roman" w:cs="Times New Roman" w:eastAsia="Times New Roman" w:hAnsi="Times New Roman"/>
          <w:sz w:val="21"/>
          <w:szCs w:val="21"/>
          <w:color w:val="auto"/>
        </w:rPr>
        <w:t>” is defined in Section 1.221 (“Proteasome Protein”).</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means the United States of America and all of its territories and possessions.</w:t>
      </w:r>
    </w:p>
    <w:p>
      <w:pPr>
        <w:spacing w:after="0" w:line="17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Tax Forms</w:t>
      </w:r>
      <w:r>
        <w:rPr>
          <w:rFonts w:ascii="Times New Roman" w:cs="Times New Roman" w:eastAsia="Times New Roman" w:hAnsi="Times New Roman"/>
          <w:sz w:val="21"/>
          <w:szCs w:val="21"/>
          <w:color w:val="auto"/>
        </w:rPr>
        <w:t>” is defined in Section 13.11.6(b) (Tax Withholding).</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1.286 “</w:t>
      </w:r>
      <w:r>
        <w:rPr>
          <w:rFonts w:ascii="Times New Roman" w:cs="Times New Roman" w:eastAsia="Times New Roman" w:hAnsi="Times New Roman"/>
          <w:sz w:val="22"/>
          <w:szCs w:val="22"/>
          <w:b w:val="1"/>
          <w:bCs w:val="1"/>
          <w:color w:val="auto"/>
        </w:rPr>
        <w:t>Unprotected Licensed Product</w:t>
      </w:r>
      <w:r>
        <w:rPr>
          <w:rFonts w:ascii="Times New Roman" w:cs="Times New Roman" w:eastAsia="Times New Roman" w:hAnsi="Times New Roman"/>
          <w:sz w:val="22"/>
          <w:szCs w:val="22"/>
          <w:color w:val="auto"/>
        </w:rPr>
        <w:t>” means, on a Licensed Degrader Target Set-by-Licensed Degrader Target Set and country-by-country basis, any Licensed Product: (a) that is not the first Licensed Product Directed To such Licensed Degrader Target Set to achieve First Commercial Sale in such country; and (b) with respect to which, upon such First Commercial Sale of such Licensed Product in such country, there are no Valid Claims within the Royalty Patents that Cover such Licensed Product in such country.</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1.287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Upstream License Agreement</w:t>
      </w:r>
      <w:r>
        <w:rPr>
          <w:rFonts w:ascii="Times New Roman" w:cs="Times New Roman" w:eastAsia="Times New Roman" w:hAnsi="Times New Roman"/>
          <w:sz w:val="21"/>
          <w:szCs w:val="21"/>
          <w:color w:val="auto"/>
        </w:rPr>
        <w:t>” is defined in Section 12.3 (Upstream License Agreements).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1.288 “</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any claim of an issued unexpired patent that (a) has not been finally cancelled, withdrawn, abandoned or rejected by any administrative agency or other body of competent jurisdiction; (b) has not been permanently revoked, or held invalid by a decision of a court or other body of competent jurisdiction that is unappealable or unappealed within the time allowed for appeal; (c) has not been rendered unenforceable through terminal disclaimer or otherwise; and (d) is not lost through an interference proceeding that is unappealable or unappealed within the time allowed for appeal.</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1.289 “</w:t>
      </w:r>
      <w:r>
        <w:rPr>
          <w:rFonts w:ascii="Times New Roman" w:cs="Times New Roman" w:eastAsia="Times New Roman" w:hAnsi="Times New Roman"/>
          <w:sz w:val="22"/>
          <w:szCs w:val="22"/>
          <w:b w:val="1"/>
          <w:bCs w:val="1"/>
          <w:color w:val="auto"/>
        </w:rPr>
        <w:t>Wire Instructions</w:t>
      </w:r>
      <w:r>
        <w:rPr>
          <w:rFonts w:ascii="Times New Roman" w:cs="Times New Roman" w:eastAsia="Times New Roman" w:hAnsi="Times New Roman"/>
          <w:sz w:val="22"/>
          <w:szCs w:val="22"/>
          <w:color w:val="auto"/>
        </w:rPr>
        <w:t>” means the wire transfer instructions for a bank account designated by Nurix for payments hereunder and may be updated from time to time by Nurix, by written notice to Seagen in accordance with Nurix’s internal procedures for providing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1"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DEGRADER TARGET SETS</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b w:val="1"/>
          <w:bCs w:val="1"/>
          <w:color w:val="auto"/>
        </w:rPr>
        <w:t>Overview</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Overview of Collaboration</w:t>
      </w:r>
      <w:r>
        <w:rPr>
          <w:rFonts w:ascii="Times New Roman" w:cs="Times New Roman" w:eastAsia="Times New Roman" w:hAnsi="Times New Roman"/>
          <w:sz w:val="22"/>
          <w:szCs w:val="22"/>
          <w:color w:val="auto"/>
        </w:rPr>
        <w:t>. As further described herein, the Parties anticipate that the Parties will perform the activities described in the Joint Research Plan applicable to each Collaboration Degrader Target Set to discover Collaboration Degraders that are Pan-Directed To such Collaboration Degrader Target Set, and that Seagen will create and evaluate Collaboration Degrader-Antibody Conjugates using such Collaboration Degraders, in each case, as described in Article 4 (Research). During the applicable Degrader License Option Period for a Collaboration Degrader Target Set, Seagen shall have the right to exercise its Degrader License Option and, upon such exercise in accordance with Section 5.2 (Degrader License Option Exercise), Seagen will be granted the Degrader License described in Section 14.2 (Licensed Degrader License) with respect to the applicable Licensed Degrader Target Set (and Subsets thereof) and the applicable Licensed Degraders and Licensed Degrader-Antibody Conjugates.</w:t>
      </w:r>
    </w:p>
    <w:p>
      <w:pPr>
        <w:spacing w:after="0" w:line="15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Overview of Target Sets</w:t>
      </w:r>
      <w:r>
        <w:rPr>
          <w:rFonts w:ascii="Times New Roman" w:cs="Times New Roman" w:eastAsia="Times New Roman" w:hAnsi="Times New Roman"/>
          <w:sz w:val="21"/>
          <w:szCs w:val="21"/>
          <w:color w:val="auto"/>
        </w:rPr>
        <w:t>. The Parties have mutually agreed, as of the Effective Date, to designate the [*] Initial Degrader Target Sets as described in Section 2.2.1 (Initial Degrader Target Sets) as Collaboration Degrader Target Sets. Seagen may select [*] to be the [*] as described in Section 2.2.2 ([*]) as the [*]. For illustration purposes only and subject to the provisions referred to below, which shall control over any contrary reading of this illustration: (a) Seagen may replace each Collaboration Degrader Target Set with an Available Degrader Target Set as described in Section 2.2.3 (Collaboration Degrader Target Set Replacement Right); (b) Seagen may reserve Available Degrader Target Sets as described in Section 2.3 (Reserved Degrader Target Sets); (c) determinations as to whether a Degrader Target Set is an Available Degrader Target Set shall be made in accordance with Article 3 (Gatekeeping); (d) each Collaboration Degrader Target Set may be amended in accordance with Section 2.4 (Addition of Degrader Targets), or in accordance with Section 2.5 (Removal of Collaboration Degrader Targets); and</w:t>
      </w:r>
    </w:p>
    <w:p>
      <w:pPr>
        <w:spacing w:after="0" w:line="3" w:lineRule="exact"/>
        <w:rPr>
          <w:sz w:val="20"/>
          <w:szCs w:val="20"/>
          <w:color w:val="auto"/>
        </w:rPr>
      </w:pPr>
    </w:p>
    <w:p>
      <w:pPr>
        <w:jc w:val="both"/>
        <w:ind w:firstLine="8"/>
        <w:spacing w:after="0" w:line="225" w:lineRule="auto"/>
        <w:tabs>
          <w:tab w:leader="none" w:pos="31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Collaboration Degrader Target Sets and Licensed Degrader Target Sets may become Former Collaboration Degrader Target Sets and Former Licensed Degrader Target Sets, respectively, with the consequences described in Section 2.8 (Former Collaboration Degrader Target Sets) and Section 2.9 (Former Licensed Degrader Target Sets), as applicable, upon which Nurix shall have the rights described in Section 14.3 (Reversion Licenses) with respect to such Former Licensed Degrader Target Sets.</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Collaboration Degrader Target Sets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Initial Degrader Target Sets</w:t>
      </w:r>
      <w:r>
        <w:rPr>
          <w:rFonts w:ascii="Times New Roman" w:cs="Times New Roman" w:eastAsia="Times New Roman" w:hAnsi="Times New Roman"/>
          <w:sz w:val="22"/>
          <w:szCs w:val="22"/>
          <w:color w:val="auto"/>
        </w:rPr>
        <w:t>. As of the Effective Date, the [*] Degrader Target Sets listed in Schedule 2.2.1 are each Collaboration Degrader Target Sets (each, an “</w:t>
      </w:r>
      <w:r>
        <w:rPr>
          <w:rFonts w:ascii="Times New Roman" w:cs="Times New Roman" w:eastAsia="Times New Roman" w:hAnsi="Times New Roman"/>
          <w:sz w:val="22"/>
          <w:szCs w:val="22"/>
          <w:b w:val="1"/>
          <w:bCs w:val="1"/>
          <w:color w:val="auto"/>
        </w:rPr>
        <w:t>Initial Degrader Target Set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2.2.2 [*]. For a period of [*] after the Effective Date and subject to Section 3.1 (Proposed Degrader Target Sets), Seagen shall have the right to select [*] (including any Reserved Degrader Target Set) as a Collaboration Degrader Target Set ([*]) by delivery of a Proposed Degrader Target Set Notice to Nurix in accordance with Section 3.1 (Proposed Degrader Target Sets) (“[*]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Notwithstanding anything to the contrary in this Agreement, there will in no event be more than [*] Collaboration Degrader Target Sets in total under this Agreement at any time.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Collaboration Degrader Target Set Replacement Right</w:t>
      </w:r>
      <w:r>
        <w:rPr>
          <w:rFonts w:ascii="Times New Roman" w:cs="Times New Roman" w:eastAsia="Times New Roman" w:hAnsi="Times New Roman"/>
          <w:sz w:val="22"/>
          <w:szCs w:val="22"/>
          <w:color w:val="auto"/>
        </w:rPr>
        <w:t>. On a Collaboration Degrader Target Set-by-Collaboration Degrader Target Set basis, during the applicable Collaboration Degrader Target Set Replacement Term, Seagen shall have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82" w:right="339" w:bottom="1440" w:gutter="0" w:footer="0" w:header="0"/>
        </w:sectPr>
      </w:pPr>
    </w:p>
    <w:bookmarkStart w:id="196" w:name="page197"/>
    <w:bookmarkEnd w:id="196"/>
    <w:p>
      <w:pPr>
        <w:jc w:val="both"/>
        <w:spacing w:after="0" w:line="211" w:lineRule="auto"/>
        <w:rPr>
          <w:sz w:val="20"/>
          <w:szCs w:val="20"/>
          <w:color w:val="auto"/>
        </w:rPr>
      </w:pPr>
      <w:r>
        <w:rPr>
          <w:rFonts w:ascii="Times New Roman" w:cs="Times New Roman" w:eastAsia="Times New Roman" w:hAnsi="Times New Roman"/>
          <w:sz w:val="22"/>
          <w:szCs w:val="22"/>
          <w:color w:val="auto"/>
        </w:rPr>
        <w:t>substitute an Available Degrader Target Set (including any Reserved Degrader Target Set) for such Collaboration Degrader Target Set upon delivery of written notice to Nurix’s Alliance Manager subject to Section 3.1 (Proposed Degrader Target Sets) (collectively, the “</w:t>
      </w:r>
      <w:r>
        <w:rPr>
          <w:rFonts w:ascii="Times New Roman" w:cs="Times New Roman" w:eastAsia="Times New Roman" w:hAnsi="Times New Roman"/>
          <w:sz w:val="22"/>
          <w:szCs w:val="22"/>
          <w:b w:val="1"/>
          <w:bCs w:val="1"/>
          <w:color w:val="auto"/>
        </w:rPr>
        <w:t>Collaboration Degrader Target Set Replacement Right</w:t>
      </w:r>
      <w:r>
        <w:rPr>
          <w:rFonts w:ascii="Times New Roman" w:cs="Times New Roman" w:eastAsia="Times New Roman" w:hAnsi="Times New Roman"/>
          <w:sz w:val="22"/>
          <w:szCs w:val="22"/>
          <w:color w:val="auto"/>
        </w:rPr>
        <w:t>”) (each such Available Degrader Target Set, thereafter a “</w:t>
      </w:r>
      <w:r>
        <w:rPr>
          <w:rFonts w:ascii="Times New Roman" w:cs="Times New Roman" w:eastAsia="Times New Roman" w:hAnsi="Times New Roman"/>
          <w:sz w:val="22"/>
          <w:szCs w:val="22"/>
          <w:b w:val="1"/>
          <w:bCs w:val="1"/>
          <w:color w:val="auto"/>
        </w:rPr>
        <w:t>Replacement Degrader Target Set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Seagen shall only have the right to exercise its Collaboration Degrader Target Set Replacement Right a maximum of [*] for each Collaboration Degrader Target Set (for a maximum of [*] times), after which Seagen shall no longer have the right to exercise its Collaboration Degrader Target Set Replacement Right. Upon Seagen’s exercise of the Collaboration Degrader Target Set Replacement Right with respect to a Collaboration Degrader Target Set (subject to Section 3.1 (Proposed Degrader Target Sets)), such replaced Collaboration Degrader Target Set shall, effective from and after such time, cease to be a Collaboration Degrader Target Set and shall automatically become a Former Collaboration Degrader Target Set.</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b w:val="1"/>
          <w:bCs w:val="1"/>
          <w:color w:val="auto"/>
        </w:rPr>
        <w:t>Reserved Degrader Target Sets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Subject to this Section 2.3 (Reserved Degrader Target Sets) and Section 3.1 (Proposed Degrader Target Sets), Seagen shall have the right to designate [*] Available Degrader Target Sets to be subject to the exclusivity obligations set forth in Section 14.9.2 (Reserved Degrader Target Set Exclusivity) for [*] periods of [*] each subject to Section 2.3.4 (End of Reservation) (each such Available Degrader Target Set, a “</w:t>
      </w:r>
      <w:r>
        <w:rPr>
          <w:rFonts w:ascii="Times New Roman" w:cs="Times New Roman" w:eastAsia="Times New Roman" w:hAnsi="Times New Roman"/>
          <w:sz w:val="22"/>
          <w:szCs w:val="22"/>
          <w:b w:val="1"/>
          <w:bCs w:val="1"/>
          <w:color w:val="auto"/>
        </w:rPr>
        <w:t>Reserved Degrader Target Set</w:t>
      </w:r>
      <w:r>
        <w:rPr>
          <w:rFonts w:ascii="Times New Roman" w:cs="Times New Roman" w:eastAsia="Times New Roman" w:hAnsi="Times New Roman"/>
          <w:sz w:val="22"/>
          <w:szCs w:val="22"/>
          <w:color w:val="auto"/>
        </w:rPr>
        <w:t>”; each such period, a “</w:t>
      </w:r>
      <w:r>
        <w:rPr>
          <w:rFonts w:ascii="Times New Roman" w:cs="Times New Roman" w:eastAsia="Times New Roman" w:hAnsi="Times New Roman"/>
          <w:sz w:val="22"/>
          <w:szCs w:val="22"/>
          <w:b w:val="1"/>
          <w:bCs w:val="1"/>
          <w:color w:val="auto"/>
        </w:rPr>
        <w:t>Reservation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 Notwithstanding anything to the contrary in this Agreement, there will in no event be more than [*] Reserved Degrader Target Sets in total under this Agreement at any time.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u w:val="single" w:color="auto"/>
          <w:color w:val="auto"/>
        </w:rPr>
        <w:t>Activities for Reserved Degrader Target Sets</w:t>
      </w:r>
      <w:r>
        <w:rPr>
          <w:rFonts w:ascii="Times New Roman" w:cs="Times New Roman" w:eastAsia="Times New Roman" w:hAnsi="Times New Roman"/>
          <w:sz w:val="22"/>
          <w:szCs w:val="22"/>
          <w:color w:val="auto"/>
        </w:rPr>
        <w:t>. Upon the establishment or selection of a Reserved Degrader Target Set in accordance with Section 2.3.1 (General), Nurix shall perform certain Research activities with respect to such Reserved Degrader Target Sets exclusively under this Agreement to enable such Reserved Degrader Target Sets to be selected by Seagen as a Collaboration Degrader Target Set.</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u w:val="single" w:color="auto"/>
          <w:color w:val="auto"/>
        </w:rPr>
        <w:t>Designation and Payment for Reserved Degrader Target Sets</w:t>
      </w:r>
      <w:r>
        <w:rPr>
          <w:rFonts w:ascii="Times New Roman" w:cs="Times New Roman" w:eastAsia="Times New Roman" w:hAnsi="Times New Roman"/>
          <w:sz w:val="22"/>
          <w:szCs w:val="22"/>
          <w:color w:val="auto"/>
        </w:rPr>
        <w:t>. Seagen may designate one (1) or more Available Degrader Target Set(s) to be Reserved Degrader Target Set(s) by delivery of one (1) or more Proposed Degrader Target Set Notice(s) to Nurix in accordance with Section 3.1 (Proposed Degrader Target Sets). Upon such designation, Seagen shall pay Nurix the Degrader Target Set [*] Reservation Fee described in Section 13.3 (Degrader Target Set [*] Reservation Fee) to reserve Degrader Target Sets as Reserved Degrader Target Sets for each Reservation Period commencing upon designation of such Reserved Degrader Target Set. Each Reserved Degrader Target Set may be reserved in accordance with this Section 2.3 (Reserved Degrader Target Sets) for multiple Reservation Periods, each upon payment of the Degrader Target Set [*] Reservation Fee and in accordance with the following sentence, but subject to Section 2.3.4 (End of Reservation). Prior to the expiration of any Reservation Period, Seagen shall have the right, upon written notice to Nurix, to extend the reservation of such Reserved Degrader Target Set for an additional Reservation Period (a “</w:t>
      </w:r>
      <w:r>
        <w:rPr>
          <w:rFonts w:ascii="Times New Roman" w:cs="Times New Roman" w:eastAsia="Times New Roman" w:hAnsi="Times New Roman"/>
          <w:sz w:val="22"/>
          <w:szCs w:val="22"/>
          <w:b w:val="1"/>
          <w:bCs w:val="1"/>
          <w:color w:val="auto"/>
        </w:rPr>
        <w:t>Degrader Target Set Reservation Extension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Seagen pays the Degrader Target Set [*] Reservation Fee for each such Reserved Degrader Target Set for each such additional Reservation Period in accordance with Section 13.3 (Degrader Target Set [*] Reservation Fee) prior to the expiration of the then-current Reservation Period.</w:t>
      </w:r>
    </w:p>
    <w:p>
      <w:pPr>
        <w:spacing w:after="0" w:line="16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u w:val="single" w:color="auto"/>
          <w:color w:val="auto"/>
        </w:rPr>
        <w:t>End of Reservation</w:t>
      </w:r>
      <w:r>
        <w:rPr>
          <w:rFonts w:ascii="Times New Roman" w:cs="Times New Roman" w:eastAsia="Times New Roman" w:hAnsi="Times New Roman"/>
          <w:sz w:val="22"/>
          <w:szCs w:val="22"/>
          <w:color w:val="auto"/>
        </w:rPr>
        <w:t>. Without limiting the foregoing, each Reserved Degrader Target Set shall immediately cease to be a Reserved Degrader Target Set upon the earliest of the following: (a) upon the [*] of the Effective Date, (b) upon the expiration of the Collaboration Degrader Target Set Replacement Term for all applicable Collaboration Degrader Target Sets, (c) upon Seagen exercising the Collaboration Degrader Target Set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197" w:name="page198"/>
    <w:bookmarkEnd w:id="197"/>
    <w:p>
      <w:pPr>
        <w:jc w:val="both"/>
        <w:spacing w:after="0" w:line="220" w:lineRule="auto"/>
        <w:rPr>
          <w:sz w:val="20"/>
          <w:szCs w:val="20"/>
          <w:color w:val="auto"/>
        </w:rPr>
      </w:pPr>
      <w:r>
        <w:rPr>
          <w:rFonts w:ascii="Times New Roman" w:cs="Times New Roman" w:eastAsia="Times New Roman" w:hAnsi="Times New Roman"/>
          <w:sz w:val="22"/>
          <w:szCs w:val="22"/>
          <w:color w:val="auto"/>
        </w:rPr>
        <w:t>Right for all applicable Collaboration Degrader Target Sets, (d) if Seagen names such Reserved Degrader Target Set as the [*] in accordance with Section 2.2.2 ([*]); or (e) upon Seagen naming such Reserved Degrader Target Set as the Replacement Degrader Target Set with respect to a Collaboration Degrader Target Set in accordance with Section 2.2.3 (Collaboration Degrader Target Set Replacement Right).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Addition of Degrader Targets</w:t>
      </w:r>
      <w:r>
        <w:rPr>
          <w:rFonts w:ascii="Times New Roman" w:cs="Times New Roman" w:eastAsia="Times New Roman" w:hAnsi="Times New Roman"/>
          <w:sz w:val="22"/>
          <w:szCs w:val="22"/>
          <w:color w:val="auto"/>
        </w:rPr>
        <w:t>. On a Collaboration Degrader Target Set-by-Collaboration Degrader Target Set basis during the applicable Joint Research Term, the Parties may, subject to Section 10.6.1 (JRC Decisions) and Section 10.6.3 (Escalation of Certain JRC Disputes), amend the applicable Joint Research Plan (as further described in Section 4.1 (Joint Research Plans)) to add to such Collaboration Degrader Target Set [*] Available Degrader Target(s) that are Homologous Targets of the Degrader Targets in such Collaboration Degrader Target Set. For clarity, no Collaboration Degrader Target Set may contain more than [*] Degrader Targets unless the Parties otherwise mutually agreeing writing.</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b w:val="1"/>
          <w:bCs w:val="1"/>
          <w:color w:val="auto"/>
        </w:rPr>
        <w:t>Removal of Collaboration Degrader Targets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2.5.1 </w:t>
      </w:r>
      <w:r>
        <w:rPr>
          <w:rFonts w:ascii="Times New Roman" w:cs="Times New Roman" w:eastAsia="Times New Roman" w:hAnsi="Times New Roman"/>
          <w:sz w:val="21"/>
          <w:szCs w:val="21"/>
          <w:u w:val="single" w:color="auto"/>
          <w:color w:val="auto"/>
        </w:rPr>
        <w:t>Amendment of Joint Research Plan</w:t>
      </w:r>
      <w:r>
        <w:rPr>
          <w:rFonts w:ascii="Times New Roman" w:cs="Times New Roman" w:eastAsia="Times New Roman" w:hAnsi="Times New Roman"/>
          <w:sz w:val="21"/>
          <w:szCs w:val="21"/>
          <w:color w:val="auto"/>
        </w:rPr>
        <w:t>. On a Collaboration Degrader Target Set-by-Collaboration Degrader Target Set basis during the applicable Joint Research Term and before the occurrence of any Degrader License Exercise Date with respect to such Collaboration Degrader Target Set, the Parties may, subject to Section 10.6.1 (JRC Decisions) and Section 10.6.3 (Escalation of Certain JRC Disputes), amend the applicable Joint Research Plan (as further described in Section 4.1 (Joint Research Plans)) so that Nurix is no longer required under such Joint Research Plan to identify, synthesize, and characterize Collaboration Degraders that are Directed To one (1) or more Degrader Target(s) in the applicable Collaboration Degrader Target Set (such Degrader Targets, “</w:t>
      </w:r>
      <w:r>
        <w:rPr>
          <w:rFonts w:ascii="Times New Roman" w:cs="Times New Roman" w:eastAsia="Times New Roman" w:hAnsi="Times New Roman"/>
          <w:sz w:val="21"/>
          <w:szCs w:val="21"/>
          <w:b w:val="1"/>
          <w:bCs w:val="1"/>
          <w:color w:val="auto"/>
        </w:rPr>
        <w:t>Removed Degrader Targets</w:t>
      </w:r>
      <w:r>
        <w:rPr>
          <w:rFonts w:ascii="Times New Roman" w:cs="Times New Roman" w:eastAsia="Times New Roman" w:hAnsi="Times New Roman"/>
          <w:sz w:val="21"/>
          <w:szCs w:val="21"/>
          <w:color w:val="auto"/>
        </w:rPr>
        <w:t xml:space="preserve">”) and the consequences described in Section 2.5.2 (Removed Degrader Target) shall apply. Notwithstanding the foregoing, if any such amendment removes all Degrader Targets in a Collaboration Degrader Target Set, Seagen shall be deemed to have exercised a Collaboration Degrader Target Set Replacement Right with respect to such Collaboration Degrader Target Set subject to the terms of Section 2.2.3 (Collaboration Degrader Target Set Replacement Right);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no Collaboration Degrader Target Set Replacement Right is available as of such proposed amendment, then such proposed amendment shall have no force or effect and the Collaboration Degrader Target Set shall remain a Collaboration Degrader Target Set or Seagen may determine, in its sole discretion, to terminate this Agreement with respect to such Collaboration Degrader Target Set in accordance with Section 19.2.2(a) (Termination at Will).</w:t>
      </w:r>
    </w:p>
    <w:p>
      <w:pPr>
        <w:spacing w:after="0" w:line="155"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2.5.2 </w:t>
      </w:r>
      <w:r>
        <w:rPr>
          <w:rFonts w:ascii="Times New Roman" w:cs="Times New Roman" w:eastAsia="Times New Roman" w:hAnsi="Times New Roman"/>
          <w:sz w:val="22"/>
          <w:szCs w:val="22"/>
          <w:u w:val="single" w:color="auto"/>
          <w:color w:val="auto"/>
        </w:rPr>
        <w:t>Removed Degrader Target</w:t>
      </w:r>
      <w:r>
        <w:rPr>
          <w:rFonts w:ascii="Times New Roman" w:cs="Times New Roman" w:eastAsia="Times New Roman" w:hAnsi="Times New Roman"/>
          <w:sz w:val="22"/>
          <w:szCs w:val="22"/>
          <w:color w:val="auto"/>
        </w:rPr>
        <w:t>. Upon the occurrence of an amendment described in Section 2.5.1 (Amendment of Joint Research Plan) with respect to a Collaboration Degrader Target Set: (a) each applicable Removed Degrader Target shall no longer be part of such Collaboration Degrader Target Set and shall not be a Collaboration Degrader Target, and (b) to the extent such original Collaboration Degrader Target Set contained one (1) or more Collaboration Degrader Targets in addition to the Removed Degrader Target(s), the Subset of such original Collaboration Degrader Target Set consisting of all such additional Collaboration Degrader Targets (and not the Removed Degrader Target(s)) shall, following such amendment, be considered the Collaboration Degrader Target Set.</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color w:val="auto"/>
        </w:rPr>
        <w:t>Licensed Degrader Target Sets</w:t>
      </w:r>
      <w:r>
        <w:rPr>
          <w:rFonts w:ascii="Times New Roman" w:cs="Times New Roman" w:eastAsia="Times New Roman" w:hAnsi="Times New Roman"/>
          <w:sz w:val="22"/>
          <w:szCs w:val="22"/>
          <w:color w:val="auto"/>
        </w:rPr>
        <w:t>. On a Collaboration Degrader Target Set-by-Collaboration Degrader Target Set basis, upon Seagen’s exercise of the applicable Degrader License Option and the occurrence of the Degrader License Effective Date in accordance with Article 5 (Degrader License Option) with respect to such Collaboration Degrader Target Set, such Collaboration Degrader Target Set shall become a Licensed Degrader Target Set, and all Collaboration Degraders that are Directed To such Collaboration Degrader Target Set shall become Licensed Degraders that are Directed To such Licensed Degrader Target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198" w:name="page199"/>
    <w:bookmarkEnd w:id="198"/>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2.7 [*] </w:t>
      </w:r>
      <w:r>
        <w:rPr>
          <w:rFonts w:ascii="Times New Roman" w:cs="Times New Roman" w:eastAsia="Times New Roman" w:hAnsi="Times New Roman"/>
          <w:sz w:val="22"/>
          <w:szCs w:val="22"/>
          <w:b w:val="1"/>
          <w:bCs w:val="1"/>
          <w:color w:val="auto"/>
        </w:rPr>
        <w:t>Licensed Degrader Target Set</w:t>
      </w:r>
      <w:r>
        <w:rPr>
          <w:rFonts w:ascii="Times New Roman" w:cs="Times New Roman" w:eastAsia="Times New Roman" w:hAnsi="Times New Roman"/>
          <w:sz w:val="22"/>
          <w:szCs w:val="22"/>
          <w:color w:val="auto"/>
        </w:rPr>
        <w:t xml:space="preserve">. On a Licensed Degrader Target Set-by-Licensed Degrader Target Set basis, upon [*] of a Licensed Product containing a Licensed Degrader (including any Licensed Degrader-Antibody Conjugate) that is Pan-Directed To (a) such Licensed Degrader Target Set or (b) a Subset thereof, such Licensed Degrader Target Set or such Subset, as applicable, shall become an “[*] </w:t>
      </w:r>
      <w:r>
        <w:rPr>
          <w:rFonts w:ascii="Times New Roman" w:cs="Times New Roman" w:eastAsia="Times New Roman" w:hAnsi="Times New Roman"/>
          <w:sz w:val="22"/>
          <w:szCs w:val="22"/>
          <w:b w:val="1"/>
          <w:bCs w:val="1"/>
          <w:color w:val="auto"/>
        </w:rPr>
        <w:t>Licensed Degrader Target Set</w:t>
      </w:r>
      <w:r>
        <w:rPr>
          <w:rFonts w:ascii="Times New Roman" w:cs="Times New Roman" w:eastAsia="Times New Roman" w:hAnsi="Times New Roman"/>
          <w:sz w:val="22"/>
          <w:szCs w:val="22"/>
          <w:color w:val="auto"/>
        </w:rPr>
        <w:t>.” For clarity, following such [*] (i) the Licensed Degrader Target Set will continue to be a Licensed Degrader Target Set, and (ii) the [*] Licensed Degrader Target Set may be the same Degrader Target Set as the Licensed Degrader Target Set, or alternatively, one of its Subsets.</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b w:val="1"/>
          <w:bCs w:val="1"/>
          <w:color w:val="auto"/>
        </w:rPr>
        <w:t>Former Collaboration Degrader Target Sets</w:t>
      </w:r>
      <w:r>
        <w:rPr>
          <w:rFonts w:ascii="Times New Roman" w:cs="Times New Roman" w:eastAsia="Times New Roman" w:hAnsi="Times New Roman"/>
          <w:sz w:val="22"/>
          <w:szCs w:val="22"/>
          <w:color w:val="auto"/>
        </w:rPr>
        <w:t>. If, prior to the occurrence of the Degrader License Effective Date with respect to Seagen’s exercise of the Degrader License Option for a Collaboration Degrader Target Set, such Collaboration Degrader Target Set (or any Subset thereof) becomes a Former Collaboration Degrader Target Set, then (i) the license grant by Nurix to Seagen as further described in Section 14.1 (Research Licenses) with respect to such Former Collaboration Degrader Target Set shall immediately terminate, (ii) Nurix’s exclusivity obligations described in Section 14.9.1 (Collaboration Degrader Target Set Exclusivity) shall no longer apply to such Former Collaboration Degrader Target Set, (iii) the license grant by Seagen to Nurix as further described in Section 14.1 (Research Licenses) with respect to such Former Collaboration Degrader Target Set shall immediately terminate, (iv) Nurix will have no further obligations under the applicable Joint Research Plan or Research activities with respect to such Former Collaboration Degrader Target Set; (v) Seagen will have no further obligations under this Agreement to Research, Develop, Commercialize, Manufacture or otherwise Exploit such Former Collaboration Degrader Target Set or any Collaboration Degrader or Collaboration Degrader-Antibody Conjugate Directed To such Former Collaboration Degrader Target Set, and (vi) the applicable provisions of Section 14.3 (Reversion Licenses) and Section 19.3 (Effects of Expiration and Termination) shall apply to such Former Collaboration Degrader Target Set. “</w:t>
      </w:r>
      <w:r>
        <w:rPr>
          <w:rFonts w:ascii="Times New Roman" w:cs="Times New Roman" w:eastAsia="Times New Roman" w:hAnsi="Times New Roman"/>
          <w:sz w:val="22"/>
          <w:szCs w:val="22"/>
          <w:b w:val="1"/>
          <w:bCs w:val="1"/>
          <w:color w:val="auto"/>
        </w:rPr>
        <w:t>Former Collaboration Degrader Target Set</w:t>
      </w:r>
      <w:r>
        <w:rPr>
          <w:rFonts w:ascii="Times New Roman" w:cs="Times New Roman" w:eastAsia="Times New Roman" w:hAnsi="Times New Roman"/>
          <w:sz w:val="22"/>
          <w:szCs w:val="22"/>
          <w:color w:val="auto"/>
        </w:rPr>
        <w:t>” means any Degrader Target Set that:</w:t>
      </w:r>
    </w:p>
    <w:p>
      <w:pPr>
        <w:spacing w:after="0" w:line="160" w:lineRule="exact"/>
        <w:rPr>
          <w:sz w:val="20"/>
          <w:szCs w:val="20"/>
          <w:color w:val="auto"/>
        </w:rPr>
      </w:pPr>
    </w:p>
    <w:p>
      <w:pPr>
        <w:ind w:left="660" w:right="20" w:firstLine="1292"/>
        <w:spacing w:after="0" w:line="236" w:lineRule="auto"/>
        <w:tabs>
          <w:tab w:leader="none" w:pos="260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 Collaboration Degrader Target Set with respect to which a Replacement Degrader Target Set has been named in accordance with Section 2.2.3 (Collaboration Degrader Target Set Replacement Right);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 Collaboration Degrader Target Set with respect to which the Degrader License Option Period expired without Seagen exercising the applicable Degrader License Option in accordance with Section 5.2 (Degrader License Option Exercise); or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60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 a Collaboration Degrader Target Set with respect to which Seagen had not exercised the applicable Degrader License Option as of the effective date of the termination of this Agreement (in its entirety or with respect to such Collaboration Degrader Target Set): (i) by Seagen, in accordance with Section 19.2.2 (Termination at Will) or Section 19.2.3 (Termination for Outside Date); or (ii) by Nurix, in accordance with Section 19.2.1 (Termination for Material Breach), Section 19.2.3 (Termination for Outside Date), or Section 19.2.4 (Termination for Bankruptcy);</w:t>
      </w:r>
    </w:p>
    <w:p>
      <w:pPr>
        <w:spacing w:after="0" w:line="150"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Degrader Target Set that includes any one (1) or more Collaboration Degrader Target(s), Licensed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Degrader Target(s) or Degrader Targets in a Reserved Degrader Target Set is a Former Collaboration Degrader Target Set hereunder.</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b w:val="1"/>
          <w:bCs w:val="1"/>
          <w:color w:val="auto"/>
        </w:rPr>
        <w:t>Former Licensed Degrader Target Sets</w:t>
      </w:r>
      <w:r>
        <w:rPr>
          <w:rFonts w:ascii="Times New Roman" w:cs="Times New Roman" w:eastAsia="Times New Roman" w:hAnsi="Times New Roman"/>
          <w:sz w:val="22"/>
          <w:szCs w:val="22"/>
          <w:color w:val="auto"/>
        </w:rPr>
        <w:t>. If, after the occurrence of the Degrader License Effective Date that results from Seagen’s exercise (including any Deemed Exercise) of the Degrader License Option for a Collaboration Degrader Target Set as further described in Section 5.2 (Degrader License Option Exercise), such Licensed Degrader Target Set becomes a Former Licensed Degrader Target Set, then (i) the license grant by Nurix to Seagen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1" w:right="339" w:bottom="1440" w:gutter="0" w:footer="0" w:header="0"/>
        </w:sectPr>
      </w:pPr>
    </w:p>
    <w:bookmarkStart w:id="199" w:name="page200"/>
    <w:bookmarkEnd w:id="199"/>
    <w:p>
      <w:pPr>
        <w:jc w:val="both"/>
        <w:spacing w:after="0" w:line="209" w:lineRule="auto"/>
        <w:rPr>
          <w:sz w:val="20"/>
          <w:szCs w:val="20"/>
          <w:color w:val="auto"/>
        </w:rPr>
      </w:pPr>
      <w:r>
        <w:rPr>
          <w:rFonts w:ascii="Times New Roman" w:cs="Times New Roman" w:eastAsia="Times New Roman" w:hAnsi="Times New Roman"/>
          <w:sz w:val="22"/>
          <w:szCs w:val="22"/>
          <w:color w:val="auto"/>
        </w:rPr>
        <w:t>further described in Section 14.2 (Licensed Degrader License) with respect to such Former Licensed Degrader Target Set and each Subset thereof shall immediately terminate, (ii) Nurix’s exclusivity obligations described in Section 14.9.3 (Licensed Degrader Target Set Exclusivity) and Section 14.9.4 ([*] Licensed Degrader Target Set Exclusivity) shall no longer apply to such Former Licensed Degrader Target Set; (iii) Seagen will have no further obligations under this Agreement, including Section 6.1.2 (Development Diligence) and Section 9.2 (Commercialization Diligence), to Research, Develop, Commercialize, Manufacture or otherwise Exploit such Former Licensed Degrader Target Set or Licensed Products Directed To such Former Licensed Degrader Target Set, and (iv) the applicable provisions of Section 14.3 (Reversion Licenses) and Section 19.3 (Effects of Expiration and Termination) shall apply to such Former Licensed Degrader Target Set. “</w:t>
      </w:r>
      <w:r>
        <w:rPr>
          <w:rFonts w:ascii="Times New Roman" w:cs="Times New Roman" w:eastAsia="Times New Roman" w:hAnsi="Times New Roman"/>
          <w:sz w:val="22"/>
          <w:szCs w:val="22"/>
          <w:b w:val="1"/>
          <w:bCs w:val="1"/>
          <w:color w:val="auto"/>
        </w:rPr>
        <w:t>Former Licensed Degrader Target Set</w:t>
      </w:r>
      <w:r>
        <w:rPr>
          <w:rFonts w:ascii="Times New Roman" w:cs="Times New Roman" w:eastAsia="Times New Roman" w:hAnsi="Times New Roman"/>
          <w:sz w:val="22"/>
          <w:szCs w:val="22"/>
          <w:color w:val="auto"/>
        </w:rPr>
        <w:t xml:space="preserve">” means any Licensed Degrader Target Set with respect to which the corresponding Degrader License to Seagen has been terminated (including any termination of this Agreement in its entirety or with respect to such Licensed Degrader Target Set): (i) by Seagen, in accordance with Section 19.2.2 (Termination at Will); or (ii) by Nurix, in accordance with Section 19.2.1 (Termination for Material Breach) or Section 19.2.4 (Termination for Bankruptcy);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Degrader Target Set that includes any one (1) or more Collaboration Degrader Target(s), Licensed Degrader Target(s) or Degrader Targets in a Reserved Degrader Target Set is a Former Licensed Degrader Target Set hereunder.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jc w:val="center"/>
        <w:spacing w:after="0"/>
        <w:rPr>
          <w:sz w:val="20"/>
          <w:szCs w:val="20"/>
          <w:color w:val="auto"/>
        </w:rPr>
      </w:pPr>
      <w:r>
        <w:rPr>
          <w:rFonts w:ascii="Times New Roman" w:cs="Times New Roman" w:eastAsia="Times New Roman" w:hAnsi="Times New Roman"/>
          <w:sz w:val="22"/>
          <w:szCs w:val="22"/>
          <w:b w:val="1"/>
          <w:bCs w:val="1"/>
          <w:color w:val="auto"/>
        </w:rPr>
        <w:t>GATEKEEPING</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b w:val="1"/>
          <w:bCs w:val="1"/>
          <w:color w:val="auto"/>
        </w:rPr>
        <w:t>Proposed Degrader Target Sets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Proposed Degrader Target Set Notice</w:t>
      </w:r>
      <w:r>
        <w:rPr>
          <w:rFonts w:ascii="Times New Roman" w:cs="Times New Roman" w:eastAsia="Times New Roman" w:hAnsi="Times New Roman"/>
          <w:sz w:val="21"/>
          <w:szCs w:val="21"/>
          <w:color w:val="auto"/>
        </w:rPr>
        <w:t>. In the event that Seagen wishes to nominate a Degrader Target Set (a “</w:t>
      </w:r>
      <w:r>
        <w:rPr>
          <w:rFonts w:ascii="Times New Roman" w:cs="Times New Roman" w:eastAsia="Times New Roman" w:hAnsi="Times New Roman"/>
          <w:sz w:val="21"/>
          <w:szCs w:val="21"/>
          <w:b w:val="1"/>
          <w:bCs w:val="1"/>
          <w:color w:val="auto"/>
        </w:rPr>
        <w:t>Proposed Degrader Target Set</w:t>
      </w:r>
      <w:r>
        <w:rPr>
          <w:rFonts w:ascii="Times New Roman" w:cs="Times New Roman" w:eastAsia="Times New Roman" w:hAnsi="Times New Roman"/>
          <w:sz w:val="21"/>
          <w:szCs w:val="21"/>
          <w:color w:val="auto"/>
        </w:rPr>
        <w:t>”) to be (a) a Reserved Degrader Target Set under Section 2.3 (Reserved Degrader Target Sets),</w:t>
      </w:r>
    </w:p>
    <w:p>
      <w:pPr>
        <w:spacing w:after="0" w:line="1" w:lineRule="exact"/>
        <w:rPr>
          <w:sz w:val="20"/>
          <w:szCs w:val="20"/>
          <w:color w:val="auto"/>
        </w:rPr>
      </w:pPr>
    </w:p>
    <w:p>
      <w:pPr>
        <w:jc w:val="both"/>
        <w:ind w:firstLine="8"/>
        <w:spacing w:after="0" w:line="209" w:lineRule="auto"/>
        <w:tabs>
          <w:tab w:leader="none" w:pos="34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in accordance with Section 2.2.2 ([*]), or (c) the Replacement Degrader Target Set substituting a Collaboration Degrader Target Set under Section 2.2.3 (Collaboration Degrader Target Set Replacement Right), then, in each case (clauses (a)-(c)), Seagen shall provide email notice to Nurix’s Alliance Manager of the identity of such Proposed Degrader Target Set and which of the Seagen rights described in clauses (a)-(c) above Seagen is exercising (each such notice, a “</w:t>
      </w:r>
      <w:r>
        <w:rPr>
          <w:rFonts w:ascii="Times New Roman" w:cs="Times New Roman" w:eastAsia="Times New Roman" w:hAnsi="Times New Roman"/>
          <w:sz w:val="22"/>
          <w:szCs w:val="22"/>
          <w:b w:val="1"/>
          <w:bCs w:val="1"/>
          <w:color w:val="auto"/>
        </w:rPr>
        <w:t>Proposed Degrader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Target Set Notice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unless such Proposed Degrader Target Set is a Reserved Degrader Target Set as of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Proposed Degrader Target Set Notice, Seagen shall first undertake the Gatekeeper process described in Section 3.2 (Gatekeeping) for each Degrader Target in such Proposed Degrader Target Set prior to providing such Proposed Degrader Target Set Notice. For clarity, each Proposed Degrader Target Set shall contain no more than [*] Degrader Targets unless the Parties otherwise mutually agree in writing as further described in Section 1.71 (“Degrader Target Set”).</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u w:val="single" w:color="auto"/>
          <w:color w:val="auto"/>
        </w:rPr>
        <w:t>Exercise of Seagen Rights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660" w:firstLine="1292"/>
        <w:spacing w:after="0" w:line="218" w:lineRule="auto"/>
        <w:tabs>
          <w:tab w:leader="none" w:pos="260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 Degrader Target Sets</w:t>
      </w:r>
      <w:r>
        <w:rPr>
          <w:rFonts w:ascii="Times New Roman" w:cs="Times New Roman" w:eastAsia="Times New Roman" w:hAnsi="Times New Roman"/>
          <w:sz w:val="22"/>
          <w:szCs w:val="22"/>
          <w:color w:val="auto"/>
        </w:rPr>
        <w:t>. If, at the time of delivery of such Proposed Degrader Target Set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Nurix’s Alliance Manager, the Proposed Degrader Target Set is a Reserved Degrader Target Set, then Seagen will be deemed to have exercised its applicable right described in clauses (a)-(c) of Section 3.1.1 (Proposed Degrader Target Set Notice), as set forth in the applicable Proposed Degrader Target Set Notice, with respect to such Proposed Degrader Target Set upon delivery of such Proposed Degrader Target Set Notice.</w:t>
      </w:r>
    </w:p>
    <w:p>
      <w:pPr>
        <w:spacing w:after="0" w:line="147"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Proposed Degrader Target Sets</w:t>
      </w:r>
      <w:r>
        <w:rPr>
          <w:rFonts w:ascii="Times New Roman" w:cs="Times New Roman" w:eastAsia="Times New Roman" w:hAnsi="Times New Roman"/>
          <w:sz w:val="22"/>
          <w:szCs w:val="22"/>
          <w:color w:val="auto"/>
        </w:rPr>
        <w:t>. For any Proposed Degrader Target Set for which Seagen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wishes to exercise the applicable rights described in Section 3.1.1 (Proposed Degrader Target Set Notice) that is not a Reserved Degrader Target Set, Seagen may, after Seagen receives the applicable Gatekeeper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200" w:name="page201"/>
    <w:bookmarkEnd w:id="200"/>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Notice pursuant to Section 3.2.2 (Gatekeeper Responsibilities) stating that all Degrader Target(s) contained in such Degrader Target Set are Available Degrader Targets, provide to Nurix’s Alliance Manager a Proposed Degrader Target Set Notice identifying the relevant Proposed Degrader Target Set comprising solely such Available Degrader Target(s) (as indicated by the Gatekeeper Availability Notice). If, at the time of delivery of such Proposed Degrader Target Set Notice to Nurix’s Alliance Manager, the Proposed Degrader Target Set is an Available Degrader Target Set, then Seagen will be deemed to have exercised its applicable right described in clauses (a)-(c) of Section 3.1.1 (Proposed Degrader Target Set Notice), as set forth in the applicable Proposed Degrader Target Set Notice, with respect to such Proposed Degrader Target Set upon delivery of such Proposed Degrader Target Set Notice.</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Unavailable Targets</w:t>
      </w:r>
      <w:r>
        <w:rPr>
          <w:rFonts w:ascii="Times New Roman" w:cs="Times New Roman" w:eastAsia="Times New Roman" w:hAnsi="Times New Roman"/>
          <w:sz w:val="22"/>
          <w:szCs w:val="22"/>
          <w:color w:val="auto"/>
        </w:rPr>
        <w:t>. If, at the time of delivery of such Proposed Degrader Target Set Notice to Nurix’s Alliance Manager, any Degrader Target in such Proposed Degrader Target Set is not an Available Degrader Target, then Seagen shall not have the right to exercise its applicable right described in clauses (a)-(c) of Section 3.1.1 (Proposed Degrader Target Set Notice) with respect to such Proposed Degrader Target Set.</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b w:val="1"/>
          <w:bCs w:val="1"/>
          <w:color w:val="auto"/>
        </w:rPr>
        <w:t>Gatekeeping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Appointment of Gatekeeper</w:t>
      </w:r>
      <w:r>
        <w:rPr>
          <w:rFonts w:ascii="Times New Roman" w:cs="Times New Roman" w:eastAsia="Times New Roman" w:hAnsi="Times New Roman"/>
          <w:sz w:val="22"/>
          <w:szCs w:val="22"/>
          <w:color w:val="auto"/>
        </w:rPr>
        <w:t>. During the Joint Research Term applicable to any Collaboration Degrader Target Set and until expiration of the Collaboration Degrader Target Set Replacement Term of all applicable Collaboration Degrader Target Sets, there shall be a gatekeeper that has been mutually agreed to and appointed by the Parties to perform the responsibilities set forth in Section 3.2.2 (Gatekeeper Responsibilities) (“</w:t>
      </w:r>
      <w:r>
        <w:rPr>
          <w:rFonts w:ascii="Times New Roman" w:cs="Times New Roman" w:eastAsia="Times New Roman" w:hAnsi="Times New Roman"/>
          <w:sz w:val="22"/>
          <w:szCs w:val="22"/>
          <w:b w:val="1"/>
          <w:bCs w:val="1"/>
          <w:color w:val="auto"/>
        </w:rPr>
        <w:t>Gatekeeper</w:t>
      </w:r>
      <w:r>
        <w:rPr>
          <w:rFonts w:ascii="Times New Roman" w:cs="Times New Roman" w:eastAsia="Times New Roman" w:hAnsi="Times New Roman"/>
          <w:sz w:val="22"/>
          <w:szCs w:val="22"/>
          <w:color w:val="auto"/>
        </w:rPr>
        <w:t xml:space="preserve">”). The Gatekeeper may be changed from time to time during the Joint Research Term upon either Party’s request and mutual written agreement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initial Gatekeeper as of the Effective Date shall be [*].</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u w:val="single" w:color="auto"/>
          <w:color w:val="auto"/>
        </w:rPr>
        <w:t>Gatekeeper Responsibilities</w:t>
      </w:r>
      <w:r>
        <w:rPr>
          <w:rFonts w:ascii="Times New Roman" w:cs="Times New Roman" w:eastAsia="Times New Roman" w:hAnsi="Times New Roman"/>
          <w:sz w:val="22"/>
          <w:szCs w:val="22"/>
          <w:color w:val="auto"/>
        </w:rPr>
        <w:t>. At any time during the Joint Research Term applicable to any Collaboration Degrader Target Set and until expiration of the Collaboration Degrader Target Set Replacement Term of all applicable Collaboration Degrader Target Sets, and subject to this Section 3.2.2 (Gatekeeper Responsibilities), Seagen shall have the right to notify the Gatekeeper in writing of Degrader Targets that Seagen desires to have reviewed against a list of Excluded Degrader Targets then in effect that shall be maintained by Nurix and made available to the Gatekeeper to determine if such desired Degrader Targets are Available Degrader Targets (such desired Degrader Targets, “</w:t>
      </w:r>
      <w:r>
        <w:rPr>
          <w:rFonts w:ascii="Times New Roman" w:cs="Times New Roman" w:eastAsia="Times New Roman" w:hAnsi="Times New Roman"/>
          <w:sz w:val="22"/>
          <w:szCs w:val="22"/>
          <w:b w:val="1"/>
          <w:bCs w:val="1"/>
          <w:color w:val="auto"/>
        </w:rPr>
        <w:t>Seagen Desired Degrader Targets</w:t>
      </w:r>
      <w:r>
        <w:rPr>
          <w:rFonts w:ascii="Times New Roman" w:cs="Times New Roman" w:eastAsia="Times New Roman" w:hAnsi="Times New Roman"/>
          <w:sz w:val="22"/>
          <w:szCs w:val="22"/>
          <w:color w:val="auto"/>
        </w:rPr>
        <w:t>,” and such notice, a “</w:t>
      </w:r>
      <w:r>
        <w:rPr>
          <w:rFonts w:ascii="Times New Roman" w:cs="Times New Roman" w:eastAsia="Times New Roman" w:hAnsi="Times New Roman"/>
          <w:sz w:val="22"/>
          <w:szCs w:val="22"/>
          <w:b w:val="1"/>
          <w:bCs w:val="1"/>
          <w:color w:val="auto"/>
        </w:rPr>
        <w:t>Degrader Target Screening Notice</w:t>
      </w:r>
      <w:r>
        <w:rPr>
          <w:rFonts w:ascii="Times New Roman" w:cs="Times New Roman" w:eastAsia="Times New Roman" w:hAnsi="Times New Roman"/>
          <w:sz w:val="22"/>
          <w:szCs w:val="22"/>
          <w:color w:val="auto"/>
        </w:rPr>
        <w:t>”) which Degrader Target Screening Notice shall be in form and substance reasonably acceptable to both Parties, including with respect to customary and reasonable confidentiality and non-use obligations. Promptly (but no later than [*] Business Days) after receiving a Degrader Target Screening Notice, the Gatekeeper shall review and compare the Seagen Desired Degrader Targets listed in the Degrader Target Screening Notice against the list of Excluded Degrader Targets then in effect, and shall notify Seagen in writing, no later than [*] Business Days after delivery of the applicable Degrader Target Screening Notice, which, if any, of the Seagen Desired Degrader Targets are Available Degrader Targets (the “</w:t>
      </w:r>
      <w:r>
        <w:rPr>
          <w:rFonts w:ascii="Times New Roman" w:cs="Times New Roman" w:eastAsia="Times New Roman" w:hAnsi="Times New Roman"/>
          <w:sz w:val="22"/>
          <w:szCs w:val="22"/>
          <w:b w:val="1"/>
          <w:bCs w:val="1"/>
          <w:color w:val="auto"/>
        </w:rPr>
        <w:t>Gatekeeper Availability Notice</w:t>
      </w:r>
      <w:r>
        <w:rPr>
          <w:rFonts w:ascii="Times New Roman" w:cs="Times New Roman" w:eastAsia="Times New Roman" w:hAnsi="Times New Roman"/>
          <w:sz w:val="22"/>
          <w:szCs w:val="22"/>
          <w:color w:val="auto"/>
        </w:rPr>
        <w:t>”). The Gatekeeper shall not disclose to any Person (including any employee, agent or representative of Nurix or its Affiliates) other than Seagen the identity of, or any other information with respect to, the Seagen Desired Degrader Targets, including that Seagen has submitted a Degrader Target Screening Notice with respect to any Seagen Desired Degrader Target(s). The Parties acknowledge that the Gatekeeper may be an employee of Nurix and the disclosure by Seagen to such Gatekeeper of the Seagen Desired Degrader Targets shall not be considered a disclosure to Nurix or any Nurix Affiliate under this Section 3.2.2 (Gatekeeper Responsibilities), and further, such Gatekeeper shall at all times be bound by the confidentiality, non-disclosure and non-use obligations hereunder (including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201" w:name="page202"/>
    <w:bookmarkEnd w:id="201"/>
    <w:p>
      <w:pPr>
        <w:jc w:val="both"/>
        <w:spacing w:after="0" w:line="217" w:lineRule="auto"/>
        <w:rPr>
          <w:sz w:val="20"/>
          <w:szCs w:val="20"/>
          <w:color w:val="auto"/>
        </w:rPr>
      </w:pPr>
      <w:r>
        <w:rPr>
          <w:rFonts w:ascii="Times New Roman" w:cs="Times New Roman" w:eastAsia="Times New Roman" w:hAnsi="Times New Roman"/>
          <w:sz w:val="22"/>
          <w:szCs w:val="22"/>
          <w:color w:val="auto"/>
        </w:rPr>
        <w:t>Section 3.2.2 (Gatekeeper Responsibilities)) and in any Degrader Target Screening Notice. For clarity, the Seagen Desired Degrader Targets do not become Collaboration Degrader Targets until the requirements of Section 3.1 (Proposed Degrader Target Sets) are met. Seagen shall have the right to deliver to the Gatekeeper up to a maximum of [*] Degrader Target Screening Notices per Calendar Quarter, with a maximum of [*] Seagen Desired Degrader Targets described in all Degrader Target Screening Notices for each such Calendar Quarter.</w:t>
      </w:r>
    </w:p>
    <w:p>
      <w:pPr>
        <w:spacing w:after="0" w:line="13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5020"/>
        <w:spacing w:after="0"/>
        <w:rPr>
          <w:sz w:val="20"/>
          <w:szCs w:val="20"/>
          <w:color w:val="auto"/>
        </w:rPr>
      </w:pPr>
      <w:r>
        <w:rPr>
          <w:rFonts w:ascii="Times New Roman" w:cs="Times New Roman" w:eastAsia="Times New Roman" w:hAnsi="Times New Roman"/>
          <w:sz w:val="22"/>
          <w:szCs w:val="22"/>
          <w:b w:val="1"/>
          <w:bCs w:val="1"/>
          <w:color w:val="auto"/>
        </w:rPr>
        <w:t>RESEARCH</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color w:val="auto"/>
        </w:rPr>
        <w:t>Joint Research Plans</w:t>
      </w:r>
      <w:r>
        <w:rPr>
          <w:rFonts w:ascii="Times New Roman" w:cs="Times New Roman" w:eastAsia="Times New Roman" w:hAnsi="Times New Roman"/>
          <w:sz w:val="21"/>
          <w:szCs w:val="21"/>
          <w:color w:val="auto"/>
        </w:rPr>
        <w:t>. The initial Joint Research Plan for each of the Initial Degrader Target Sets are attached hereto as [*], respectively (each an “</w:t>
      </w:r>
      <w:r>
        <w:rPr>
          <w:rFonts w:ascii="Times New Roman" w:cs="Times New Roman" w:eastAsia="Times New Roman" w:hAnsi="Times New Roman"/>
          <w:sz w:val="21"/>
          <w:szCs w:val="21"/>
          <w:b w:val="1"/>
          <w:bCs w:val="1"/>
          <w:color w:val="auto"/>
        </w:rPr>
        <w:t>Initial Joint Research Plan</w:t>
      </w:r>
      <w:r>
        <w:rPr>
          <w:rFonts w:ascii="Times New Roman" w:cs="Times New Roman" w:eastAsia="Times New Roman" w:hAnsi="Times New Roman"/>
          <w:sz w:val="21"/>
          <w:szCs w:val="21"/>
          <w:color w:val="auto"/>
        </w:rPr>
        <w:t xml:space="preserve">”). Within [*] following receipt by Nurix’s Alliance Manager of a [*] Notice in accordance with Section 2.2.2 ([*]) or Seagen’s exercise of its Collaboration Degrader Target Set Replacement Right in accordance with Section 2.2.3 (Collaboration Degrader Target Set Replacement Right), as applicable, Seagen shall prepare, and shall submit to the JRC for review, an initial draft Joint Research Plan for the applicable [*] or Replacement Degrader Target Set, which initial draft shall be substantially consistent with the Joint Research Plans for the Initial Degrader Target Sets. Without limiting the foregoing or Section 1.147 (“Joint Research Plan”), each Joint Research Plan shall (a) set forth in reasonable detail the Research activities to be undertaken by each Party with respect to the applicable Collaboration Degrader Target Set; (b) provide for Seagen’s ability to perform internal research with respect to the applicable Collaboration Degrader Target Set and applicable Collaboration Degraders; and (c) provide that Nurix shall use Commercially Reasonable Efforts to identify and deliver [*] Collaboration Degraders that (i) selectively bind and degrade all of the Degrader Target(s) in the applicable Collaboration Degrader Target Set, and (ii) meet the applicable Collaboration Degrader Criteria. The JRC will have [*] days to review and approve such draft of the Joint Research Plan, upon completion of which the Joint Research Plan will become effective;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Nurix shall not unreasonably withhold, condition or delay its consent to such draft. For the avoidance of doubt, Nurix (A) exercising its rights under Section 10.6.2(b) or (B) withholding its consent with respect to a proposed Joint Research Plan amendment proposed by Seagen requiring Nurix to create, modify or optimize any Degrader to be orally available, in each case (clause (A) and (B)), shall not be deemed unreasonable hereunder. From time to time (at least on an annual basis), the JRC will discuss, prepare and approve amendments, as appropriate, to each then-current Joint Research Plan, including with respect to the removal of any Removed Degrader Targets (as further described in Section 2.5.1 (Amendment of Joint Research Plan)) and with respect to the addition of Available Degrader Targets to a Collaboration Degrader Target Set (as further described in Section 2.4 (Addition of Degrader Targets)). Subject to Section 10.6 (Committee Decisions), each amended Joint Research Plan will become effective and supersede the previous Joint Research Plan as of the date of approval by the JRC.</w:t>
      </w:r>
    </w:p>
    <w:p>
      <w:pPr>
        <w:spacing w:after="0" w:line="16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Joint Research Activities</w:t>
      </w:r>
      <w:r>
        <w:rPr>
          <w:rFonts w:ascii="Times New Roman" w:cs="Times New Roman" w:eastAsia="Times New Roman" w:hAnsi="Times New Roman"/>
          <w:sz w:val="22"/>
          <w:szCs w:val="22"/>
          <w:color w:val="auto"/>
        </w:rPr>
        <w:t xml:space="preserve">. Subject to the terms and conditions herein, during each applicable Joint Research Term, on a Collaboration Degrader Target Set-by-Collaboration Degrader Target Set basis, (a) the Parties will each use Commercially Reasonable Efforts to conduct the Research activities allocated to such Party in the applicable Joint Research Plan, and (b) without limiting the foregoing, Nurix will use Commercially Reasonable Efforts to (i) identify, synthesize, and characterize and deliver to Seagen Degraders that selectively bind and degrade one (1) or more of the Degrader Target(s) in the applicable Collaboration Degrader Target Set (including by conducting one (1) or more DEL Screens with respect to such Collaboration Degrader Target 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Nurix conducts any such DEL Screen(s) without Seagen’s prior written request, Nurix shall provide written notice to Seagen through the JRC that such DEL Screen(s) have been conducted, which notice shall summarize the results of such DEL Screen(s) in reasonable detail), (ii) optimize one (1) or more of the Degraders identified or synthesized through clause (i) above to cause pharmacologically relevant activity as a result of degrading one (1) or more of the Degrader Target(s) in such Collaboration Degrader Target Set,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202" w:name="page203"/>
    <w:bookmarkEnd w:id="202"/>
    <w:p>
      <w:pPr>
        <w:jc w:val="both"/>
        <w:spacing w:after="0" w:line="209" w:lineRule="auto"/>
        <w:rPr>
          <w:sz w:val="20"/>
          <w:szCs w:val="20"/>
          <w:color w:val="auto"/>
        </w:rPr>
      </w:pPr>
      <w:r>
        <w:rPr>
          <w:rFonts w:ascii="Times New Roman" w:cs="Times New Roman" w:eastAsia="Times New Roman" w:hAnsi="Times New Roman"/>
          <w:sz w:val="22"/>
          <w:szCs w:val="22"/>
          <w:color w:val="auto"/>
        </w:rPr>
        <w:t>creating Collaboration Degraders that are Directed To such Collaboration Degrader Target Set; and (iii) work with Seagen to evaluate such Collaboration Degraders that are Directed To such Collaboration Degrader Target Set, including until they satisfy the applicable Collaboration Degrader Criteria, in each case (clauses (i)-(iii)), in accordance with the applicable Joint Research Plan (“</w:t>
      </w:r>
      <w:r>
        <w:rPr>
          <w:rFonts w:ascii="Times New Roman" w:cs="Times New Roman" w:eastAsia="Times New Roman" w:hAnsi="Times New Roman"/>
          <w:sz w:val="22"/>
          <w:szCs w:val="22"/>
          <w:b w:val="1"/>
          <w:bCs w:val="1"/>
          <w:color w:val="auto"/>
        </w:rPr>
        <w:t>Nurix Research</w:t>
      </w:r>
      <w:r>
        <w:rPr>
          <w:rFonts w:ascii="Times New Roman" w:cs="Times New Roman" w:eastAsia="Times New Roman" w:hAnsi="Times New Roman"/>
          <w:sz w:val="22"/>
          <w:szCs w:val="22"/>
          <w:color w:val="auto"/>
        </w:rPr>
        <w:t>”), and (c) once a Collaboration Degrader that is Directed To the applicable Collaboration Degrader Target Set satisfies the applicable Collaboration Degrader Criteria, Seagen will use Commercially Reasonable Efforts to (1) conjugate such Collaboration Degrader to one (1) or more Antibodies selected by Seagen, and (2) test whether the resulting Collaboration Degrader-Antibody Conjugates satisfy the applicable [*] Potency Benchmark, in each case, in accordance with the applicable Joint Research Plan (“</w:t>
      </w:r>
      <w:r>
        <w:rPr>
          <w:rFonts w:ascii="Times New Roman" w:cs="Times New Roman" w:eastAsia="Times New Roman" w:hAnsi="Times New Roman"/>
          <w:sz w:val="22"/>
          <w:szCs w:val="22"/>
          <w:b w:val="1"/>
          <w:bCs w:val="1"/>
          <w:color w:val="auto"/>
        </w:rPr>
        <w:t>Seagen Research</w:t>
      </w:r>
      <w:r>
        <w:rPr>
          <w:rFonts w:ascii="Times New Roman" w:cs="Times New Roman" w:eastAsia="Times New Roman" w:hAnsi="Times New Roman"/>
          <w:sz w:val="22"/>
          <w:szCs w:val="22"/>
          <w:color w:val="auto"/>
        </w:rPr>
        <w:t>”). For clarity, evaluation and optimization of a Collaboration Degrader may, in accordance with the applicable Joint Research Plan, continue after such Collaboration Degrader has satisfied the applicable Collaboration Degrader Criteria. Each Research Program will be subject to the oversight of the JRC. The foregoing activities, along with any other activities conducted under a Joint Research Plan, will be the “</w:t>
      </w:r>
      <w:r>
        <w:rPr>
          <w:rFonts w:ascii="Times New Roman" w:cs="Times New Roman" w:eastAsia="Times New Roman" w:hAnsi="Times New Roman"/>
          <w:sz w:val="22"/>
          <w:szCs w:val="22"/>
          <w:b w:val="1"/>
          <w:bCs w:val="1"/>
          <w:color w:val="auto"/>
        </w:rPr>
        <w:t>Joint Research</w:t>
      </w:r>
      <w:r>
        <w:rPr>
          <w:rFonts w:ascii="Times New Roman" w:cs="Times New Roman" w:eastAsia="Times New Roman" w:hAnsi="Times New Roman"/>
          <w:sz w:val="22"/>
          <w:szCs w:val="22"/>
          <w:color w:val="auto"/>
        </w:rPr>
        <w:t>.” Notwithstanding anything to the contrary in this Agreement, upon expiration of the Joint Research Term applicable to a Collaboration Degrader Target Set, Nurix shall have no further obligation to conduct any Research activities with respect to such Collaboration Degrader Target Set or its Collaboration Degraders.</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Joint Research Term Extension</w:t>
      </w:r>
      <w:r>
        <w:rPr>
          <w:rFonts w:ascii="Times New Roman" w:cs="Times New Roman" w:eastAsia="Times New Roman" w:hAnsi="Times New Roman"/>
          <w:sz w:val="22"/>
          <w:szCs w:val="22"/>
          <w:color w:val="auto"/>
        </w:rPr>
        <w:t>. Prior to the expiration of the applicable Joint Research Term, on a Collaboration Degrader Target Set-by-Collaboration Degrader Target Set basis, upon written notice by Seagen to Nurix, Seagen may extend such Joint Research Term for [*] (a “</w:t>
      </w:r>
      <w:r>
        <w:rPr>
          <w:rFonts w:ascii="Times New Roman" w:cs="Times New Roman" w:eastAsia="Times New Roman" w:hAnsi="Times New Roman"/>
          <w:sz w:val="22"/>
          <w:szCs w:val="22"/>
          <w:b w:val="1"/>
          <w:bCs w:val="1"/>
          <w:color w:val="auto"/>
        </w:rPr>
        <w:t>Joint Research Term Extension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 Seagen pays the Joint Research Term Extension Fee for each such Joint Research Term Extension in accordance with Section 13.2 (Joint Research Term Extension Fee), and (b) except as the Parties may otherwise mutually agree in writing, under no circumstances will the Joint Research Term with respect to any Collaboration Degrader Target Set, including [*] or any Replacement Degrader Target Set, as applicable, extend beyond the date that is [*] after the Effective Date.</w:t>
      </w:r>
    </w:p>
    <w:p>
      <w:pPr>
        <w:spacing w:after="0" w:line="14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Seagen Research Activities</w:t>
      </w:r>
      <w:r>
        <w:rPr>
          <w:rFonts w:ascii="Times New Roman" w:cs="Times New Roman" w:eastAsia="Times New Roman" w:hAnsi="Times New Roman"/>
          <w:sz w:val="22"/>
          <w:szCs w:val="22"/>
          <w:color w:val="auto"/>
        </w:rPr>
        <w:t>. On a Collaboration Degrader Target Set-by-Collaboration Degrader Target Set basis, Seagen may continue to conduct the Seagen Research activities after the expiration of the applicable Joint Research Term and during the Degrader License Option Period (including as extended in accordance with Section 5.3 (Degrader License Option Period Extension)) (each a “</w:t>
      </w:r>
      <w:r>
        <w:rPr>
          <w:rFonts w:ascii="Times New Roman" w:cs="Times New Roman" w:eastAsia="Times New Roman" w:hAnsi="Times New Roman"/>
          <w:sz w:val="22"/>
          <w:szCs w:val="22"/>
          <w:b w:val="1"/>
          <w:bCs w:val="1"/>
          <w:color w:val="auto"/>
        </w:rPr>
        <w:t>Seagen Research Term</w:t>
      </w:r>
      <w:r>
        <w:rPr>
          <w:rFonts w:ascii="Times New Roman" w:cs="Times New Roman" w:eastAsia="Times New Roman" w:hAnsi="Times New Roman"/>
          <w:sz w:val="22"/>
          <w:szCs w:val="22"/>
          <w:color w:val="auto"/>
        </w:rPr>
        <w:t>”) and, following the Degrader License Effective Date that occurs with respect to Seagen’s exercise of the Degrader License Option in accordance with Section 5.2 (Degrader License Option Exercise), during the remaining Term of this Agreement. Seagen shall provide Nurix with updates regarding Seagen Research activities conducted by Seagen during the Seagen Research Term via the JSC and JRC as described in Section 10.1 (Joint Steering Committee) and Section 10.2 (Joint Research Committee). For clarity, notwithstanding that Nurix shall not have any obligation to perform any Research activities with respect to any Collaboration Degrader Target Set after the expiration of the Joint Research Term of such Collaboration Degrader Target Set, Nurix, at its sole discretion, may conduct certain Research activities to support Seagen Research activities during the Seagen Research Term.</w:t>
      </w:r>
    </w:p>
    <w:p>
      <w:pPr>
        <w:spacing w:after="0" w:line="15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color w:val="auto"/>
        </w:rPr>
        <w:t>Additional Conjugation Candidates</w:t>
      </w:r>
      <w:r>
        <w:rPr>
          <w:rFonts w:ascii="Times New Roman" w:cs="Times New Roman" w:eastAsia="Times New Roman" w:hAnsi="Times New Roman"/>
          <w:sz w:val="22"/>
          <w:szCs w:val="22"/>
          <w:color w:val="auto"/>
        </w:rPr>
        <w:t>. On a Licensed Degrader Target Set-by-Licensed Degrader Target Set basis, Seagen may, after the applicable Degrader License Effective Date, request to obtain the right from Nurix to (a) conjugate the applicable Licensed Degrader to one (1) or more additional non-Antibody compound(s) that selectively binds any cell-surface protein and causes pharmacologically relevant activity as a result of such binding (such compound, an “</w:t>
      </w:r>
      <w:r>
        <w:rPr>
          <w:rFonts w:ascii="Times New Roman" w:cs="Times New Roman" w:eastAsia="Times New Roman" w:hAnsi="Times New Roman"/>
          <w:sz w:val="22"/>
          <w:szCs w:val="22"/>
          <w:b w:val="1"/>
          <w:bCs w:val="1"/>
          <w:color w:val="auto"/>
        </w:rPr>
        <w:t>Additional Conjugation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Candidate</w:t>
      </w:r>
      <w:r>
        <w:rPr>
          <w:rFonts w:ascii="Times New Roman" w:cs="Times New Roman" w:eastAsia="Times New Roman" w:hAnsi="Times New Roman"/>
          <w:sz w:val="22"/>
          <w:szCs w:val="22"/>
          <w:color w:val="auto"/>
        </w:rPr>
        <w:t>”), and to (b) further Research, Develop, Manufacture, Commercialize or otherwise Exploit any such resulting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Degrader-Additional Conjugation Candidate molecule in the Field in the Territory. Seagen shall provide a written notice to Nurix describing in reasonable detail any such Additional Conjugation Candidate and the cell-surface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203" w:name="page204"/>
    <w:bookmarkEnd w:id="203"/>
    <w:p>
      <w:pPr>
        <w:jc w:val="both"/>
        <w:spacing w:after="0" w:line="220" w:lineRule="auto"/>
        <w:rPr>
          <w:sz w:val="20"/>
          <w:szCs w:val="20"/>
          <w:color w:val="auto"/>
        </w:rPr>
      </w:pPr>
      <w:r>
        <w:rPr>
          <w:rFonts w:ascii="Times New Roman" w:cs="Times New Roman" w:eastAsia="Times New Roman" w:hAnsi="Times New Roman"/>
          <w:sz w:val="22"/>
          <w:szCs w:val="22"/>
          <w:color w:val="auto"/>
        </w:rPr>
        <w:t>protein(s) to which such Additional Conjugation Candidate(s) are directed to. If, as of the delivery of such written notice to Nurix, such cell-surface protein(s) are neither [*], nor [*], then the Parties shall promptly execute an amendment to this Agreement in form and substance negotiated in good faith and reasonably acceptable to both Parties which allows Seagen to obtain the rights described in clauses (a) and (b) above.</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color w:val="auto"/>
        </w:rPr>
        <w:t>Seagen-Provided Property</w:t>
      </w:r>
      <w:r>
        <w:rPr>
          <w:rFonts w:ascii="Times New Roman" w:cs="Times New Roman" w:eastAsia="Times New Roman" w:hAnsi="Times New Roman"/>
          <w:sz w:val="22"/>
          <w:szCs w:val="22"/>
          <w:color w:val="auto"/>
        </w:rPr>
        <w:t>. Seagen will provide Nurix with (a) the Seagen Materials set forth in the applicable Joint Research Plan, and (b) any additional Seagen Materials to the extent necessary or reasonably useful for Nurix to conduct the Research activities assigned to Nurix under such Joint Research Plan, in each case ((a) and (b)), at Seagen’s sole expense. Prior to Seagen initially transferring any Seagen Materials to Nurix, the Parties shall enter into a material transfer agreement in substantially the form attached hereto as Schedule 4.6 (a “</w:t>
      </w:r>
      <w:r>
        <w:rPr>
          <w:rFonts w:ascii="Times New Roman" w:cs="Times New Roman" w:eastAsia="Times New Roman" w:hAnsi="Times New Roman"/>
          <w:sz w:val="22"/>
          <w:szCs w:val="22"/>
          <w:b w:val="1"/>
          <w:bCs w:val="1"/>
          <w:color w:val="auto"/>
        </w:rPr>
        <w:t>Material Transfer Agreement</w:t>
      </w:r>
      <w:r>
        <w:rPr>
          <w:rFonts w:ascii="Times New Roman" w:cs="Times New Roman" w:eastAsia="Times New Roman" w:hAnsi="Times New Roman"/>
          <w:sz w:val="22"/>
          <w:szCs w:val="22"/>
          <w:color w:val="auto"/>
        </w:rPr>
        <w:t>”), which Material Transfer Agreement will include an exhibit setting forth a description in reasonable detail of such Seagen Materials to be provided and the purposes for which such Seagen Materials will be used. Nurix shall not use any Seagen Materials for any purposes except as otherwise permitted under the terms and conditions of this Agreement or the applicable Material Transfer Agreement. For clarity, upon any Collaboration Degrader Target Set or Licensed Degrader Target Set becoming a Former Collaboration Degrader Target Set or a Former Licensed Degrader Target Set, as applicable, Nurix shall, at Seagen’s reasonable request, either promptly destroy or return any remaining Seagen Materials provided by Seagen with respect to such Collaboration Degrader Target Set or Licensed Degrader Target Set (provided such Seagen Materials are not necessary or reasonably useful for Nurix’s activities under this Agreement with respect to any Degrader Target Set that remains a Collaboration Degrader Target Set or a Licensed Degrader Target Set).</w:t>
      </w:r>
    </w:p>
    <w:p>
      <w:pPr>
        <w:spacing w:after="0" w:line="15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color w:val="auto"/>
        </w:rPr>
        <w:t>Nurix-Provided Property</w:t>
      </w:r>
      <w:r>
        <w:rPr>
          <w:rFonts w:ascii="Times New Roman" w:cs="Times New Roman" w:eastAsia="Times New Roman" w:hAnsi="Times New Roman"/>
          <w:sz w:val="22"/>
          <w:szCs w:val="22"/>
          <w:color w:val="auto"/>
        </w:rPr>
        <w:t>. Nurix will provide Seagen, on a Collaboration Degrader Target Set-by-Collaboration Degrader Target Set basis during the applicable Joint Research Term and Seagen Research Term, (a) any Nurix Materials solely to the extent set forth in the applicable Joint Research Plan, at no additional cost to Seagen, and (b) other than pursuant to the preceding clause (a), any additional Nurix Materials, upon Seagen’s reasonable written request and at Seagen’s expense. Prior to Nurix initially transferring any such Nurix Materials to Seagen, the Parties shall enter into a Material Transfer Agreement in substantially the form attached hereto as Schedule 4.6, which Material Transfer Agreement will include an exhibit setting forth a description in reasonable detail of such Nurix Materials to be provided and the purposes for which such Nurix Materials will be used. Seagen shall not use, and shall not permit any Affiliate of Seagen or any Sublicensee to use, any Nurix Materials for any purposes except as otherwise permitted under the terms and conditions of this Agreement or the applicable Material Transfer Agreement. For clarity, upon any Collaboration Degrader Target Set or Licensed Degrader Target Set becoming a Former Collaboration Degrader Target Set or a Former Licensed Degrader Target Set, as applicable, Seagen shall, at Nurix’s reasonable request, either promptly destroy or return any remaining Nurix Materials provided by Nurix with respect to such Collaboration Degrader Target Set or Licensed Degrader Target Set (provided such Nurix Materials are not necessary or reasonably useful for Seagen’s activities under this Agreement with respect to any Degrader Target Set that remains a Collaboration Degrader Target Set or a Licensed Degrader Target Set).</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b w:val="1"/>
          <w:bCs w:val="1"/>
          <w:color w:val="auto"/>
        </w:rPr>
        <w:t>Information Sharing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4.8.1 </w:t>
      </w:r>
      <w:r>
        <w:rPr>
          <w:rFonts w:ascii="Times New Roman" w:cs="Times New Roman" w:eastAsia="Times New Roman" w:hAnsi="Times New Roman"/>
          <w:sz w:val="22"/>
          <w:szCs w:val="22"/>
          <w:u w:val="single" w:color="auto"/>
          <w:color w:val="auto"/>
        </w:rPr>
        <w:t>Initial Information Sharing</w:t>
      </w:r>
      <w:r>
        <w:rPr>
          <w:rFonts w:ascii="Times New Roman" w:cs="Times New Roman" w:eastAsia="Times New Roman" w:hAnsi="Times New Roman"/>
          <w:sz w:val="22"/>
          <w:szCs w:val="22"/>
          <w:color w:val="auto"/>
        </w:rPr>
        <w:t>. Promptly, and in any event within [*] following each of (i) the Effective Date (or, within [*] after establishing the JRC, if later), (ii) receipt by Nurix’s Alliance Manager of a [*] Notice in accordance with Section 2.2.2 ([*]), or (iii) Seagen’s exercise of a Collaboration Degrader Target Set Replacement Right in accordance with Section 2.2.3 (Collaboration Degrader Target Set Replacement Right), as applicable, each Party will provide or make available to the JRC all relevant data and information Controlled by such Party with respect to the applicable Collaboration Degrader Target Set (including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5" w:right="339" w:bottom="1440" w:gutter="0" w:footer="0" w:header="0"/>
        </w:sectPr>
      </w:pPr>
    </w:p>
    <w:bookmarkStart w:id="204" w:name="page205"/>
    <w:bookmarkEnd w:id="204"/>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respect to any Collaboration Degraders then Controlled by Nurix that are Directed To [*] or more Collaboration Degrader Targets included in the applicable Collaboration Degrader Target Set).</w:t>
      </w:r>
    </w:p>
    <w:p>
      <w:pPr>
        <w:spacing w:after="0" w:line="15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4.8.2 </w:t>
      </w:r>
      <w:r>
        <w:rPr>
          <w:rFonts w:ascii="Times New Roman" w:cs="Times New Roman" w:eastAsia="Times New Roman" w:hAnsi="Times New Roman"/>
          <w:sz w:val="22"/>
          <w:szCs w:val="22"/>
          <w:u w:val="single" w:color="auto"/>
          <w:color w:val="auto"/>
        </w:rPr>
        <w:t>Ongoing Information Sharing</w:t>
      </w:r>
      <w:r>
        <w:rPr>
          <w:rFonts w:ascii="Times New Roman" w:cs="Times New Roman" w:eastAsia="Times New Roman" w:hAnsi="Times New Roman"/>
          <w:sz w:val="22"/>
          <w:szCs w:val="22"/>
          <w:color w:val="auto"/>
        </w:rPr>
        <w:t>. During the Joint Research Term and Seagen Research Term, at each meeting of the JRC or as otherwise agreed by the Parties, the JRC shall review written reports or presentations regarding each Party’s activities and Research Results (as applicable) with respect to the Joint Research and Seagen Research of respective Collaboration Degraders and Collaboration Degrader-Antibody Conjugates. Each report or presentation under this Section 4.8 (Information Sharing) will cover such activities and Research Results since the previous JRC meeting, including a summary of results, information, chemical structures, data with respect to such Collaboration Degraders and Collaboration Degrader-Antibody Conjugates, and, during the Seagen Research Term, if applicable, in accordance with Section 4.4 (Seagen Research Activities) and at Nurix’s sole discretion, any request by Seagen for Nurix Research support. Upon request by the JRC or by the other Party, a Party will provide the JRC with such other information and such additional access to records with respect to Collaboration Degraders and Collaboration Degrader-Antibody Conjugates as the JRC or such other Party may reasonably request for the conduct or evaluation of the respective Joint Research activities or Seagen Research activities, including the underlying information used to create the Research Results and other summaries provided by such Party, such as data listings, data sets and programs used for the analyses collected by a Party in the course of conducting its activities with respect to the respective Collaboration Degraders and Collaboration Degrader-Antibody Conjugates. Within [*] after the expiration of the Joint Research Term with respect to a Collaboration Degrader Target Set, Nurix shall provide Seagen with a report summarizing all available Research Results generated by or on behalf of Nurix with respect to Collaboration Degraders that are Directed To such Collaboration Degrader Target Set.</w:t>
      </w:r>
    </w:p>
    <w:p>
      <w:pPr>
        <w:spacing w:after="0" w:line="15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b w:val="1"/>
          <w:bCs w:val="1"/>
          <w:color w:val="auto"/>
        </w:rPr>
        <w:t>Records Retention</w:t>
      </w:r>
      <w:r>
        <w:rPr>
          <w:rFonts w:ascii="Times New Roman" w:cs="Times New Roman" w:eastAsia="Times New Roman" w:hAnsi="Times New Roman"/>
          <w:sz w:val="22"/>
          <w:szCs w:val="22"/>
          <w:color w:val="auto"/>
        </w:rPr>
        <w:t>. On a Collaboration Degrader Target Set-by-Collaboration Degrader Target Set basis, each Party will retain, and cause its Affiliates and its and their permitted subcontractors to retain, all records, accounts, notes, reports, data and laboratory notebooks with respect to the Joint Research activities performed with respect to such Collaboration Degrader Target Set until the [*] anniversary of the expiration of the Joint Research Term for such Collaboration Degrader Target Set or such longer period as may be required by Applicable Law.</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b w:val="1"/>
          <w:bCs w:val="1"/>
          <w:color w:val="auto"/>
        </w:rPr>
        <w:t>Research Costs</w:t>
      </w:r>
      <w:r>
        <w:rPr>
          <w:rFonts w:ascii="Times New Roman" w:cs="Times New Roman" w:eastAsia="Times New Roman" w:hAnsi="Times New Roman"/>
          <w:sz w:val="21"/>
          <w:szCs w:val="21"/>
          <w:color w:val="auto"/>
        </w:rPr>
        <w:t>. As between the Parties, [*]. For clarity, as between the Parties, Seagen shall [*].</w:t>
      </w:r>
    </w:p>
    <w:p>
      <w:pPr>
        <w:spacing w:after="0" w:line="17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5</w:t>
      </w:r>
    </w:p>
    <w:p>
      <w:pPr>
        <w:jc w:val="center"/>
        <w:spacing w:after="0"/>
        <w:rPr>
          <w:sz w:val="20"/>
          <w:szCs w:val="20"/>
          <w:color w:val="auto"/>
        </w:rPr>
      </w:pPr>
      <w:r>
        <w:rPr>
          <w:rFonts w:ascii="Times New Roman" w:cs="Times New Roman" w:eastAsia="Times New Roman" w:hAnsi="Times New Roman"/>
          <w:sz w:val="22"/>
          <w:szCs w:val="22"/>
          <w:b w:val="1"/>
          <w:bCs w:val="1"/>
          <w:color w:val="auto"/>
        </w:rPr>
        <w:t>DEGRADER LICENSE OPTION</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Degrader License Option</w:t>
      </w:r>
      <w:r>
        <w:rPr>
          <w:rFonts w:ascii="Times New Roman" w:cs="Times New Roman" w:eastAsia="Times New Roman" w:hAnsi="Times New Roman"/>
          <w:sz w:val="22"/>
          <w:szCs w:val="22"/>
          <w:color w:val="auto"/>
        </w:rPr>
        <w:t>. Subject to the terms and conditions of this Agreement, including the provisions of this Article 5 (Degrader License Option), Nurix hereby grants to Seagen an exclusive option, exercisable by Seagen on a Collaboration Degrader Target Set-by-Collaboration Degrader Target Set basis, in Seagen’s sole discretion at any time during the applicable Degrader License Option Period, to obtain the exclusive license described in Section 14.2 (Licensed Degrader License) (each, a “</w:t>
      </w:r>
      <w:r>
        <w:rPr>
          <w:rFonts w:ascii="Times New Roman" w:cs="Times New Roman" w:eastAsia="Times New Roman" w:hAnsi="Times New Roman"/>
          <w:sz w:val="22"/>
          <w:szCs w:val="22"/>
          <w:b w:val="1"/>
          <w:bCs w:val="1"/>
          <w:color w:val="auto"/>
        </w:rPr>
        <w:t>Degrader License Option</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Degrader License Option Exercise</w:t>
      </w:r>
      <w:r>
        <w:rPr>
          <w:rFonts w:ascii="Times New Roman" w:cs="Times New Roman" w:eastAsia="Times New Roman" w:hAnsi="Times New Roman"/>
          <w:sz w:val="22"/>
          <w:szCs w:val="22"/>
          <w:color w:val="auto"/>
        </w:rPr>
        <w:t>. Seagen may exercise each Degrader License Option (each, a “</w:t>
      </w:r>
      <w:r>
        <w:rPr>
          <w:rFonts w:ascii="Times New Roman" w:cs="Times New Roman" w:eastAsia="Times New Roman" w:hAnsi="Times New Roman"/>
          <w:sz w:val="22"/>
          <w:szCs w:val="22"/>
          <w:b w:val="1"/>
          <w:bCs w:val="1"/>
          <w:color w:val="auto"/>
        </w:rPr>
        <w:t>Degrader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License Option Exercise</w:t>
      </w:r>
      <w:r>
        <w:rPr>
          <w:rFonts w:ascii="Times New Roman" w:cs="Times New Roman" w:eastAsia="Times New Roman" w:hAnsi="Times New Roman"/>
          <w:sz w:val="22"/>
          <w:szCs w:val="22"/>
          <w:color w:val="auto"/>
        </w:rPr>
        <w:t>”) at any point during the applicable Degrader License Option Period by providing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(each, a “</w:t>
      </w:r>
      <w:r>
        <w:rPr>
          <w:rFonts w:ascii="Times New Roman" w:cs="Times New Roman" w:eastAsia="Times New Roman" w:hAnsi="Times New Roman"/>
          <w:sz w:val="22"/>
          <w:szCs w:val="22"/>
          <w:b w:val="1"/>
          <w:bCs w:val="1"/>
          <w:color w:val="auto"/>
        </w:rPr>
        <w:t>Degrader License Option Exercise Notice</w:t>
      </w:r>
      <w:r>
        <w:rPr>
          <w:rFonts w:ascii="Times New Roman" w:cs="Times New Roman" w:eastAsia="Times New Roman" w:hAnsi="Times New Roman"/>
          <w:sz w:val="22"/>
          <w:szCs w:val="22"/>
          <w:color w:val="auto"/>
        </w:rPr>
        <w:t>”) to Nurix, which notice will (a) identify the Collaboration Degrader Target Set that is the subject of such Degrader License Option Exercise, as further described in Section 2.6 (Licensed Degrader Target Sets), and (b) include Seagen’s determination as to whether any filings, notices, applications or other submissions under Antitrust Law are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205" w:name="page206"/>
    <w:bookmarkEnd w:id="205"/>
    <w:p>
      <w:pPr>
        <w:jc w:val="both"/>
        <w:spacing w:after="0" w:line="217" w:lineRule="auto"/>
        <w:rPr>
          <w:sz w:val="20"/>
          <w:szCs w:val="20"/>
          <w:color w:val="auto"/>
        </w:rPr>
      </w:pPr>
      <w:r>
        <w:rPr>
          <w:rFonts w:ascii="Times New Roman" w:cs="Times New Roman" w:eastAsia="Times New Roman" w:hAnsi="Times New Roman"/>
          <w:sz w:val="22"/>
          <w:szCs w:val="22"/>
          <w:color w:val="auto"/>
        </w:rPr>
        <w:t>advisable in connection with such Degrader License Option Exercise (each such filing, notice, application or other submission, an “</w:t>
      </w:r>
      <w:r>
        <w:rPr>
          <w:rFonts w:ascii="Times New Roman" w:cs="Times New Roman" w:eastAsia="Times New Roman" w:hAnsi="Times New Roman"/>
          <w:sz w:val="22"/>
          <w:szCs w:val="22"/>
          <w:b w:val="1"/>
          <w:bCs w:val="1"/>
          <w:color w:val="auto"/>
        </w:rPr>
        <w:t>Antitrust Filing</w:t>
      </w:r>
      <w:r>
        <w:rPr>
          <w:rFonts w:ascii="Times New Roman" w:cs="Times New Roman" w:eastAsia="Times New Roman" w:hAnsi="Times New Roman"/>
          <w:sz w:val="22"/>
          <w:szCs w:val="22"/>
          <w:color w:val="auto"/>
        </w:rPr>
        <w:t>”) as further described in this Section 5.2 (Degrader License Option Exercise). Notwithstanding the foregoing, upon achievement of [*], a Degrader License Option Exercise shall be deemed to have occurred with respect to such Collaboration Degrader Target Set (“</w:t>
      </w:r>
      <w:r>
        <w:rPr>
          <w:rFonts w:ascii="Times New Roman" w:cs="Times New Roman" w:eastAsia="Times New Roman" w:hAnsi="Times New Roman"/>
          <w:sz w:val="22"/>
          <w:szCs w:val="22"/>
          <w:b w:val="1"/>
          <w:bCs w:val="1"/>
          <w:color w:val="auto"/>
        </w:rPr>
        <w:t>Deemed Exercise</w:t>
      </w:r>
      <w:r>
        <w:rPr>
          <w:rFonts w:ascii="Times New Roman" w:cs="Times New Roman" w:eastAsia="Times New Roman" w:hAnsi="Times New Roman"/>
          <w:sz w:val="22"/>
          <w:szCs w:val="22"/>
          <w:color w:val="auto"/>
        </w:rPr>
        <w:t>”). Notwithstanding anything to the contrary in this Agreement, there will in no event be more than [*] Licensed Degrader Target Sets in total under this Agreement at any time.</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Degrader License Option Period Extension</w:t>
      </w:r>
      <w:r>
        <w:rPr>
          <w:rFonts w:ascii="Times New Roman" w:cs="Times New Roman" w:eastAsia="Times New Roman" w:hAnsi="Times New Roman"/>
          <w:sz w:val="22"/>
          <w:szCs w:val="22"/>
          <w:color w:val="auto"/>
        </w:rPr>
        <w:t>. On a Collaboration Degrader Target Set-by-Collaboration Degrader Target Set basis, prior to the expiration of the applicable Degrader License Option Period for such Collaboration Degrader Target Set and on [*] with respect to such Degrader License Option Period, Seagen may extend such Degrader License Option Period for [*] upon delivery of written notice by Seagen to Nurix (each, a “</w:t>
      </w:r>
      <w:r>
        <w:rPr>
          <w:rFonts w:ascii="Times New Roman" w:cs="Times New Roman" w:eastAsia="Times New Roman" w:hAnsi="Times New Roman"/>
          <w:sz w:val="22"/>
          <w:szCs w:val="22"/>
          <w:b w:val="1"/>
          <w:bCs w:val="1"/>
          <w:color w:val="auto"/>
        </w:rPr>
        <w:t>Degrader License Option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Extension</w:t>
      </w:r>
      <w:r>
        <w:rPr>
          <w:rFonts w:ascii="Times New Roman" w:cs="Times New Roman" w:eastAsia="Times New Roman" w:hAnsi="Times New Roman"/>
          <w:sz w:val="22"/>
          <w:szCs w:val="22"/>
          <w:color w:val="auto"/>
        </w:rPr>
        <w:t>”) and payment of the Degrader License Option Period Extension Fee for such Degrader License Option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Extension in accordance with Section 13.5 (Degrader License Option Period Extension Fee).</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b w:val="1"/>
          <w:bCs w:val="1"/>
          <w:color w:val="auto"/>
        </w:rPr>
        <w:t>Antitrust Filings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5.4.1 </w:t>
      </w:r>
      <w:r>
        <w:rPr>
          <w:rFonts w:ascii="Times New Roman" w:cs="Times New Roman" w:eastAsia="Times New Roman" w:hAnsi="Times New Roman"/>
          <w:sz w:val="22"/>
          <w:szCs w:val="22"/>
          <w:u w:val="single" w:color="auto"/>
          <w:color w:val="auto"/>
        </w:rPr>
        <w:t>Filings</w:t>
      </w:r>
      <w:r>
        <w:rPr>
          <w:rFonts w:ascii="Times New Roman" w:cs="Times New Roman" w:eastAsia="Times New Roman" w:hAnsi="Times New Roman"/>
          <w:sz w:val="22"/>
          <w:szCs w:val="22"/>
          <w:color w:val="auto"/>
        </w:rPr>
        <w:t>. As soon as reasonably practicable following the date on which Seagen provides a Degrader License Option Exercise Notice to Nurix in accordance with Section 5.2 (Degrader License Option Exercise) (the “</w:t>
      </w:r>
      <w:r>
        <w:rPr>
          <w:rFonts w:ascii="Times New Roman" w:cs="Times New Roman" w:eastAsia="Times New Roman" w:hAnsi="Times New Roman"/>
          <w:sz w:val="22"/>
          <w:szCs w:val="22"/>
          <w:b w:val="1"/>
          <w:bCs w:val="1"/>
          <w:color w:val="auto"/>
        </w:rPr>
        <w:t>Degrader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License Exercise Date</w:t>
      </w:r>
      <w:r>
        <w:rPr>
          <w:rFonts w:ascii="Times New Roman" w:cs="Times New Roman" w:eastAsia="Times New Roman" w:hAnsi="Times New Roman"/>
          <w:sz w:val="22"/>
          <w:szCs w:val="22"/>
          <w:color w:val="auto"/>
        </w:rPr>
        <w:t>”) and in any event within [*] Business Days following the applicable Degrader License Exercise Date,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each of Nurix and Seagen will prepare and submit any Antitrust Filings, including any such required filings under the HSR Act and the rules promulgated thereunder, with respect to the relevant Degrader License Option Exercise. In connection with any such Antitrust Filings, the Parties will furnish promptly to the United States Federal Trade Commission (the “</w:t>
      </w:r>
      <w:r>
        <w:rPr>
          <w:rFonts w:ascii="Times New Roman" w:cs="Times New Roman" w:eastAsia="Times New Roman" w:hAnsi="Times New Roman"/>
          <w:sz w:val="22"/>
          <w:szCs w:val="22"/>
          <w:b w:val="1"/>
          <w:bCs w:val="1"/>
          <w:color w:val="auto"/>
        </w:rPr>
        <w:t>FTC</w:t>
      </w:r>
      <w:r>
        <w:rPr>
          <w:rFonts w:ascii="Times New Roman" w:cs="Times New Roman" w:eastAsia="Times New Roman" w:hAnsi="Times New Roman"/>
          <w:sz w:val="22"/>
          <w:szCs w:val="22"/>
          <w:color w:val="auto"/>
        </w:rPr>
        <w:t>”), the Antitrust Division of the United States Department of Justice (the “</w:t>
      </w:r>
      <w:r>
        <w:rPr>
          <w:rFonts w:ascii="Times New Roman" w:cs="Times New Roman" w:eastAsia="Times New Roman" w:hAnsi="Times New Roman"/>
          <w:sz w:val="22"/>
          <w:szCs w:val="22"/>
          <w:b w:val="1"/>
          <w:bCs w:val="1"/>
          <w:color w:val="auto"/>
        </w:rPr>
        <w:t>DOJ</w:t>
      </w:r>
      <w:r>
        <w:rPr>
          <w:rFonts w:ascii="Times New Roman" w:cs="Times New Roman" w:eastAsia="Times New Roman" w:hAnsi="Times New Roman"/>
          <w:sz w:val="22"/>
          <w:szCs w:val="22"/>
          <w:color w:val="auto"/>
        </w:rPr>
        <w:t>”) and any other applicable Governmental Authority any additional information requested within their authority under the HSR Act or other Antitrust Law, use reasonable efforts to obtain antitrust clearance for the transactions contemplated hereunder as soon as practicable with respect to the applicable Degrader License Option Exercise and otherwise cooperate with each other in the governmental antitrust clearance process. Seagen will bear all fees in connection with any filings under this Section 5.4 (Antitrust Filings), and each Party will bear its respective attorneys’ fees and other expenses in connection therewith.</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5.4.2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Following a Degrader License Option Exercise, Seagen’s rights and obligations hereunder in connection with such Degrader License Option Exercise (including the licenses to be granted in connection therewith) will not become effective unless and until: (a) the day on which the applicable waiting period provided by the HSR Act, if any, will have expired or been terminated and all other required antitrust clearances under Antitrust Law have been obtained (solely to the extent applicable in any antitrust filings), as determined by Seagen in accordance with Applicable Law; or (b) the day on which Seagen determines in accordance with Applicable Law that no Antitrust Filings are required under Antitrust Law and delivers written notice to Nurix of such determination (the earlier to occur of (a) or (b), with respect to such Degrader License Option Exercise, the “</w:t>
      </w:r>
      <w:r>
        <w:rPr>
          <w:rFonts w:ascii="Times New Roman" w:cs="Times New Roman" w:eastAsia="Times New Roman" w:hAnsi="Times New Roman"/>
          <w:sz w:val="22"/>
          <w:szCs w:val="22"/>
          <w:b w:val="1"/>
          <w:bCs w:val="1"/>
          <w:color w:val="auto"/>
        </w:rPr>
        <w:t>Degrader License Effective Date</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5.4.3 </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On a Collaboration Degrader Target Set-by-Collaboration Degrader Target Set basis, if (a) Seagen identifies any Antitrust Filings as being necessary or advisable in the applicable Degrader License Option Exercise Notice in accordance with Section 5.2 (Degrader License Option Exercise) and (b) the applicable Degrader License Effective Date does not occur on or before [*] after the applicable Degrader License Exercise Date (each, an “</w:t>
      </w:r>
      <w:r>
        <w:rPr>
          <w:rFonts w:ascii="Times New Roman" w:cs="Times New Roman" w:eastAsia="Times New Roman" w:hAnsi="Times New Roman"/>
          <w:sz w:val="22"/>
          <w:szCs w:val="22"/>
          <w:b w:val="1"/>
          <w:bCs w:val="1"/>
          <w:color w:val="auto"/>
        </w:rPr>
        <w:t>Outside Date</w:t>
      </w:r>
      <w:r>
        <w:rPr>
          <w:rFonts w:ascii="Times New Roman" w:cs="Times New Roman" w:eastAsia="Times New Roman" w:hAnsi="Times New Roman"/>
          <w:sz w:val="22"/>
          <w:szCs w:val="22"/>
          <w:color w:val="auto"/>
        </w:rPr>
        <w: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5" w:right="339" w:bottom="1440" w:gutter="0" w:footer="0" w:header="0"/>
        </w:sectPr>
      </w:pPr>
    </w:p>
    <w:bookmarkStart w:id="206" w:name="page207"/>
    <w:bookmarkEnd w:id="206"/>
    <w:p>
      <w:pPr>
        <w:ind w:left="660" w:right="20" w:firstLine="1292"/>
        <w:spacing w:after="0" w:line="236" w:lineRule="auto"/>
        <w:tabs>
          <w:tab w:leader="none" w:pos="260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Seagen may, in its sole discretion and upon written notice to Nurix delivered on or prior to the applicable Outside Date, extend the applicable Outside Date for such Degrader License Option Exercise by [*];</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such Outside Date (as extended under Section 5.4.3(a)) [*], either Party may terminate this Agreement with respect to such Collaboration Degrader Target Set by delivery of written notice to the other Party; and</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1" w:lineRule="auto"/>
        <w:tabs>
          <w:tab w:leader="none" w:pos="260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 such Outside Date (as extended under Section 5.4.3(a)), or at any time following the applicable Degrader License Option Exercise Notice as determined by Seagen, any applicable clearances under Antitrust Laws have not been obtained in any country other than [*], upon Seagen’s written request to Nurix delivered on or prior to the applicable Outside Date (as may be extended under Section 5.4.3(a)), the Parties shall promptly amend this Agreement to exclude such country or countries from the definition of “Territory” with respect to the applicable Licensed Degrader Target Set and the Degrader License Effective Date shall occur, subject to such amended “Territory” definition, on the effective date of such amendment,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any such clearances under Antitrust Laws in any such country other than [*], are subsequently obtained during the Term, upon Seagen’s written request to Nurix the Parties shall promptly amend this Agreement to restore such country in the definition of “Territory” with respect to the applicable Licensed Degrader Target 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Development Responsibility</w:t>
      </w:r>
      <w:r>
        <w:rPr>
          <w:rFonts w:ascii="Times New Roman" w:cs="Times New Roman" w:eastAsia="Times New Roman" w:hAnsi="Times New Roman"/>
          <w:sz w:val="22"/>
          <w:szCs w:val="22"/>
          <w:color w:val="auto"/>
        </w:rPr>
        <w:t>. Subject to the terms and conditions of this Agreement, Seagen will have the sole and exclusive right to Develop (and will solely and exclusively control, at its discretion, the Development of), itself or with or through its Affiliates, Sublicensees or other Third Parties, the respective Licensed Degrader and Licensed Degrader-Antibody Conjugate, including all Licensed Products, in the Field in the Territory. Subject to an applicable Profit-Share Product Agreement (if executed), all such Development will be at Seagen’s sole cost and expense.</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Development Diligence</w:t>
      </w:r>
      <w:r>
        <w:rPr>
          <w:rFonts w:ascii="Times New Roman" w:cs="Times New Roman" w:eastAsia="Times New Roman" w:hAnsi="Times New Roman"/>
          <w:sz w:val="22"/>
          <w:szCs w:val="22"/>
          <w:color w:val="auto"/>
        </w:rPr>
        <w:t>. Subject to the terms and conditions of this Agreement, on a Licensed Degrader Target Set-by-Licensed Degrader Target Set basis commencing upon the applicable Degrader License Effective Date, Seagen will, itself or with or through its Affiliates or Sublicensees or other Third Parties, use Commercially Reasonable Efforts to obtain Regulatory Approval of at least one (1) Licensed Product that is Directed To such Licensed Degrader Target Set for [*] Indications in each [*]. For clarity, such requirement may be satisfied by [*].</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Nurix Support</w:t>
      </w:r>
      <w:r>
        <w:rPr>
          <w:rFonts w:ascii="Times New Roman" w:cs="Times New Roman" w:eastAsia="Times New Roman" w:hAnsi="Times New Roman"/>
          <w:sz w:val="22"/>
          <w:szCs w:val="22"/>
          <w:color w:val="auto"/>
        </w:rPr>
        <w:t>. Nurix will, upon Seagen’s reasonable written request and at Seagen’s expense, reasonably assist Seagen with respect to the Development of (including obtaining and maintaining Regulatory Approval for) the Licensed Products. Seagen will reimburse Nurix for the costs of its support at the rate of [*].</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u w:val="single" w:color="auto"/>
          <w:color w:val="auto"/>
        </w:rPr>
        <w:t>Development Updates</w:t>
      </w:r>
      <w:r>
        <w:rPr>
          <w:rFonts w:ascii="Times New Roman" w:cs="Times New Roman" w:eastAsia="Times New Roman" w:hAnsi="Times New Roman"/>
          <w:sz w:val="22"/>
          <w:szCs w:val="22"/>
          <w:color w:val="auto"/>
        </w:rPr>
        <w:t>. With respect to any Licensed Degrader Target Set, commencing upon [*] and continuing until [*], Seagen will submit to Nurix, [*], a [*] of Seagen’s material Development activities with respect to Licensed Products that are Directed To such Licensed Degrader Target Set that have been conducted since Seagen’s delivery of the applicable prior report, and any material Development activities that Seagen then [*]. The first such report shall be provided to Nurix within [*] days of [*] for such Licensed Product in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207" w:name="page208"/>
    <w:bookmarkEnd w:id="207"/>
    <w:p>
      <w:pPr>
        <w:jc w:val="both"/>
        <w:spacing w:after="0" w:line="236" w:lineRule="auto"/>
        <w:rPr>
          <w:sz w:val="20"/>
          <w:szCs w:val="20"/>
          <w:color w:val="auto"/>
        </w:rPr>
      </w:pPr>
      <w:r>
        <w:rPr>
          <w:rFonts w:ascii="Times New Roman" w:cs="Times New Roman" w:eastAsia="Times New Roman" w:hAnsi="Times New Roman"/>
          <w:sz w:val="22"/>
          <w:szCs w:val="22"/>
          <w:color w:val="auto"/>
        </w:rPr>
        <w:t>the [*]. Upon Nurix’s reasonable written request, the Parties shall meet (including by teleconference) to discuss such report(s) and activities.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jc w:val="center"/>
        <w:spacing w:after="0"/>
        <w:rPr>
          <w:sz w:val="20"/>
          <w:szCs w:val="20"/>
          <w:color w:val="auto"/>
        </w:rPr>
      </w:pPr>
      <w:r>
        <w:rPr>
          <w:rFonts w:ascii="Times New Roman" w:cs="Times New Roman" w:eastAsia="Times New Roman" w:hAnsi="Times New Roman"/>
          <w:sz w:val="22"/>
          <w:szCs w:val="22"/>
          <w:b w:val="1"/>
          <w:bCs w:val="1"/>
          <w:color w:val="auto"/>
        </w:rPr>
        <w:t>REGULATORY</w:t>
      </w:r>
    </w:p>
    <w:p>
      <w:pPr>
        <w:spacing w:after="0" w:line="151"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b w:val="1"/>
          <w:bCs w:val="1"/>
          <w:color w:val="auto"/>
        </w:rPr>
        <w:t>Regulatory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Responsibility</w:t>
      </w:r>
      <w:r>
        <w:rPr>
          <w:rFonts w:ascii="Times New Roman" w:cs="Times New Roman" w:eastAsia="Times New Roman" w:hAnsi="Times New Roman"/>
          <w:sz w:val="22"/>
          <w:szCs w:val="22"/>
          <w:color w:val="auto"/>
        </w:rPr>
        <w:t>. Subject to the terms and conditions of this Agreement, Seagen will have the sole right (and will solely control, at its discretion), itself or with or through its Affiliates, Sublicensees or other Third Parties, to: (a) prepare and submit to applicable Regulatory Authorities all Regulatory Materials, including MAAs and Clinical Trial applications, for the respective Licensed Products and (b) obtain and maintain all Regulatory Approvals for the respective Licensed Products.</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Communications with Regulatory Authorities</w:t>
      </w:r>
      <w:r>
        <w:rPr>
          <w:rFonts w:ascii="Times New Roman" w:cs="Times New Roman" w:eastAsia="Times New Roman" w:hAnsi="Times New Roman"/>
          <w:sz w:val="22"/>
          <w:szCs w:val="22"/>
          <w:color w:val="auto"/>
        </w:rPr>
        <w:t>. For clarity and without limiting Section 7.1.1 (Responsibility), Seagen will have the exclusive right to correspond or communicate with Regulatory Authorities regarding the respective Licensed Products. Unless required by Applicable Law, Nurix, its Affiliates and its permitted subcontractors will not correspond or communicate with Regulatory Authorities regarding any respective Licensed Product without first obtaining Seagen’s prior written consent. If Nurix, its Affiliates or its permitted subcontractors receive any correspondence or other communication from a Regulatory Authority regarding a Licensed Product, Nurix will provide Seagen with access to or copies of all such material written or electronic correspondence promptly after its receipt.</w:t>
      </w:r>
    </w:p>
    <w:p>
      <w:pPr>
        <w:spacing w:after="0" w:line="156"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 xml:space="preserve">7.1.3 </w:t>
      </w:r>
      <w:r>
        <w:rPr>
          <w:rFonts w:ascii="Times New Roman" w:cs="Times New Roman" w:eastAsia="Times New Roman" w:hAnsi="Times New Roman"/>
          <w:sz w:val="21"/>
          <w:szCs w:val="21"/>
          <w:u w:val="single" w:color="auto"/>
          <w:color w:val="auto"/>
        </w:rPr>
        <w:t>Nurix Support</w:t>
      </w:r>
      <w:r>
        <w:rPr>
          <w:rFonts w:ascii="Times New Roman" w:cs="Times New Roman" w:eastAsia="Times New Roman" w:hAnsi="Times New Roman"/>
          <w:sz w:val="21"/>
          <w:szCs w:val="21"/>
          <w:color w:val="auto"/>
        </w:rPr>
        <w:t>. Nurix will support Seagen as may be reasonably requested in writing by Seagen from time to time in connection with Seagen’s preparation, submission to Regulatory Authorities and maintenance of Regulatory Materials for respective Licensed Products, including, upon Seagen’s reasonable written request, attending meetings with Regulatory Authorities regarding any respective Licensed Product. Seagen will reimburse Nurix for the costs of its support at the rate of [*].</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b w:val="1"/>
          <w:bCs w:val="1"/>
          <w:color w:val="auto"/>
        </w:rPr>
        <w:t>Regulatory Materials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7.2.1 </w:t>
      </w:r>
      <w:r>
        <w:rPr>
          <w:rFonts w:ascii="Times New Roman" w:cs="Times New Roman" w:eastAsia="Times New Roman" w:hAnsi="Times New Roman"/>
          <w:sz w:val="22"/>
          <w:szCs w:val="22"/>
          <w:u w:val="single" w:color="auto"/>
          <w:color w:val="auto"/>
        </w:rPr>
        <w:t>Existing Regulatory Materials</w:t>
      </w:r>
      <w:r>
        <w:rPr>
          <w:rFonts w:ascii="Times New Roman" w:cs="Times New Roman" w:eastAsia="Times New Roman" w:hAnsi="Times New Roman"/>
          <w:sz w:val="22"/>
          <w:szCs w:val="22"/>
          <w:color w:val="auto"/>
        </w:rPr>
        <w:t>. Except to the extent notified otherwise in writing by Seagen, on a Licensed Product-by-Licensed Product basis, Nurix will assign and transfer (and hereby does assign and transfer as of the applicable Degrader License Effective Date), to Seagen (or its designee), no later than ten (10) Business Days after the applicable Degrader License Effective Date all Regulatory Materials (if any) for the applicable Licensed Degraders Controlled by or on behalf of Nurix or its Affiliates as of the applicable Degrader License Effective Date (the “</w:t>
      </w:r>
      <w:r>
        <w:rPr>
          <w:rFonts w:ascii="Times New Roman" w:cs="Times New Roman" w:eastAsia="Times New Roman" w:hAnsi="Times New Roman"/>
          <w:sz w:val="22"/>
          <w:szCs w:val="22"/>
          <w:b w:val="1"/>
          <w:bCs w:val="1"/>
          <w:color w:val="auto"/>
        </w:rPr>
        <w:t>Existing Regulatory Materials</w:t>
      </w:r>
      <w:r>
        <w:rPr>
          <w:rFonts w:ascii="Times New Roman" w:cs="Times New Roman" w:eastAsia="Times New Roman" w:hAnsi="Times New Roman"/>
          <w:sz w:val="22"/>
          <w:szCs w:val="22"/>
          <w:color w:val="auto"/>
        </w:rPr>
        <w:t>”), including by providing true, accurate and complete hard and electronic copies thereof to Seagen. From and after such assignment and transfer, Seagen (or its designee) will have the sole right, in its sole discretion, to file, maintain and hold title to all such Existing Regulatory Materials.</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7.2.2 </w:t>
      </w:r>
      <w:r>
        <w:rPr>
          <w:rFonts w:ascii="Times New Roman" w:cs="Times New Roman" w:eastAsia="Times New Roman" w:hAnsi="Times New Roman"/>
          <w:sz w:val="22"/>
          <w:szCs w:val="22"/>
          <w:u w:val="single" w:color="auto"/>
          <w:color w:val="auto"/>
        </w:rPr>
        <w:t>New Regulatory Materials</w:t>
      </w:r>
      <w:r>
        <w:rPr>
          <w:rFonts w:ascii="Times New Roman" w:cs="Times New Roman" w:eastAsia="Times New Roman" w:hAnsi="Times New Roman"/>
          <w:sz w:val="22"/>
          <w:szCs w:val="22"/>
          <w:color w:val="auto"/>
        </w:rPr>
        <w:t>. All Regulatory Materials generated or arising from or in connection with activities under this Agreement with respect to Licensed Products after the Degrader License Effective Date for such Licensed Product will be owned by and held in the name of Seagen or its designee, and, except for Existing Regulatory Materials (which are addressed in Section 7.2.1 (Existing Regulatory Materials)), any such Regulatory Materials issued in the name of Nurix, its Affiliates or contractors will, promptly following the applicable Degrader License Effective Date, be assigned by Nurix to Seagen or its designee to the extent permitted by Applicable Law or, in the event assignment is not permitted under Applicable Law, held in trust for, or for the sole benefit of, Seagen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208" w:name="page209"/>
    <w:bookmarkEnd w:id="208"/>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Right of Reference; Access to Data</w:t>
      </w:r>
      <w:r>
        <w:rPr>
          <w:rFonts w:ascii="Times New Roman" w:cs="Times New Roman" w:eastAsia="Times New Roman" w:hAnsi="Times New Roman"/>
          <w:sz w:val="22"/>
          <w:szCs w:val="22"/>
          <w:color w:val="auto"/>
        </w:rPr>
        <w:t>. In the event of failure to transfer and assign any Regulatory Materials to Seagen or its designee, as required by Section 7.2.1 (Existing Regulatory Materials) or Section 7.2.2 (New Regulatory Materials), Seagen and its designees will have, and Nurix (on behalf of itself and its Affiliates) hereby grants to Seagen and its designees, access (as described in Section 7.2.1 (Existing Regulatory Materials) or Section 7.2.2 (New Regulatory Materials)) and a right of reference (without any further action required on the part of Nurix, its Affiliates or contractors, whose authorization to file this consent with any Regulatory Authority is hereby granted) to all Existing Regulatory Materials and Regulatory Materials described in Section 7.2.2 (New Regulatory Materials) and all data contained or referenced therein for Seagen and its designees to exercise its rights and perform its obligations under this Agreement with respect to the applicable Licensed Products. In all cases, Seagen and its designees will have access to all data contained or referenced in all such Regulatory Materials described in Section 7.2.1 (Existing Regulatory Materials) or Section 7.2.2 (New Regulatory Materials), and Nurix will ensure that Seagen and its designees are afforded such access by fulfilling its obligations thereunder.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MANUFACTURING; PHARMACOVIGILANCE</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From and after the applicable Degrader License Effective Date, and subject to the terms and conditions of this Agreement, Seagen will have the sole right to Manufacture (and will solely control, at its discretion, the Manufacture of), itself or with or through its Affiliates, Sublicensees or other Third Parties, the respective Collaboration Degraders, Collaboration Degrader-Antibody Conjugates, and Licensed Products in the Field in the Territory. Subject to an applicable Profit-Share Product Agreement (if executed), all such Manufacturing will be at Seagen’s sole cost and expense. Nurix will keep Seagen informed regarding any relevant pharmacovigilance information Controlled by Nurix regarding other Degraders that include the same Proteasome Protein Binder as any Licensed Product to the extent necessary for Seagen and its Affiliates and Sublicensees to comply with Applicable Law. Without limiting the foregoing, the Parties shall negotiate in good faith and enter into a pharmacovigilance agreement or quality agreement if required by Applicable Law.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COMMERCIALIZATION</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Commercialization Responsibility</w:t>
      </w:r>
      <w:r>
        <w:rPr>
          <w:rFonts w:ascii="Times New Roman" w:cs="Times New Roman" w:eastAsia="Times New Roman" w:hAnsi="Times New Roman"/>
          <w:sz w:val="22"/>
          <w:szCs w:val="22"/>
          <w:color w:val="auto"/>
        </w:rPr>
        <w:t>. Subject to the terms and conditions of this Agreement and the applicable Nurix Opt-In Agreements (if executed), Seagen will have the sole and exclusive right to Commercialize (and will solely and exclusively control, at its discretion, the Commercialization of), itself or with or through its Affiliates, Sublicensees or other Third Parties, the applicable Licensed Products in the Field in the Territory. Subject to the applicable Nurix Opt-In Agreements (if executed), all such Commercialization will be at Seagen’s sole cost and expense.</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Commercialization Diligence</w:t>
      </w:r>
      <w:r>
        <w:rPr>
          <w:rFonts w:ascii="Times New Roman" w:cs="Times New Roman" w:eastAsia="Times New Roman" w:hAnsi="Times New Roman"/>
          <w:sz w:val="22"/>
          <w:szCs w:val="22"/>
          <w:color w:val="auto"/>
        </w:rPr>
        <w:t>. For each Licensed Degrader Target Set, following the first Regulatory Approval of a Licensed Product that is Directed To such Licensed Degrader Target Set for the applicable country, Seagen will use Commercially Reasonable Efforts to Commercialize at least one (1) Licensed Product that is Directed To such Licensed Degrader Target Set for [*] Indications in each of the [*] countries. For clarity, such requirement may be satisfied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1"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JSC Membership</w:t>
      </w:r>
      <w:r>
        <w:rPr>
          <w:rFonts w:ascii="Times New Roman" w:cs="Times New Roman" w:eastAsia="Times New Roman" w:hAnsi="Times New Roman"/>
          <w:sz w:val="22"/>
          <w:szCs w:val="22"/>
          <w:color w:val="auto"/>
        </w:rPr>
        <w:t>. Promptly, and in any event within [*] days following the Effective Date, the Parties will establish a joint steering committee (the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 as a forum for communication between the Parties in connection with their activities under this Agreement, to resolve Disputes that are properly escalated to the JSC pursuant to this Article 10 (Governance) and, to the extent Nurix exercises its Profit-Share Option, to serve as a forum for communication regarding Development and U.S. Commercialization activities with respect to the relevant Profit-Share Product during the Term that are relevant to this Agreement or the relevant Nurix Opt-In Agreement(s). The JSC will comprise [*] employee representatives of Seagen and [*] employee representatives of Nurix (or such other equal number of representatives as the Parties may agree), and the Alliance Managers may also attend JSC meetings in a non-voting capacity. Subject to the foregoing, each Party will appoint its respective representatives to the JSC from time to time, and may change its representatives, in its sole discretion, effective upon notice to the other Party designating such change. The JSC shall have co-chairpersons (the “</w:t>
      </w:r>
      <w:r>
        <w:rPr>
          <w:rFonts w:ascii="Times New Roman" w:cs="Times New Roman" w:eastAsia="Times New Roman" w:hAnsi="Times New Roman"/>
          <w:sz w:val="22"/>
          <w:szCs w:val="22"/>
          <w:b w:val="1"/>
          <w:bCs w:val="1"/>
          <w:color w:val="auto"/>
        </w:rPr>
        <w:t>JSC Co-Chairs</w:t>
      </w:r>
      <w:r>
        <w:rPr>
          <w:rFonts w:ascii="Times New Roman" w:cs="Times New Roman" w:eastAsia="Times New Roman" w:hAnsi="Times New Roman"/>
          <w:sz w:val="22"/>
          <w:szCs w:val="22"/>
          <w:color w:val="auto"/>
        </w:rPr>
        <w:t>”), and each Party shall select from their representatives its respective JSC Co-Chair and may change its designated JSC Co-Chair in its sole discretion, effective upon notice to the other Party designating such change. The JSC Co-Chairs will be jointly responsible for calling meetings of the JSC, circulating agenda and performing administrative tasks required to assure efficient operation of the JSC. The JSC may from time to time establish one (1) or more committees, subcommittees, or other project teams or working groups (each, a “</w:t>
      </w:r>
      <w:r>
        <w:rPr>
          <w:rFonts w:ascii="Times New Roman" w:cs="Times New Roman" w:eastAsia="Times New Roman" w:hAnsi="Times New Roman"/>
          <w:sz w:val="22"/>
          <w:szCs w:val="22"/>
          <w:b w:val="1"/>
          <w:bCs w:val="1"/>
          <w:color w:val="auto"/>
        </w:rPr>
        <w:t>Subcommittee</w:t>
      </w:r>
      <w:r>
        <w:rPr>
          <w:rFonts w:ascii="Times New Roman" w:cs="Times New Roman" w:eastAsia="Times New Roman" w:hAnsi="Times New Roman"/>
          <w:sz w:val="22"/>
          <w:szCs w:val="22"/>
          <w:color w:val="auto"/>
        </w:rPr>
        <w:t>”) to perform certain duties and exercise certain powers of the JSC as expressly set forth in this Agreement or delegated by the JSC to such Subcommittee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in the event Nurix exercises a Profit-Share Option, one (1) or more Subcommittees to oversee and coordinate the Parties’ co-promotion activities and the sharing of profit/loss and development costs with respect to the applicable Profit-Share Product). The JSC and any Subcommittee, including the JRC, and each Joint Research Team, are each referred to herein as a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JSC Meetings</w:t>
      </w:r>
      <w:r>
        <w:rPr>
          <w:rFonts w:ascii="Times New Roman" w:cs="Times New Roman" w:eastAsia="Times New Roman" w:hAnsi="Times New Roman"/>
          <w:sz w:val="22"/>
          <w:szCs w:val="22"/>
          <w:color w:val="auto"/>
        </w:rPr>
        <w:t>. The JSC will meet [*] or as otherwise mutually agreed by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following dissolution of the JRC, the JSC shall not meet unless (i) there is a Profit-Share Product, or (ii) to resolve a Dispute properly referred to the JSC for resolution by the Joint Patent Committee in accordance with Section 10.6.4 (JPC Decisions)). The location for in-person meetings will alternate between Nurix and Seagen facilities (or such other location as is determined by the JSC). Alternatively, the JSC may meet by means of teleconference, videoconference or other similar means. As appropriate, additional employees or consultants of each Party may from time to time attend the JSC meetings as nonvoting observers;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such consultant will agree in writing to comply with confidentiality and non-use obligations substantially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similar to those under this Agreement;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no Third Party personnel may attend unless otherwise agreed by both Parties and such Third Party is bound by confidentiality and non-use obligations substantially similar to those under this Agreement. Each Party will bear its own expenses related to the attendance of the JSC meetings by its representatives. Each Party may also call for special meetings to resolve particular matters requested by such Party upon at least [*] Business Days’ prior written notice to the other Party. Each Party’s respective JSC Co-Chair or their designee will alternate responsibility for preparing reasonably detailed written minutes of each JSC meeting to record all decisions made, action items assigned or completed and other appropriate matters. The JSC Co-Chairs or their respective designees will send meeting minutes to all members of the JSC for review promptly after each meeting. Each member will have [*] Business Days from receipt to comment on and to approve or provide comments to the minutes (such approval not to be unreasonably withheld, conditioned or delayed). If a member, within such time period, does not notify the applicable JSC Co-Chair in writing that they do not approve the minutes, the minutes will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82" w:right="339" w:bottom="1440" w:gutter="0" w:footer="0" w:header="0"/>
        </w:sectPr>
      </w:pPr>
    </w:p>
    <w:bookmarkStart w:id="210" w:name="page211"/>
    <w:bookmarkEnd w:id="210"/>
    <w:p>
      <w:pPr>
        <w:jc w:val="both"/>
        <w:spacing w:after="0" w:line="225" w:lineRule="auto"/>
        <w:rPr>
          <w:sz w:val="20"/>
          <w:szCs w:val="20"/>
          <w:color w:val="auto"/>
        </w:rPr>
      </w:pPr>
      <w:r>
        <w:rPr>
          <w:rFonts w:ascii="Times New Roman" w:cs="Times New Roman" w:eastAsia="Times New Roman" w:hAnsi="Times New Roman"/>
          <w:sz w:val="22"/>
          <w:szCs w:val="22"/>
          <w:color w:val="auto"/>
        </w:rPr>
        <w:t>have been approved by such member. Each Party’s JSC Co-Chair may designate another staff member of such Party, which could be the Alliance Manager, to coordinate administrative work for the JSC, including sending the written notice of holding JSC meetings, creating the draft of minutes or distributing the minutes.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JSC Functions</w:t>
      </w:r>
      <w:r>
        <w:rPr>
          <w:rFonts w:ascii="Times New Roman" w:cs="Times New Roman" w:eastAsia="Times New Roman" w:hAnsi="Times New Roman"/>
          <w:sz w:val="22"/>
          <w:szCs w:val="22"/>
          <w:color w:val="auto"/>
        </w:rPr>
        <w:t>. The JSC’s responsibilities are as follows:</w:t>
      </w:r>
    </w:p>
    <w:p>
      <w:pPr>
        <w:spacing w:after="0" w:line="179" w:lineRule="exact"/>
        <w:rPr>
          <w:sz w:val="20"/>
          <w:szCs w:val="20"/>
          <w:color w:val="auto"/>
        </w:rPr>
      </w:pPr>
    </w:p>
    <w:p>
      <w:pPr>
        <w:ind w:left="660" w:right="20" w:firstLine="1292"/>
        <w:spacing w:after="0" w:line="236" w:lineRule="auto"/>
        <w:tabs>
          <w:tab w:leader="none" w:pos="26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Serving as a forum for communication between the Parties regarding the performance of the Research Programs hereunder, as necessary;</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Nurix has exercised a Profit-Share Option, serving as a forum for communication regarding Development and U.S. Commercialization activities with respect to the relevant Profit-Share Product during the Term that are relevant to this Agreement or the relevant Nurix Opt-In Agreement(s);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Resolving matters properly escalated to it by any other Committee that are within the scope of responsibilities of the JSC, or delegated to such other Committee by the JSC, or otherwise pursuant to this Agreement;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Fulfilling such other responsibilities as may be allocated to the JSC under this Agreement or by mutual written agreement of the Parties.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10.1.4 </w:t>
      </w:r>
      <w:r>
        <w:rPr>
          <w:rFonts w:ascii="Times New Roman" w:cs="Times New Roman" w:eastAsia="Times New Roman" w:hAnsi="Times New Roman"/>
          <w:sz w:val="22"/>
          <w:szCs w:val="22"/>
          <w:u w:val="single" w:color="auto"/>
          <w:color w:val="auto"/>
        </w:rPr>
        <w:t>JSC Dissolution</w:t>
      </w:r>
      <w:r>
        <w:rPr>
          <w:rFonts w:ascii="Times New Roman" w:cs="Times New Roman" w:eastAsia="Times New Roman" w:hAnsi="Times New Roman"/>
          <w:sz w:val="22"/>
          <w:szCs w:val="22"/>
          <w:color w:val="auto"/>
        </w:rPr>
        <w:t>. The JSC shall automatically dissolve and have no further responsibilities or authority after the expiration of the Term.</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b w:val="1"/>
          <w:bCs w:val="1"/>
          <w:color w:val="auto"/>
        </w:rPr>
        <w:t>Joint Research Committee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10.2.1 </w:t>
      </w:r>
      <w:r>
        <w:rPr>
          <w:rFonts w:ascii="Times New Roman" w:cs="Times New Roman" w:eastAsia="Times New Roman" w:hAnsi="Times New Roman"/>
          <w:sz w:val="22"/>
          <w:szCs w:val="22"/>
          <w:u w:val="single" w:color="auto"/>
          <w:color w:val="auto"/>
        </w:rPr>
        <w:t>JRC Membership</w:t>
      </w:r>
      <w:r>
        <w:rPr>
          <w:rFonts w:ascii="Times New Roman" w:cs="Times New Roman" w:eastAsia="Times New Roman" w:hAnsi="Times New Roman"/>
          <w:sz w:val="22"/>
          <w:szCs w:val="22"/>
          <w:color w:val="auto"/>
        </w:rPr>
        <w:t>. Promptly, and in any event within [*] days following the Effective Date, the Parties will establish a joint research committee (the “</w:t>
      </w:r>
      <w:r>
        <w:rPr>
          <w:rFonts w:ascii="Times New Roman" w:cs="Times New Roman" w:eastAsia="Times New Roman" w:hAnsi="Times New Roman"/>
          <w:sz w:val="22"/>
          <w:szCs w:val="22"/>
          <w:b w:val="1"/>
          <w:bCs w:val="1"/>
          <w:color w:val="auto"/>
        </w:rPr>
        <w:t>JRC</w:t>
      </w:r>
      <w:r>
        <w:rPr>
          <w:rFonts w:ascii="Times New Roman" w:cs="Times New Roman" w:eastAsia="Times New Roman" w:hAnsi="Times New Roman"/>
          <w:sz w:val="22"/>
          <w:szCs w:val="22"/>
          <w:color w:val="auto"/>
        </w:rPr>
        <w:t>”) to oversee and coordinate the activities of the Parties under this Agreement with respect to the Research Programs. The JRC will be comprised of [*] employee representatives of Seagen and [*] employee representatives of Nurix (or such other equal number of representatives as the JSC or JRC may determine) that have appropriate expertise, credentials and authority for the tasks to be undertaken by the JRC, and the Alliance Managers will also attend JRC meetings in a non-voting capacity. Subject to the foregoing, each Party will appoint its respective representatives to the JRC from time to time, and may change its representatives, in its sole discretion, effective upon written notice to the other Party designating such change. Representatives from each Party will have appropriate technical credentials, experience and knowledge pertaining to and ongoing familiarity with the Research activities under the Joint Research Plans.</w:t>
      </w:r>
    </w:p>
    <w:p>
      <w:pPr>
        <w:spacing w:after="0" w:line="154"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10.2.2 </w:t>
      </w:r>
      <w:r>
        <w:rPr>
          <w:rFonts w:ascii="Times New Roman" w:cs="Times New Roman" w:eastAsia="Times New Roman" w:hAnsi="Times New Roman"/>
          <w:sz w:val="22"/>
          <w:szCs w:val="22"/>
          <w:u w:val="single" w:color="auto"/>
          <w:color w:val="auto"/>
        </w:rPr>
        <w:t>JRC Co-Chairs</w:t>
      </w:r>
      <w:r>
        <w:rPr>
          <w:rFonts w:ascii="Times New Roman" w:cs="Times New Roman" w:eastAsia="Times New Roman" w:hAnsi="Times New Roman"/>
          <w:sz w:val="22"/>
          <w:szCs w:val="22"/>
          <w:color w:val="auto"/>
        </w:rPr>
        <w:t>. The JRC shall have co-chairpersons (the “</w:t>
      </w:r>
      <w:r>
        <w:rPr>
          <w:rFonts w:ascii="Times New Roman" w:cs="Times New Roman" w:eastAsia="Times New Roman" w:hAnsi="Times New Roman"/>
          <w:sz w:val="22"/>
          <w:szCs w:val="22"/>
          <w:b w:val="1"/>
          <w:bCs w:val="1"/>
          <w:color w:val="auto"/>
        </w:rPr>
        <w:t>JRC Co-Chairs</w:t>
      </w:r>
      <w:r>
        <w:rPr>
          <w:rFonts w:ascii="Times New Roman" w:cs="Times New Roman" w:eastAsia="Times New Roman" w:hAnsi="Times New Roman"/>
          <w:sz w:val="22"/>
          <w:szCs w:val="22"/>
          <w:color w:val="auto"/>
        </w:rPr>
        <w:t>”). The JRC Co-Chairs will be responsible for calling meetings of the JRC, circulating agenda and performing administrative tasks required to assure efficient operation of the JRC. Each Party’s respective JRC Co-Chair or their designee will alternate responsibility for preparing reasonably detailed written minutes of each JRC meeting to record all decisions made, action items assigned or completed and other appropriate matters. The applicable JRC Co-Chair will send meeting minutes to all members of the JRC promptly after a meeting for review. Each member will have [*] Business Days from receipt in which to comment on and to approve or provide comments to the minutes (such approval not to be unreasonably withheld, conditioned or delayed). If a member, within such time period, does not notify the applicable JRC Co-Chair in writing that they do not approve of the minutes, the minutes will be deemed to have been approved by such member. Each Party’s JRC Co-Chair may designate another staff member of such Party, which could be the Alliance Manager, to coordinate administrative work for the JRC,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including sending the written notice of holding JRC meetings, creating the draft of minutes or distributing the minutes.</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10.2.3 </w:t>
      </w:r>
      <w:r>
        <w:rPr>
          <w:rFonts w:ascii="Times New Roman" w:cs="Times New Roman" w:eastAsia="Times New Roman" w:hAnsi="Times New Roman"/>
          <w:sz w:val="22"/>
          <w:szCs w:val="22"/>
          <w:u w:val="single" w:color="auto"/>
          <w:color w:val="auto"/>
        </w:rPr>
        <w:t>JRC Meetings</w:t>
      </w:r>
      <w:r>
        <w:rPr>
          <w:rFonts w:ascii="Times New Roman" w:cs="Times New Roman" w:eastAsia="Times New Roman" w:hAnsi="Times New Roman"/>
          <w:sz w:val="22"/>
          <w:szCs w:val="22"/>
          <w:color w:val="auto"/>
        </w:rPr>
        <w:t>. The JRC will meet by mutual written agreement of the Parties no less frequently than once every [*] months. The location for in-person meetings will alternate between Nurix and Seagen facilities (or such other location as is determined by the JRC). Alternatively, the JRC may meet by means of teleconference, videoconference or other similar means. Each Party may also call for special meetings to discuss particular matters requested by such Party upon at least [*] Business Days’ prior written notice to the other Party.</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10.2.4 </w:t>
      </w:r>
      <w:r>
        <w:rPr>
          <w:rFonts w:ascii="Times New Roman" w:cs="Times New Roman" w:eastAsia="Times New Roman" w:hAnsi="Times New Roman"/>
          <w:sz w:val="22"/>
          <w:szCs w:val="22"/>
          <w:u w:val="single" w:color="auto"/>
          <w:color w:val="auto"/>
        </w:rPr>
        <w:t>Other Members; Expenses</w:t>
      </w:r>
      <w:r>
        <w:rPr>
          <w:rFonts w:ascii="Times New Roman" w:cs="Times New Roman" w:eastAsia="Times New Roman" w:hAnsi="Times New Roman"/>
          <w:sz w:val="22"/>
          <w:szCs w:val="22"/>
          <w:color w:val="auto"/>
        </w:rPr>
        <w:t xml:space="preserve">. As appropriate, additional employees or consultants of each Party may from time to time attend the JRC meetings as nonvoting observers;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consultant will agree in writing to comply with confidentiality and non-use obligations substantially similar to those under this Agreement;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no Third Party personnel may attend unless otherwise agreed by both Parties and such Third Party is bound by confidentiality and non-use obligations substantially similar to those under this Agreement. Each Party will bear its own expenses related to the attendance of the JRC meetings by its representatives.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10.2.5 </w:t>
      </w:r>
      <w:r>
        <w:rPr>
          <w:rFonts w:ascii="Times New Roman" w:cs="Times New Roman" w:eastAsia="Times New Roman" w:hAnsi="Times New Roman"/>
          <w:sz w:val="22"/>
          <w:szCs w:val="22"/>
          <w:u w:val="single" w:color="auto"/>
          <w:color w:val="auto"/>
        </w:rPr>
        <w:t>JRC Functions</w:t>
      </w:r>
      <w:r>
        <w:rPr>
          <w:rFonts w:ascii="Times New Roman" w:cs="Times New Roman" w:eastAsia="Times New Roman" w:hAnsi="Times New Roman"/>
          <w:sz w:val="22"/>
          <w:szCs w:val="22"/>
          <w:color w:val="auto"/>
        </w:rPr>
        <w:t>. The purpose of the JRC will be to oversee and coordinate the conduct of the Research Programs. The JRC’s specific responsibilities are as follows:</w:t>
      </w:r>
    </w:p>
    <w:p>
      <w:pPr>
        <w:spacing w:after="0" w:line="150" w:lineRule="exact"/>
        <w:rPr>
          <w:sz w:val="20"/>
          <w:szCs w:val="20"/>
          <w:color w:val="auto"/>
        </w:rPr>
      </w:pPr>
    </w:p>
    <w:p>
      <w:pPr>
        <w:jc w:val="both"/>
        <w:ind w:left="660" w:firstLine="1292"/>
        <w:spacing w:after="0" w:line="225" w:lineRule="auto"/>
        <w:tabs>
          <w:tab w:leader="none" w:pos="260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and coordinating the activities of each Party (including those of any of its Affiliates and Third Parties acting under its authority) under each Research Program, including the performance of Research activities under this Agreement, including as set forth in the applicable Joint Research Plan;</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and approving the Joint Research Plan for the [*] or any Replacement Degrader Target</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Receiving and reviewing Research Results;</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that a Collaboration Degrader meets (or does not meet) the applicable Collaboration</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Degrader Criteria;</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whether to remove any Degrader Target(s) from a Collaboration Degrader Target Set;</w:t>
      </w:r>
    </w:p>
    <w:p>
      <w:pPr>
        <w:spacing w:after="0" w:line="190"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Approving any proposed amendment to any Joint Research Plan;</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Fulfilling such other responsibilities as may be allocated to the JRC under this Agreement, by the JSC or by mutual written agreement of the Parties.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10.2.6 </w:t>
      </w:r>
      <w:r>
        <w:rPr>
          <w:rFonts w:ascii="Times New Roman" w:cs="Times New Roman" w:eastAsia="Times New Roman" w:hAnsi="Times New Roman"/>
          <w:sz w:val="22"/>
          <w:szCs w:val="22"/>
          <w:u w:val="single" w:color="auto"/>
          <w:color w:val="auto"/>
        </w:rPr>
        <w:t>JRC Dissolution</w:t>
      </w:r>
      <w:r>
        <w:rPr>
          <w:rFonts w:ascii="Times New Roman" w:cs="Times New Roman" w:eastAsia="Times New Roman" w:hAnsi="Times New Roman"/>
          <w:sz w:val="22"/>
          <w:szCs w:val="22"/>
          <w:color w:val="auto"/>
        </w:rPr>
        <w:t>. The JRC shall automatically dissolve and have no further responsibilities or authority after the expiration of the last-to-expire Seagen Research Term.</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b w:val="1"/>
          <w:bCs w:val="1"/>
          <w:color w:val="auto"/>
        </w:rPr>
        <w:t>Joint Research Teams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10.3.1 </w:t>
      </w:r>
      <w:r>
        <w:rPr>
          <w:rFonts w:ascii="Times New Roman" w:cs="Times New Roman" w:eastAsia="Times New Roman" w:hAnsi="Times New Roman"/>
          <w:sz w:val="22"/>
          <w:szCs w:val="22"/>
          <w:u w:val="single" w:color="auto"/>
          <w:color w:val="auto"/>
        </w:rPr>
        <w:t>Joint Research Team Membership</w:t>
      </w:r>
      <w:r>
        <w:rPr>
          <w:rFonts w:ascii="Times New Roman" w:cs="Times New Roman" w:eastAsia="Times New Roman" w:hAnsi="Times New Roman"/>
          <w:sz w:val="22"/>
          <w:szCs w:val="22"/>
          <w:color w:val="auto"/>
        </w:rPr>
        <w:t>. Promptly, and in any event within [*] days following the applicable Degrader Target Set Selection Date, the JRC shall establish a joint research team as a working group of the JRC for each Collaboration Degrader Target Set (each a “</w:t>
      </w:r>
      <w:r>
        <w:rPr>
          <w:rFonts w:ascii="Times New Roman" w:cs="Times New Roman" w:eastAsia="Times New Roman" w:hAnsi="Times New Roman"/>
          <w:sz w:val="22"/>
          <w:szCs w:val="22"/>
          <w:b w:val="1"/>
          <w:bCs w:val="1"/>
          <w:color w:val="auto"/>
        </w:rPr>
        <w:t>Joint Research Team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with respect to the Initial Degrader Target Sets, the applicable Joint Research Teams shall be formed on the Effective Date and shall comprised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212" w:name="page213"/>
    <w:bookmarkEnd w:id="212"/>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the individuals set forth on Schedule 10.3.1. Each Joint Research Team shall include appropriate representation of each Party (which representation need not be equal), and each member of a Joint Research Team shall have appropriate technical expertise, credentials, experience and authority for the relevant Collaboration Degrader Target Set and the tasks to be undertaken by such Joint Research Team. Subject to the foregoing, each Party will appoint its respective representatives to each Joint Research Team from time to time, and may change its representatives, in its sole discretion, effective upon written notice to the other Party designating such 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each Party shall designate [*] from such Party to each Joint Research Team.</w:t>
      </w:r>
    </w:p>
    <w:p>
      <w:pPr>
        <w:spacing w:after="0" w:line="154"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10.3.2 </w:t>
      </w:r>
      <w:r>
        <w:rPr>
          <w:rFonts w:ascii="Times New Roman" w:cs="Times New Roman" w:eastAsia="Times New Roman" w:hAnsi="Times New Roman"/>
          <w:sz w:val="22"/>
          <w:szCs w:val="22"/>
          <w:u w:val="single" w:color="auto"/>
          <w:color w:val="auto"/>
        </w:rPr>
        <w:t>Functions; No Decision-Making Authority</w:t>
      </w:r>
      <w:r>
        <w:rPr>
          <w:rFonts w:ascii="Times New Roman" w:cs="Times New Roman" w:eastAsia="Times New Roman" w:hAnsi="Times New Roman"/>
          <w:sz w:val="22"/>
          <w:szCs w:val="22"/>
          <w:color w:val="auto"/>
        </w:rPr>
        <w:t xml:space="preserve">. Each Joint Research Team shall serve as a forum for communication between the Parties with respect to the applicable Collaboration Degrader Target Set and the relevant Joint Research Plan, and shall monitor the implementation of such Joint Research Plan hereunder. The Joint Research Teams shall endeavor to agree and operate by consensus with respect to any matter before the Joint Research Team;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Joint Research Teams shall not have any decision-making authority under this Agreement. In the event the representatives of the Parties on a Joint Research Team are not able to reach agreement on a matter properly before the Joint Research Team within [*] days, then the matter shall be reported to the Alliance Managers for escalation to the JRC.</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10.3.3 </w:t>
      </w:r>
      <w:r>
        <w:rPr>
          <w:rFonts w:ascii="Times New Roman" w:cs="Times New Roman" w:eastAsia="Times New Roman" w:hAnsi="Times New Roman"/>
          <w:sz w:val="22"/>
          <w:szCs w:val="22"/>
          <w:u w:val="single" w:color="auto"/>
          <w:color w:val="auto"/>
        </w:rPr>
        <w:t>Joint Research Team Dissolution</w:t>
      </w:r>
      <w:r>
        <w:rPr>
          <w:rFonts w:ascii="Times New Roman" w:cs="Times New Roman" w:eastAsia="Times New Roman" w:hAnsi="Times New Roman"/>
          <w:sz w:val="22"/>
          <w:szCs w:val="22"/>
          <w:color w:val="auto"/>
        </w:rPr>
        <w:t>. Each Joint Research Team shall automatically dissolve and have no further responsibilities or authority upon the expiration of the Seagen Research Term for the relevant Collaboration Degrader Target Set applicable to such Joint Research Team.</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Joint Patent Committee</w:t>
      </w:r>
      <w:r>
        <w:rPr>
          <w:rFonts w:ascii="Times New Roman" w:cs="Times New Roman" w:eastAsia="Times New Roman" w:hAnsi="Times New Roman"/>
          <w:sz w:val="22"/>
          <w:szCs w:val="22"/>
          <w:color w:val="auto"/>
        </w:rPr>
        <w:t>. Promptly after the first JSC meeting, the Parties will form a Joint Patent Committee (the “</w:t>
      </w:r>
      <w:r>
        <w:rPr>
          <w:rFonts w:ascii="Times New Roman" w:cs="Times New Roman" w:eastAsia="Times New Roman" w:hAnsi="Times New Roman"/>
          <w:sz w:val="22"/>
          <w:szCs w:val="22"/>
          <w:b w:val="1"/>
          <w:bCs w:val="1"/>
          <w:color w:val="auto"/>
        </w:rPr>
        <w:t>Joint Patent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JPC</w:t>
      </w:r>
      <w:r>
        <w:rPr>
          <w:rFonts w:ascii="Times New Roman" w:cs="Times New Roman" w:eastAsia="Times New Roman" w:hAnsi="Times New Roman"/>
          <w:sz w:val="22"/>
          <w:szCs w:val="22"/>
          <w:color w:val="auto"/>
        </w:rPr>
        <w:t>”). The Joint Patent Committee shall comprise an equal number of representatives from each Party. The Joint Patent Committee will be responsible for the coordination of the Parties’ efforts in accordance with the provisions set forth in Article 15 (Intellectual Property Matters).</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Within [*] Business Days following the Effective Date, each Party will appoint an individual to act as the alliance manager for such Party (each, an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Each Alliance Manager will thereafter be permitted to attend meetings of each Committee as a nonvoting observer. The Alliance Managers will be the primary point of contact for the Parties regarding the activities under this Agreement and will help facilitate all such activities hereunder. At any given time, the Alliance Managers will be responsible for keeping a then-current list of (a) each Collaboration Degrader Target Set, including any addition or removal thereto, (b) progress under the respective Joint Research Plan, (c) Research Milestone Events that have been achieved, (d) Collaboration Degraders and Collaboration Degrader-Antibody Conjugates under each applicable Research Program, and (e) Licensed Degrader Target Sets, Licensed Degraders and Licensed Degrader-Antibody Conjugates. The Alliance Managers will also keep the JRC reasonably informed of any changes to the items identified in the immediately previous sentence.</w:t>
      </w:r>
    </w:p>
    <w:p>
      <w:pPr>
        <w:spacing w:after="0" w:line="15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b w:val="1"/>
          <w:bCs w:val="1"/>
          <w:color w:val="auto"/>
        </w:rPr>
        <w:t>Committee Decisions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10.6.1 </w:t>
      </w:r>
      <w:r>
        <w:rPr>
          <w:rFonts w:ascii="Times New Roman" w:cs="Times New Roman" w:eastAsia="Times New Roman" w:hAnsi="Times New Roman"/>
          <w:sz w:val="22"/>
          <w:szCs w:val="22"/>
          <w:u w:val="single" w:color="auto"/>
          <w:color w:val="auto"/>
        </w:rPr>
        <w:t>JRC Decisions</w:t>
      </w:r>
      <w:r>
        <w:rPr>
          <w:rFonts w:ascii="Times New Roman" w:cs="Times New Roman" w:eastAsia="Times New Roman" w:hAnsi="Times New Roman"/>
          <w:sz w:val="22"/>
          <w:szCs w:val="22"/>
          <w:color w:val="auto"/>
        </w:rPr>
        <w:t>. The JRC will endeavor to make decisions by consensus with each Party having, collectively, a single vote on any matter before the JRC irrespective of the number of representatives of such Party in attendance at a meeting of the JRC. In the absence of consensus with respect to a matter that remains unresolved, each Party shall have the right to refer such matter to the JSC for resolution in accordance with and subject to Section 10.6.2 (JSC Decisions) and Section 10.6.3 (Escalation of Certain JRC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213" w:name="page214"/>
    <w:bookmarkEnd w:id="213"/>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10.6.2 </w:t>
      </w:r>
      <w:r>
        <w:rPr>
          <w:rFonts w:ascii="Times New Roman" w:cs="Times New Roman" w:eastAsia="Times New Roman" w:hAnsi="Times New Roman"/>
          <w:sz w:val="22"/>
          <w:szCs w:val="22"/>
          <w:u w:val="single" w:color="auto"/>
          <w:color w:val="auto"/>
        </w:rPr>
        <w:t>JSC Decisions</w:t>
      </w:r>
      <w:r>
        <w:rPr>
          <w:rFonts w:ascii="Times New Roman" w:cs="Times New Roman" w:eastAsia="Times New Roman" w:hAnsi="Times New Roman"/>
          <w:sz w:val="22"/>
          <w:szCs w:val="22"/>
          <w:color w:val="auto"/>
        </w:rPr>
        <w:t xml:space="preserve">. Any decision by the JSC on any matter with respect to which it has authority must be made by consensus, with each Party having, collectively, a single vote on any such matter irrespective of the number of representatives of such Party in attendance at a meeting of the JSC;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despite using reasonable efforts, the JSC cannot reach consensus on any such deadlocked matter within a period of [*] days (or such other period as the Parties may agree in writing) after it has met and attempted to reach such consensus, then either Party may, by written notice to the other Party, refer the deadlocked matter to the Executive Officers for resolution in the manner described in Section 20.6.2 (Dispute Escalation) (notwithstanding anything to the contrary contained in such Section);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Executive Officers do not reach agreement on such deadlocked matter within [*] days after such deadlocked matter is first referred to the Executive Officers, then, subject to Section 15.2.1(b), if applicable, on a Research Program-by-Research Program basis:</w:t>
      </w:r>
    </w:p>
    <w:p>
      <w:pPr>
        <w:spacing w:after="0" w:line="158" w:lineRule="exact"/>
        <w:rPr>
          <w:sz w:val="20"/>
          <w:szCs w:val="20"/>
          <w:color w:val="auto"/>
        </w:rPr>
      </w:pPr>
    </w:p>
    <w:p>
      <w:pPr>
        <w:ind w:left="2600" w:hanging="648"/>
        <w:spacing w:after="0"/>
        <w:tabs>
          <w:tab w:leader="none" w:pos="26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Seagen will have final decision-making authority on the JSC with respect to any decision:</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involving the occurrence of a Research Milestone Event;</w:t>
      </w:r>
    </w:p>
    <w:p>
      <w:pPr>
        <w:spacing w:after="0" w:line="179" w:lineRule="exact"/>
        <w:rPr>
          <w:rFonts w:ascii="Times New Roman" w:cs="Times New Roman" w:eastAsia="Times New Roman" w:hAnsi="Times New Roman"/>
          <w:sz w:val="22"/>
          <w:szCs w:val="22"/>
          <w:color w:val="auto"/>
        </w:rPr>
      </w:pPr>
    </w:p>
    <w:p>
      <w:pPr>
        <w:ind w:left="1960" w:firstLine="640"/>
        <w:spacing w:after="0" w:line="236" w:lineRule="auto"/>
        <w:tabs>
          <w:tab w:leader="none" w:pos="325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involving the day-to-day implementation of any Seagen Research activity that is set forth in a Joint Research Plan, including any amendments thereto;</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involving the clinical Development and Commercialization of a Licensed Product;</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17" w:lineRule="auto"/>
        <w:tabs>
          <w:tab w:leader="none" w:pos="324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primarily related to (A) the conjugation of a Collaboration Degrader to an Antibody, or (B) the advancement of a Collaboration Degrader-Antibody Conjugate to a subsequent stage of Research or Development (for clarity, the Collaboration Degrader Criteria may be used in connection with decisions as to whether to advance particular Collaboration Degraders that are Directed To such Collaboration Degrader Target Set); and</w:t>
      </w:r>
    </w:p>
    <w:p>
      <w:pPr>
        <w:spacing w:after="0" w:line="152" w:lineRule="exact"/>
        <w:rPr>
          <w:rFonts w:ascii="Times New Roman" w:cs="Times New Roman" w:eastAsia="Times New Roman" w:hAnsi="Times New Roman"/>
          <w:sz w:val="22"/>
          <w:szCs w:val="22"/>
          <w:color w:val="auto"/>
        </w:rPr>
      </w:pPr>
    </w:p>
    <w:p>
      <w:pPr>
        <w:jc w:val="both"/>
        <w:ind w:left="1960" w:firstLine="640"/>
        <w:spacing w:after="0" w:line="210" w:lineRule="auto"/>
        <w:tabs>
          <w:tab w:leader="none" w:pos="325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amend a Joint Research Plan (including amending a Joint Research Plan to remove any Degrader Target from a Collaboration Degrader Target Set, as described in Section 2.5 (Removal of Collaboration Degrader Targets), and any corresponding activity intended to optimize a Collaboration Degrader to cause pharmacologically relevant activity as a result of binding or degradation of the applicable Degrader Target);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amendment does not (A) add any Degrader Target to the applicable Collaboration Degrader Target Set (without limiting Seagen’s rights under Article 2 (Degrader Target Sets) or Article 3 (Gatekeeping)), or (B) require Nurix to (1) take any action that would or would reasonably be expected to result in a violation of Applicable Law, (2) breach or terminate any agreement between Nurix and a Third Party, (3) hire or engage additional employees or agents outside the ordinary course of business, (4) purchase any capital equipment solely for use in connection with such Joint Research Plan outside the ordinary course of business, or (5) acquire or expand any interest in real property.</w:t>
      </w:r>
    </w:p>
    <w:p>
      <w:pPr>
        <w:spacing w:after="0" w:line="151"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subject to its obligations to use Commercially Reasonable Efforts as described in Article 4 (Research), will have final decision-making authority on the JSC with respect to any decision primarily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214" w:name="page215"/>
    <w:bookmarkEnd w:id="214"/>
    <w:p>
      <w:pPr>
        <w:ind w:left="1960" w:firstLine="640"/>
        <w:spacing w:after="0" w:line="236" w:lineRule="auto"/>
        <w:tabs>
          <w:tab w:leader="none" w:pos="32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allocation and use of Nurix resources in the performance of the Research activities assigned to Nurix under any Joint Research Plan;</w:t>
      </w:r>
    </w:p>
    <w:p>
      <w:pPr>
        <w:spacing w:after="0" w:line="150" w:lineRule="exact"/>
        <w:rPr>
          <w:rFonts w:ascii="Times New Roman" w:cs="Times New Roman" w:eastAsia="Times New Roman" w:hAnsi="Times New Roman"/>
          <w:sz w:val="22"/>
          <w:szCs w:val="22"/>
          <w:color w:val="auto"/>
        </w:rPr>
      </w:pPr>
    </w:p>
    <w:p>
      <w:pPr>
        <w:ind w:left="1960" w:firstLine="640"/>
        <w:spacing w:after="0" w:line="236" w:lineRule="auto"/>
        <w:tabs>
          <w:tab w:leader="none" w:pos="325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day-to-day implementation of any Nurix Research activity that is set forth in the Joint Research Plan, including any amendments thereto;</w:t>
      </w:r>
    </w:p>
    <w:p>
      <w:pPr>
        <w:spacing w:after="0" w:line="146" w:lineRule="exact"/>
        <w:rPr>
          <w:rFonts w:ascii="Times New Roman" w:cs="Times New Roman" w:eastAsia="Times New Roman" w:hAnsi="Times New Roman"/>
          <w:sz w:val="22"/>
          <w:szCs w:val="22"/>
          <w:color w:val="auto"/>
        </w:rPr>
      </w:pPr>
    </w:p>
    <w:p>
      <w:pPr>
        <w:jc w:val="both"/>
        <w:ind w:left="1960" w:firstLine="640"/>
        <w:spacing w:after="0" w:line="216" w:lineRule="auto"/>
        <w:tabs>
          <w:tab w:leader="none" w:pos="325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design or synthesis of Collaboration Degraders;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Nurix will not, and will not use its final decision-making authority herein to, unreasonably withhold, condition, or delay consent to any Seagen-requested change to the chemical composition of a Collaboration Degrader;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 such Seagen-requested change is reasonable, (B) such Seagen-requested change would not cause Nurix to violate any exclusivity obligations owed to a Third Party, and (C) the resulting Collaboration Degrader would continue to be Directed To the applicable Collaboration Degrader Target Set; and</w:t>
      </w:r>
    </w:p>
    <w:p>
      <w:pPr>
        <w:spacing w:after="0" w:line="149" w:lineRule="exact"/>
        <w:rPr>
          <w:rFonts w:ascii="Times New Roman" w:cs="Times New Roman" w:eastAsia="Times New Roman" w:hAnsi="Times New Roman"/>
          <w:sz w:val="22"/>
          <w:szCs w:val="22"/>
          <w:color w:val="auto"/>
        </w:rPr>
      </w:pPr>
    </w:p>
    <w:p>
      <w:pPr>
        <w:jc w:val="both"/>
        <w:ind w:left="1960" w:firstLine="640"/>
        <w:spacing w:after="0" w:line="220" w:lineRule="auto"/>
        <w:tabs>
          <w:tab w:leader="none" w:pos="32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design and execution of Collaboration Degrader preclinical absorption, distribution, metabolism, and excretion (ADME) studies as contemplated by the applicable Joint Research Plan to be conducted by Nurix for the purposes of informing the activities in clause (ii)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design and execution are consistent with the applicable portions of such Joint Research Plan.</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 xml:space="preserve">10.6.3 </w:t>
      </w:r>
      <w:r>
        <w:rPr>
          <w:rFonts w:ascii="Times New Roman" w:cs="Times New Roman" w:eastAsia="Times New Roman" w:hAnsi="Times New Roman"/>
          <w:sz w:val="21"/>
          <w:szCs w:val="21"/>
          <w:u w:val="single" w:color="auto"/>
          <w:color w:val="auto"/>
        </w:rPr>
        <w:t>Escalation of Certain JRC Disputes</w:t>
      </w:r>
      <w:r>
        <w:rPr>
          <w:rFonts w:ascii="Times New Roman" w:cs="Times New Roman" w:eastAsia="Times New Roman" w:hAnsi="Times New Roman"/>
          <w:sz w:val="21"/>
          <w:szCs w:val="21"/>
          <w:color w:val="auto"/>
        </w:rPr>
        <w:t xml:space="preserve">. Any decision by the JRC on any matter with respect to which it has express authority must be made by consensus, with each Party having, collectively, a single vote on any such matter irrespective of the number of representatives of such Party in attendance at a meeting of the JRC;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despite using reasonable efforts, the JRC cannot reach consensus on any such deadlocked matter within a period of [*] days (or such other period as the Parties may agree in writing) after it has met and attempted to reach such consensus, then either Party may, by written notice to the other Party, refer the deadlocked matter to the JSC for resolution pursuant to Section 10.6.2 (JSC Decisions).</w:t>
      </w:r>
    </w:p>
    <w:p>
      <w:pPr>
        <w:spacing w:after="0" w:line="154"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10.6.4 </w:t>
      </w:r>
      <w:r>
        <w:rPr>
          <w:rFonts w:ascii="Times New Roman" w:cs="Times New Roman" w:eastAsia="Times New Roman" w:hAnsi="Times New Roman"/>
          <w:sz w:val="22"/>
          <w:szCs w:val="22"/>
          <w:u w:val="single" w:color="auto"/>
          <w:color w:val="auto"/>
        </w:rPr>
        <w:t>JPC Decisions</w:t>
      </w:r>
      <w:r>
        <w:rPr>
          <w:rFonts w:ascii="Times New Roman" w:cs="Times New Roman" w:eastAsia="Times New Roman" w:hAnsi="Times New Roman"/>
          <w:sz w:val="22"/>
          <w:szCs w:val="22"/>
          <w:color w:val="auto"/>
        </w:rPr>
        <w:t>. Subject to Section 15.2.1(b), if applicable, in the event of a dispute or failure to reach unanimous agreement on any matter before the Joint Patent Committee, such dispute or failure to agree shall be submitted to the chief patent counsels of each Party for resolution, subject to the provisions of Article 15 (Intellectual Property Matters) that determine which Party has control and final decision-making authority with respect to certain matters related to the Prosecution and Maintenance and enforcement of Patents. Subject to Section 20.6.1 (Choice of Law) regarding Patent Disputes and Section 15.2.1(b), if applicable, any other such dispute or failure to agree not resolved by the chief patent counsels of the Parties may be referred to the JSC for resolution.</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b w:val="1"/>
          <w:bCs w:val="1"/>
          <w:color w:val="auto"/>
        </w:rPr>
        <w:t>Scope of Committee Authority</w:t>
      </w:r>
      <w:r>
        <w:rPr>
          <w:rFonts w:ascii="Times New Roman" w:cs="Times New Roman" w:eastAsia="Times New Roman" w:hAnsi="Times New Roman"/>
          <w:sz w:val="22"/>
          <w:szCs w:val="22"/>
          <w:color w:val="auto"/>
        </w:rPr>
        <w:t>. For clarity and notwithstanding the creation of any Committee, each Party will retain the rights, powers and discretion granted to it hereunder, and no Committee will be delegated or vested with such rights, powers or discretion unless such delegation or vesting is expressly provided herein, or the Parties expressly so agree in writing (including any decision to be made at Party’s sole discretion hereunder). No Committee, nor a Party via exercise of its final decision-making authority will have the power to (a) subject to Seagen’s final decision-making authority in Section 10.6.2(a)(i), resolve any Dispute regarding the amount of any payment owed under this Agreement, (b) amend, waive or modify any term of this Agreement, (c) determine whether or not a Party has met its diligence or other obligations under this Agreement, or (d) determine whether or not a Party has final decision-making authority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5" w:right="339" w:bottom="1440" w:gutter="0" w:footer="0" w:header="0"/>
        </w:sectPr>
      </w:pPr>
    </w:p>
    <w:bookmarkStart w:id="215" w:name="page216"/>
    <w:bookmarkEnd w:id="215"/>
    <w:p>
      <w:pPr>
        <w:jc w:val="both"/>
        <w:spacing w:after="0" w:line="211" w:lineRule="auto"/>
        <w:rPr>
          <w:sz w:val="20"/>
          <w:szCs w:val="20"/>
          <w:color w:val="auto"/>
        </w:rPr>
      </w:pPr>
      <w:r>
        <w:rPr>
          <w:rFonts w:ascii="Times New Roman" w:cs="Times New Roman" w:eastAsia="Times New Roman" w:hAnsi="Times New Roman"/>
          <w:sz w:val="22"/>
          <w:szCs w:val="22"/>
          <w:color w:val="auto"/>
        </w:rPr>
        <w:t>respect to a matter, and no decision of any Committee or exercise by a Party of its final decision-making authority will be in contravention of any express terms or conditions of this Agreement. It is understood and agreed that issues to be formally decided by the JRC are limited to those specific issues that are expressly provided in Section 10.2.5 (JRC Functions) of this Agreement and Disputes at the JRC which relate to subjects other than those expressly set forth in Section 10.2.5 (JRC Functions) will be handled according to Section 10.6.1 (JRC Decisions) and Section 20.6 (Choice of Law; Dispute Resolution; Jurisdiction), as applicable. Once a Committee is disbanded, such Committee will have no further obligations under this Agreement and, thereafter, each Party will designate a contact person for the exchange of information under this Agreement or such exchange of information will be made through the Alliance Managers. In the event a Committee is disbanded, any decisions that are designated under this Agreement as being subject to the review or approval of such Committee will be made by the Parties directly, subject to the other terms and conditions of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b w:val="1"/>
          <w:bCs w:val="1"/>
          <w:color w:val="auto"/>
        </w:rPr>
        <w:t>Day-to-Day Responsibilities</w:t>
      </w:r>
      <w:r>
        <w:rPr>
          <w:rFonts w:ascii="Times New Roman" w:cs="Times New Roman" w:eastAsia="Times New Roman" w:hAnsi="Times New Roman"/>
          <w:sz w:val="22"/>
          <w:szCs w:val="22"/>
          <w:color w:val="auto"/>
        </w:rPr>
        <w:t xml:space="preserve">. Each Party will be responsible for day-to-day implementation and operations of the activities for which it has or is otherwise assigned responsibility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implementation is not inconsistent with the express terms of this Agreement or the decisions of the JRC within the scope of its authority specified herein.</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b w:val="1"/>
          <w:bCs w:val="1"/>
          <w:color w:val="auto"/>
        </w:rPr>
        <w:t>No Services</w:t>
      </w:r>
      <w:r>
        <w:rPr>
          <w:rFonts w:ascii="Times New Roman" w:cs="Times New Roman" w:eastAsia="Times New Roman" w:hAnsi="Times New Roman"/>
          <w:sz w:val="22"/>
          <w:szCs w:val="22"/>
          <w:color w:val="auto"/>
        </w:rPr>
        <w:t>. The activities to be performed by the JRC and any Subcommittee shall solely relate to governance under this Agreement and are not intended to be or involve the delivery of services.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jc w:val="center"/>
        <w:spacing w:after="0"/>
        <w:rPr>
          <w:sz w:val="20"/>
          <w:szCs w:val="20"/>
          <w:color w:val="auto"/>
        </w:rPr>
      </w:pPr>
      <w:r>
        <w:rPr>
          <w:rFonts w:ascii="Times New Roman" w:cs="Times New Roman" w:eastAsia="Times New Roman" w:hAnsi="Times New Roman"/>
          <w:sz w:val="22"/>
          <w:szCs w:val="22"/>
          <w:b w:val="1"/>
          <w:bCs w:val="1"/>
          <w:color w:val="auto"/>
        </w:rPr>
        <w:t>U.S. PROFIT-SHARE OPTION</w:t>
      </w:r>
    </w:p>
    <w:p>
      <w:pPr>
        <w:spacing w:after="0" w:line="151"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U.S. Profit-Share Option</w:t>
      </w:r>
      <w:r>
        <w:rPr>
          <w:rFonts w:ascii="Times New Roman" w:cs="Times New Roman" w:eastAsia="Times New Roman" w:hAnsi="Times New Roman"/>
          <w:sz w:val="21"/>
          <w:szCs w:val="21"/>
          <w:color w:val="auto"/>
        </w:rPr>
        <w:t>. Subject to the terms set forth in this Article 11 (U.S. Profit-Share Option), Nurix will have two (2) options (each such option, a “</w:t>
      </w:r>
      <w:r>
        <w:rPr>
          <w:rFonts w:ascii="Times New Roman" w:cs="Times New Roman" w:eastAsia="Times New Roman" w:hAnsi="Times New Roman"/>
          <w:sz w:val="21"/>
          <w:szCs w:val="21"/>
          <w:b w:val="1"/>
          <w:bCs w:val="1"/>
          <w:color w:val="auto"/>
        </w:rPr>
        <w:t>Profit-Share Option</w:t>
      </w:r>
      <w:r>
        <w:rPr>
          <w:rFonts w:ascii="Times New Roman" w:cs="Times New Roman" w:eastAsia="Times New Roman" w:hAnsi="Times New Roman"/>
          <w:sz w:val="21"/>
          <w:szCs w:val="21"/>
          <w:color w:val="auto"/>
        </w:rPr>
        <w:t>”), each such Profit-Share Option exercisable with respect to one</w:t>
      </w:r>
    </w:p>
    <w:p>
      <w:pPr>
        <w:spacing w:after="0" w:line="1" w:lineRule="exact"/>
        <w:rPr>
          <w:sz w:val="20"/>
          <w:szCs w:val="20"/>
          <w:color w:val="auto"/>
        </w:rPr>
      </w:pPr>
    </w:p>
    <w:p>
      <w:pPr>
        <w:jc w:val="both"/>
        <w:ind w:firstLine="8"/>
        <w:spacing w:after="0" w:line="207" w:lineRule="auto"/>
        <w:tabs>
          <w:tab w:leader="none" w:pos="33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Licensed Product (each such Licensed Product after Profit-Share Option exercise in accordance with this Article 11 (U.S. Profit-Share Option), including Section 11.2.3 (Profit-Share Products), a “</w:t>
      </w:r>
      <w:r>
        <w:rPr>
          <w:rFonts w:ascii="Times New Roman" w:cs="Times New Roman" w:eastAsia="Times New Roman" w:hAnsi="Times New Roman"/>
          <w:sz w:val="22"/>
          <w:szCs w:val="22"/>
          <w:b w:val="1"/>
          <w:bCs w:val="1"/>
          <w:color w:val="auto"/>
        </w:rPr>
        <w:t>Profit-Share Product</w:t>
      </w:r>
      <w:r>
        <w:rPr>
          <w:rFonts w:ascii="Times New Roman" w:cs="Times New Roman" w:eastAsia="Times New Roman" w:hAnsi="Times New Roman"/>
          <w:sz w:val="22"/>
          <w:szCs w:val="22"/>
          <w:color w:val="auto"/>
        </w:rPr>
        <w:t>”), to enter into the following agreements with Seagen or its Affiliate for each such Profit-Share Product: (a) a Profit-Share Product Co-Funding and Profit-Sharing Agreement providing for the sharing of the net profits and net losses of and Global Development Costs for such Profit-Share Product on a [*] basis ([*]) on the terms set forth in Schedule 11.1A (each such agreement, a “</w:t>
      </w:r>
      <w:r>
        <w:rPr>
          <w:rFonts w:ascii="Times New Roman" w:cs="Times New Roman" w:eastAsia="Times New Roman" w:hAnsi="Times New Roman"/>
          <w:sz w:val="22"/>
          <w:szCs w:val="22"/>
          <w:b w:val="1"/>
          <w:bCs w:val="1"/>
          <w:color w:val="auto"/>
        </w:rPr>
        <w:t>Profit-Share 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(b) a Co-Promotion Agreement regarding the co-promotion of such Profit-Share Product in the U.S.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set forth in Schedule 11.1B (each such agreement, a “</w:t>
      </w:r>
      <w:r>
        <w:rPr>
          <w:rFonts w:ascii="Times New Roman" w:cs="Times New Roman" w:eastAsia="Times New Roman" w:hAnsi="Times New Roman"/>
          <w:sz w:val="22"/>
          <w:szCs w:val="22"/>
          <w:b w:val="1"/>
          <w:bCs w:val="1"/>
          <w:color w:val="auto"/>
        </w:rPr>
        <w:t>Co-Promotion Agreement</w:t>
      </w:r>
      <w:r>
        <w:rPr>
          <w:rFonts w:ascii="Times New Roman" w:cs="Times New Roman" w:eastAsia="Times New Roman" w:hAnsi="Times New Roman"/>
          <w:sz w:val="22"/>
          <w:szCs w:val="22"/>
          <w:color w:val="auto"/>
        </w:rPr>
        <w:t>”). The Profit-Share Product Agreement and Co-Promotion Agreement for a particular Profit-Share Product, and any other agreement(s) entered into by the Parties or their Affiliates pursuant to such agreements, are referred to herein, together, as the “</w:t>
      </w:r>
      <w:r>
        <w:rPr>
          <w:rFonts w:ascii="Times New Roman" w:cs="Times New Roman" w:eastAsia="Times New Roman" w:hAnsi="Times New Roman"/>
          <w:sz w:val="22"/>
          <w:szCs w:val="22"/>
          <w:b w:val="1"/>
          <w:bCs w:val="1"/>
          <w:color w:val="auto"/>
        </w:rPr>
        <w:t>Nurix Opt-In Agreement(s)</w:t>
      </w:r>
      <w:r>
        <w:rPr>
          <w:rFonts w:ascii="Times New Roman" w:cs="Times New Roman" w:eastAsia="Times New Roman" w:hAnsi="Times New Roman"/>
          <w:sz w:val="22"/>
          <w:szCs w:val="22"/>
          <w:color w:val="auto"/>
        </w:rPr>
        <w:t xml:space="preserve">.” Each of the Nurix Opt-In Agreements will contain the terms and conditions set forth in the respective Schedules referenced above for such Nurix Opt-In Agreement as well as other terms and conditions as are reasonable and customary for the applicable subject matter in the context of a similar arrangement between similarly situated biopharmaceutical or biotechnology companies involving a similar product, taking into account all relevant factors (including, for example, the experience of the Parties in Commercializing biopharmaceutical products and the relative roles of the Parties with respect to the promotion of and medical affairs related to the relevant Profit-Share Product). Such Nurix Opt-In Agreement terms shall be negotiated in good faith by the Parties promptly following exercise by Nurix of the applicable Profit-Share Option;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Parties shall use Commercially Reasonable Efforts to execute all Nurix Opt-In Agreements with respect to the applicable Profit-Share Product within [*] following Nurix’s delivery to Seagen of the Profit-Share Option Exercise Notice;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at the end of such [*] period, the Parties are continuing to negotiate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216" w:name="page217"/>
    <w:bookmarkEnd w:id="216"/>
    <w:p>
      <w:pPr>
        <w:jc w:val="both"/>
        <w:spacing w:after="0" w:line="213" w:lineRule="auto"/>
        <w:rPr>
          <w:sz w:val="20"/>
          <w:szCs w:val="20"/>
          <w:color w:val="auto"/>
        </w:rPr>
      </w:pPr>
      <w:r>
        <w:rPr>
          <w:rFonts w:ascii="Times New Roman" w:cs="Times New Roman" w:eastAsia="Times New Roman" w:hAnsi="Times New Roman"/>
          <w:sz w:val="22"/>
          <w:szCs w:val="22"/>
          <w:color w:val="auto"/>
        </w:rPr>
        <w:t>good faith (i) with respect to the applicable Profit-Share Product Agreement, such period shall be extended to a date mutually agreed by the Parties to enable the Parties to finalize and execute such Profit-Share Product Agreement and (ii) with respect to the applicable Co-Promotion Agreement, such period shall be extended by [*] (it being agreed and acknowledged that in order for Nurix to exercise its co-promotion rights with respect to a Profit-Share Product, the Parties shall use Commercially Reasonable Efforts to mutually agree on a form of Co-Promotion Agreement as promptly as practicable and shall enter into the relevant Co-Promotion Agreement (A) if the Profit-Share Option Triggering Event was [*], and (B) for all other Profit-Share Option Triggering Events, at least [*] before the expected Commercial launch of the Profit-Share Product in the U.S.).</w:t>
      </w:r>
    </w:p>
    <w:p>
      <w:pPr>
        <w:spacing w:after="0" w:line="15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b w:val="1"/>
          <w:bCs w:val="1"/>
          <w:color w:val="auto"/>
        </w:rPr>
        <w:t>Exercise of Profit-Share Option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11.2.1 </w:t>
      </w:r>
      <w:r>
        <w:rPr>
          <w:rFonts w:ascii="Times New Roman" w:cs="Times New Roman" w:eastAsia="Times New Roman" w:hAnsi="Times New Roman"/>
          <w:sz w:val="22"/>
          <w:szCs w:val="22"/>
          <w:u w:val="single" w:color="auto"/>
          <w:color w:val="auto"/>
        </w:rPr>
        <w:t>Option Data Package</w:t>
      </w:r>
      <w:r>
        <w:rPr>
          <w:rFonts w:ascii="Times New Roman" w:cs="Times New Roman" w:eastAsia="Times New Roman" w:hAnsi="Times New Roman"/>
          <w:sz w:val="22"/>
          <w:szCs w:val="22"/>
          <w:color w:val="auto"/>
        </w:rPr>
        <w:t>. No later than [*] before the anticipated achievement by Seagen of a Profit-Share Option Triggering Event with respect to any Licensed Product, Seagen shall provide or make available to Nurix a data package for such Licensed Product including (a) to the extent available and in Seagen’s possession and Control (for clarity, without requiring Seagen to conduct any additional Research or Development activities): (i) [*], (ii) [*], and (iii) [*]; and (b) [*], in each case, for such Licensed Product (clauses (a) and (b), collectively, the “</w:t>
      </w:r>
      <w:r>
        <w:rPr>
          <w:rFonts w:ascii="Times New Roman" w:cs="Times New Roman" w:eastAsia="Times New Roman" w:hAnsi="Times New Roman"/>
          <w:sz w:val="22"/>
          <w:szCs w:val="22"/>
          <w:b w:val="1"/>
          <w:bCs w:val="1"/>
          <w:color w:val="auto"/>
        </w:rPr>
        <w:t>Option Data Package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Seagen shall have no obligation to provide an Option Data Package to Nurix for a given Licensed Product and Nurix shall have no right to exercise its Profit-Share Option with respect to such Licensed Product, in each case, if Nurix has previously exercised two (2) Profit-Share Options and the Parties have entered into a Profit-Share Product Agreement for the Profit-Share Products that were the subject of such exercises. If the applicable Profit-Share Option Triggering Event has not occurred within [*] of Seagen’s delivery of the applicable Option Data Package or if the Profit-Share Option Triggering Event was [*], then Seagen shall, within [*] Business Days following the applicable Profit-Share Option Triggering Event, provide Nurix with a written summary of material updates to the information provided by Seagen for the applicable Option Data Package and provide or make available to Nurix updated copies of the documents and information described in clause (a) above, as applicable, including any [*] with respect to such Licensed Product to the extent applicable (such written summary and updates, the “</w:t>
      </w:r>
      <w:r>
        <w:rPr>
          <w:rFonts w:ascii="Times New Roman" w:cs="Times New Roman" w:eastAsia="Times New Roman" w:hAnsi="Times New Roman"/>
          <w:sz w:val="22"/>
          <w:szCs w:val="22"/>
          <w:b w:val="1"/>
          <w:bCs w:val="1"/>
          <w:color w:val="auto"/>
        </w:rPr>
        <w:t>Supplementary Option Data Package</w:t>
      </w:r>
      <w:r>
        <w:rPr>
          <w:rFonts w:ascii="Times New Roman" w:cs="Times New Roman" w:eastAsia="Times New Roman" w:hAnsi="Times New Roman"/>
          <w:sz w:val="22"/>
          <w:szCs w:val="22"/>
          <w:color w:val="auto"/>
        </w:rPr>
        <w:t>”). For the avoidance of doubt, Seagen may, upon notice to Nurix or through a Committee, update its anticipated date of obtaining Regulatory Approval and Commercial launch in the U.S. for a Licensed Product from time to time, and Seagen shall notify Nurix of its anticipated date of obtaining Regulatory Approval and Commercial launch in the U.S. for a Licensed Product from time to time upon Nurix’s reasonable request.</w:t>
      </w:r>
    </w:p>
    <w:p>
      <w:pPr>
        <w:spacing w:after="0" w:line="158"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11.2.2 </w:t>
      </w:r>
      <w:r>
        <w:rPr>
          <w:rFonts w:ascii="Times New Roman" w:cs="Times New Roman" w:eastAsia="Times New Roman" w:hAnsi="Times New Roman"/>
          <w:sz w:val="22"/>
          <w:szCs w:val="22"/>
          <w:u w:val="single" w:color="auto"/>
          <w:color w:val="auto"/>
        </w:rPr>
        <w:t>Option Exercise</w:t>
      </w:r>
      <w:r>
        <w:rPr>
          <w:rFonts w:ascii="Times New Roman" w:cs="Times New Roman" w:eastAsia="Times New Roman" w:hAnsi="Times New Roman"/>
          <w:sz w:val="22"/>
          <w:szCs w:val="22"/>
          <w:color w:val="auto"/>
        </w:rPr>
        <w:t>. Seagen shall notify Nurix in writing promptly following the occurrence of a Profit-Share Option Triggering Event, which notice shall indicate the relevant event and date thereof. At any time during the applicable Profit-Share Option Exercise Period, Nurix may exercise one (1) of its Profit-Share Options with respect to the Licensed Product identified in such Option Data Package by providing a written notice to Seagen (such notice the “</w:t>
      </w:r>
      <w:r>
        <w:rPr>
          <w:rFonts w:ascii="Times New Roman" w:cs="Times New Roman" w:eastAsia="Times New Roman" w:hAnsi="Times New Roman"/>
          <w:sz w:val="22"/>
          <w:szCs w:val="22"/>
          <w:b w:val="1"/>
          <w:bCs w:val="1"/>
          <w:color w:val="auto"/>
        </w:rPr>
        <w:t>Profit-Share Option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color w:val="auto"/>
        </w:rPr>
        <w:t>Profit-Share Option Exercise Period</w:t>
      </w:r>
      <w:r>
        <w:rPr>
          <w:rFonts w:ascii="Times New Roman" w:cs="Times New Roman" w:eastAsia="Times New Roman" w:hAnsi="Times New Roman"/>
          <w:sz w:val="22"/>
          <w:szCs w:val="22"/>
          <w:color w:val="auto"/>
        </w:rPr>
        <w:t>” means, on a Licensed Product-by-Licensed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basis, the period of time beginning on the occurrence of the Profit-Share Option Triggering Event for such Licensed Product, and ending on the later to occur of (a) [*] after delivery by Seagen of the Option Data Package for such Licensed Product, and (b) [*] after the later to occur of (i) delivery of written notice by Seagen to Nurix that the applicable the Profit-Share Option Triggering Event for such Licensed Product had occurred, and (ii) to the extent required under Section 11.2.1 (Option Data Package), delivery of the Supplementary Option Data Package.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11.2.3 </w:t>
      </w:r>
      <w:r>
        <w:rPr>
          <w:rFonts w:ascii="Times New Roman" w:cs="Times New Roman" w:eastAsia="Times New Roman" w:hAnsi="Times New Roman"/>
          <w:sz w:val="22"/>
          <w:szCs w:val="22"/>
          <w:u w:val="single" w:color="auto"/>
          <w:color w:val="auto"/>
        </w:rPr>
        <w:t>Profit-Share Products</w:t>
      </w:r>
      <w:r>
        <w:rPr>
          <w:rFonts w:ascii="Times New Roman" w:cs="Times New Roman" w:eastAsia="Times New Roman" w:hAnsi="Times New Roman"/>
          <w:sz w:val="22"/>
          <w:szCs w:val="22"/>
          <w:color w:val="auto"/>
        </w:rPr>
        <w:t>. If Nurix exercises a Profit-Share Option for a Licensed Product and Seagen does not veto such exercise to the extent permitted to do so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sectPr>
      </w:pPr>
    </w:p>
    <w:bookmarkStart w:id="217" w:name="page218"/>
    <w:bookmarkEnd w:id="217"/>
    <w:p>
      <w:pPr>
        <w:jc w:val="both"/>
        <w:spacing w:after="0" w:line="225" w:lineRule="auto"/>
        <w:rPr>
          <w:sz w:val="20"/>
          <w:szCs w:val="20"/>
          <w:color w:val="auto"/>
        </w:rPr>
      </w:pPr>
      <w:r>
        <w:rPr>
          <w:rFonts w:ascii="Times New Roman" w:cs="Times New Roman" w:eastAsia="Times New Roman" w:hAnsi="Times New Roman"/>
          <w:sz w:val="21"/>
          <w:szCs w:val="21"/>
          <w:color w:val="auto"/>
        </w:rPr>
        <w:t>accordance with Section 11.3 (U.S. Profit-Share Opt-In Veto), then: (a) upon execution of the applicable Profit-Share Product Agreement, such Licensed Product will be a Profit-Share Product; and (b) starting from such exercise and subject to Section 11.2.4 (Milestone Payments Related to the Profit-Share Triggering Events) and Section 11.4.2 (Opt-Out Date and Wind-Down), Nurix will forego the right to receive Development and Regulatory Milestone Payments for [*] Development and Regulatory Milestones Events achieved or deemed achieved by such Profit-Share Product (such Milestone Payments, the “</w:t>
      </w:r>
      <w:r>
        <w:rPr>
          <w:rFonts w:ascii="Times New Roman" w:cs="Times New Roman" w:eastAsia="Times New Roman" w:hAnsi="Times New Roman"/>
          <w:sz w:val="21"/>
          <w:szCs w:val="21"/>
          <w:b w:val="1"/>
          <w:bCs w:val="1"/>
          <w:color w:val="auto"/>
        </w:rPr>
        <w:t>Foregone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Milestones</w:t>
      </w:r>
      <w:r>
        <w:rPr>
          <w:rFonts w:ascii="Times New Roman" w:cs="Times New Roman" w:eastAsia="Times New Roman" w:hAnsi="Times New Roman"/>
          <w:sz w:val="21"/>
          <w:szCs w:val="21"/>
          <w:color w:val="auto"/>
        </w:rPr>
        <w:t>”). For the avoidance of doubt, there shall be no more than two (2) Profit-Share Products under this Agreement.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11.2.4 </w:t>
      </w:r>
      <w:r>
        <w:rPr>
          <w:rFonts w:ascii="Times New Roman" w:cs="Times New Roman" w:eastAsia="Times New Roman" w:hAnsi="Times New Roman"/>
          <w:sz w:val="22"/>
          <w:szCs w:val="22"/>
          <w:u w:val="single" w:color="auto"/>
          <w:color w:val="auto"/>
        </w:rPr>
        <w:t>Milestone Payments Related to the Profit-Share Triggering Events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1292"/>
        <w:spacing w:after="0" w:line="220" w:lineRule="auto"/>
        <w:tabs>
          <w:tab w:leader="none" w:pos="260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the Profit-Share Option Triggering Event is [*], (ii) Nurix exercises its Profit-Share Option in accordance with Section 11.2 (Exercise of Profit-Share Option), and (iii) Seagen does not veto such exercise pursuant to Section 11.3 (U.S. Profit-Share Opt-In Veto), then, in the case of (i), (ii) and (iii), notwithstanding anything to the contrary contained herein:</w:t>
      </w:r>
    </w:p>
    <w:p>
      <w:pPr>
        <w:spacing w:after="0" w:line="152" w:lineRule="exact"/>
        <w:rPr>
          <w:rFonts w:ascii="Times New Roman" w:cs="Times New Roman" w:eastAsia="Times New Roman" w:hAnsi="Times New Roman"/>
          <w:sz w:val="22"/>
          <w:szCs w:val="22"/>
          <w:color w:val="auto"/>
        </w:rPr>
      </w:pPr>
    </w:p>
    <w:p>
      <w:pPr>
        <w:jc w:val="both"/>
        <w:ind w:left="2600"/>
        <w:spacing w:after="0" w:line="227" w:lineRule="auto"/>
        <w:tabs>
          <w:tab w:leader="none" w:pos="318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Profit-Share Option Triggering Event shall constitute achievement of Development and Regulatory Milestone Event [*], and Seagen shall pay Nurix the Development and Regulatory Milestone Payment for Development and Regulatory Milestone Event [*] in accordance with Section 13.7 (Development and Regulatory Milestones)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if the applicable Licensed Product is the First Licensed Product (as defined in Section 13.7.2(b)), then Seagen shall pay Nurix [*];</w:t>
      </w:r>
    </w:p>
    <w:p>
      <w:pPr>
        <w:spacing w:after="0" w:line="153" w:lineRule="exact"/>
        <w:rPr>
          <w:rFonts w:ascii="Times New Roman" w:cs="Times New Roman" w:eastAsia="Times New Roman" w:hAnsi="Times New Roman"/>
          <w:sz w:val="21"/>
          <w:szCs w:val="21"/>
          <w:color w:val="auto"/>
        </w:rPr>
      </w:pPr>
    </w:p>
    <w:p>
      <w:pPr>
        <w:jc w:val="both"/>
        <w:ind w:left="2600"/>
        <w:spacing w:after="0" w:line="225" w:lineRule="auto"/>
        <w:tabs>
          <w:tab w:leader="none" w:pos="325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lieu of paying Development and Regulatory Milestone Payment [*] in accordance with Section 13.7 (Development and Regulatory Milestones), Seagen shall, upon achievement of Development and Regulatory Milestone Event [*], pay Nurix an amount equal to [*]; and</w:t>
      </w:r>
    </w:p>
    <w:p>
      <w:pPr>
        <w:spacing w:after="0" w:line="152" w:lineRule="exact"/>
        <w:rPr>
          <w:rFonts w:ascii="Times New Roman" w:cs="Times New Roman" w:eastAsia="Times New Roman" w:hAnsi="Times New Roman"/>
          <w:sz w:val="22"/>
          <w:szCs w:val="22"/>
          <w:color w:val="auto"/>
        </w:rPr>
      </w:pPr>
    </w:p>
    <w:p>
      <w:pPr>
        <w:jc w:val="both"/>
        <w:ind w:left="2600"/>
        <w:spacing w:after="0" w:line="225" w:lineRule="auto"/>
        <w:tabs>
          <w:tab w:leader="none" w:pos="313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in the event that the applicable Licensed Product is not the First Licensed Product (as defined in Section 13.7.2(b)), then the principles set forth above shall apply to the applicable payment amounts as adjusted subject to [*].</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the Profit-Share Option Triggering Event is [*], (ii) Nurix exercises its Profit-Share Option in accordance with Section 11.2 (Exercise of Profit-Share Option), and (iii) Seagen does not veto such exercise pursuant to Section 11.3 (U.S. Profit-Share Opt-In Veto), then, in the case of (i), (ii) and (iii), notwithstanding anything to the contrary contained herein, such Profit-Share Option Triggering Event shall constitute achievement of Development and Regulatory Milestone Event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lieu of paying Development and Regulatory Milestone Payment [*] in accordance with Section 13.7 (Development and Regulatory Milestones), Seagen shall pay Nurix an amount equal to [*]. For clarity, in the event that the applicable Licensed Product is not the First Licensed Product (as defined in Section 13.7.2(b)), then the principles set forth above shall apply to the applicable payment amounts as adjusted subject to [*].</w:t>
      </w:r>
    </w:p>
    <w:p>
      <w:pPr>
        <w:spacing w:after="0" w:line="157" w:lineRule="exact"/>
        <w:rPr>
          <w:rFonts w:ascii="Times New Roman" w:cs="Times New Roman" w:eastAsia="Times New Roman" w:hAnsi="Times New Roman"/>
          <w:sz w:val="21"/>
          <w:szCs w:val="21"/>
          <w:color w:val="auto"/>
        </w:rPr>
      </w:pPr>
    </w:p>
    <w:p>
      <w:pPr>
        <w:jc w:val="both"/>
        <w:ind w:left="660" w:firstLine="1292"/>
        <w:spacing w:after="0" w:line="220" w:lineRule="auto"/>
        <w:tabs>
          <w:tab w:leader="none" w:pos="260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the Profit-Share Option Triggering Event is [*], (ii) Nurix exercises its Profit-Share Option in accordance with Section 11.2 (Exercise of Profit-Share Option), and (iii) Seagen does not veto such exercise pursuant to Section 11.3 (U.S. Profit-Share Opt-In Veto), then, in the case of (i), (ii) and (iii), notwithstanding anything to the contrary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218" w:name="page219"/>
    <w:bookmarkEnd w:id="218"/>
    <w:p>
      <w:pPr>
        <w:jc w:val="both"/>
        <w:ind w:left="2600"/>
        <w:spacing w:after="0" w:line="220" w:lineRule="auto"/>
        <w:tabs>
          <w:tab w:leader="none" w:pos="318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Profit-Share Option Triggering Event shall constitute achievement of Development and Regulatory Milestone Event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lieu of paying Development and Regulatory Milestone Payment [*] in accordance with Section 13.7 (Development and Regulatory Milestones), Seagen shall pay Nurix an amount equal to [*];</w:t>
      </w:r>
    </w:p>
    <w:p>
      <w:pPr>
        <w:spacing w:after="0" w:line="152" w:lineRule="exact"/>
        <w:rPr>
          <w:rFonts w:ascii="Times New Roman" w:cs="Times New Roman" w:eastAsia="Times New Roman" w:hAnsi="Times New Roman"/>
          <w:sz w:val="22"/>
          <w:szCs w:val="22"/>
          <w:color w:val="auto"/>
        </w:rPr>
      </w:pPr>
    </w:p>
    <w:p>
      <w:pPr>
        <w:jc w:val="both"/>
        <w:ind w:left="2600"/>
        <w:spacing w:after="0" w:line="217" w:lineRule="auto"/>
        <w:tabs>
          <w:tab w:leader="none" w:pos="3167"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Profit-Share Option Triggering Event shall also constitute achievement of Development and Regulatory Milestone Event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lieu of paying Development and Regulatory Milestone Payment [*] in accordance with Section 13.7 (Development and Regulatory Milestones) upon [*], Seagen shall pay Nurix an amount equal to the Development and Regulatory Milestone Payment for Development and Regulatory Milestone Event [*]; and</w:t>
      </w:r>
    </w:p>
    <w:p>
      <w:pPr>
        <w:spacing w:after="0" w:line="152" w:lineRule="exact"/>
        <w:rPr>
          <w:rFonts w:ascii="Times New Roman" w:cs="Times New Roman" w:eastAsia="Times New Roman" w:hAnsi="Times New Roman"/>
          <w:sz w:val="22"/>
          <w:szCs w:val="22"/>
          <w:color w:val="auto"/>
        </w:rPr>
      </w:pPr>
    </w:p>
    <w:p>
      <w:pPr>
        <w:jc w:val="both"/>
        <w:ind w:left="2600"/>
        <w:spacing w:after="0" w:line="225" w:lineRule="auto"/>
        <w:tabs>
          <w:tab w:leader="none" w:pos="3175"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in the event that the applicable Licensed Product is not the First Licensed Product (as defined in Section 13.7.2(b)), then the principles set forth above shall apply to the applicable payment amounts as adjusted subject to [*].</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09" w:lineRule="auto"/>
        <w:tabs>
          <w:tab w:leader="none" w:pos="259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(including in Section 13.9.1 (Research, Development and Regulatory Milestones)), in the event that any Development and Regulatory Milestone Event is achieved or deemed to be achieved pursuant to this Section 11.2.4 (Milestone Payments Related to the Profit-Share Triggering Events), Seagen shall notify Nurix thereof within [*] after Seagen’s receipt of the applicable Profit-Share Option Exercise Notice and request an invoice from Nurix for the applicable Milestone Payment, and Seagen, subject to any good faith Dispute regarding the applicable Milestone Event or Milestone Payment, shall pay the applicable Milestone Payment within [*] after receipt of such invoice. In the event of any conflict or inconsistency between the notice and payment provisions of Article 13 (Financial Terms) and this Section 11.2.4 (Milestone Payments Related to the Profit-Share Triggering Events) with respect to any Milestone Event or Milestone Payment that is or could be subject to this Section 11.2.4 (Milestone Payments Related to the Profit-Share Triggering Events), the terms of this Section 11.2.4 (Milestone Payments Related to the Profit-Share Triggering Events) shall control, and the notice and payment provisions of Article 13 (Financial Terms) shall be tolled until it is determined whether the terms and conditions of this Section 11.2.4 (Milestone Payments Related to the Profit-Share Triggering Events) apply to any such Milestone Event or Milestone Payment.</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11.2.5 </w:t>
      </w:r>
      <w:r>
        <w:rPr>
          <w:rFonts w:ascii="Times New Roman" w:cs="Times New Roman" w:eastAsia="Times New Roman" w:hAnsi="Times New Roman"/>
          <w:sz w:val="21"/>
          <w:szCs w:val="21"/>
          <w:u w:val="single" w:color="auto"/>
          <w:color w:val="auto"/>
        </w:rPr>
        <w:t>Co-Promotion Criteria</w:t>
      </w:r>
      <w:r>
        <w:rPr>
          <w:rFonts w:ascii="Times New Roman" w:cs="Times New Roman" w:eastAsia="Times New Roman" w:hAnsi="Times New Roman"/>
          <w:sz w:val="21"/>
          <w:szCs w:val="21"/>
          <w:color w:val="auto"/>
        </w:rPr>
        <w:t>. Notwithstanding anything to the contrary contained in this Agreement, on a Profit-Share Product-by-Profit-Share Product basis, as soon as practicable following Nurix’s delivery to Seagen of a Profit-Share Option Exercise Notice, Nurix shall provide to Seagen (a) a plan (supported with reasonable documentation) to phase in and hire an adequate sales force and sufficient medical affairs personnel to support Nurix’s co-promotion activities with respect to the Profit-Share Product consistent with the applicable Option Data Package and Global Development Cost Estimated Budget (“</w:t>
      </w:r>
      <w:r>
        <w:rPr>
          <w:rFonts w:ascii="Times New Roman" w:cs="Times New Roman" w:eastAsia="Times New Roman" w:hAnsi="Times New Roman"/>
          <w:sz w:val="21"/>
          <w:szCs w:val="21"/>
          <w:b w:val="1"/>
          <w:bCs w:val="1"/>
          <w:color w:val="auto"/>
        </w:rPr>
        <w:t>Nurix Co-Promotion Plan</w:t>
      </w:r>
      <w:r>
        <w:rPr>
          <w:rFonts w:ascii="Times New Roman" w:cs="Times New Roman" w:eastAsia="Times New Roman" w:hAnsi="Times New Roman"/>
          <w:sz w:val="21"/>
          <w:szCs w:val="21"/>
          <w:color w:val="auto"/>
        </w:rPr>
        <w:t>”) which plan shall be delivered to Seagen (i) if the Profit-Share Option Triggering Event was [*], at [*], and (ii) for all other Profit-Share Option Triggering Events, at least [*], and (b) reasonable documentation that Nurix has or shall have the Nurix Resources in place as of the anticipated date of entry of the applicable Co-Promotion Agreement. If Nurix does not provide to Seagen the Nurix Co-Promotion Plan, or have in place the Nurix Resources, in each case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219" w:name="page220"/>
    <w:bookmarkEnd w:id="219"/>
    <w:p>
      <w:pPr>
        <w:jc w:val="both"/>
        <w:spacing w:after="0" w:line="222" w:lineRule="auto"/>
        <w:rPr>
          <w:sz w:val="20"/>
          <w:szCs w:val="20"/>
          <w:color w:val="auto"/>
        </w:rPr>
      </w:pPr>
      <w:r>
        <w:rPr>
          <w:rFonts w:ascii="Times New Roman" w:cs="Times New Roman" w:eastAsia="Times New Roman" w:hAnsi="Times New Roman"/>
          <w:sz w:val="21"/>
          <w:szCs w:val="21"/>
          <w:color w:val="auto"/>
        </w:rPr>
        <w:t>the date when required to be provided or satisfied (as applicable) under this Section 11.2.5 (Co-Promotion Criteria), then Nurix shall not have the right and Seagen shall not have the obligation to enter into a Co-Promotion Agreement with respect to such Profit-Share Product. Any Dispute regarding Nurix’s satisfaction of the requirements of this Section 11.2.5 (Co-Promotion Criteria) shall be resolved pursuant to Section 20.6.2 (Dispute Escalation). For the avoidance of doubt, failure by Nurix to satisfy the co-promotion criteria contemplated by this Section 11.2.5 (Co-Promotion Criteria) or the absence of a Co-Promotion Agreement as contemplated hereby will have no impact on the rights and obligations of the Parties with respect to a Profit-Share Product Agreement with respect to such Profit-Share Product. For purposes of this Agreement, “</w:t>
      </w:r>
      <w:r>
        <w:rPr>
          <w:rFonts w:ascii="Times New Roman" w:cs="Times New Roman" w:eastAsia="Times New Roman" w:hAnsi="Times New Roman"/>
          <w:sz w:val="21"/>
          <w:szCs w:val="21"/>
          <w:b w:val="1"/>
          <w:bCs w:val="1"/>
          <w:color w:val="auto"/>
        </w:rPr>
        <w:t>Nurix Resources</w:t>
      </w:r>
      <w:r>
        <w:rPr>
          <w:rFonts w:ascii="Times New Roman" w:cs="Times New Roman" w:eastAsia="Times New Roman" w:hAnsi="Times New Roman"/>
          <w:sz w:val="21"/>
          <w:szCs w:val="21"/>
          <w:color w:val="auto"/>
        </w:rPr>
        <w:t xml:space="preserve">” means with respect to the Profit-Share Product, Nurix has as of such time [*] in cash or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financing plan to raise such amount in cash in the timeframe required by the Global Development Cost Estimated Budget for such Profit-Share Product.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U.S. Profit-Share Opt-In Veto</w:t>
      </w:r>
      <w:r>
        <w:rPr>
          <w:rFonts w:ascii="Times New Roman" w:cs="Times New Roman" w:eastAsia="Times New Roman" w:hAnsi="Times New Roman"/>
          <w:sz w:val="22"/>
          <w:szCs w:val="22"/>
          <w:color w:val="auto"/>
        </w:rPr>
        <w:t xml:space="preserve">. Notwithstanding the foregoing in this Article 11 (U.S. Profit-Share Option), Seagen will have the right to veto Nurix’s exercise of a Profit-Share Option for a maximum of [*] Licensed Products by providing written notice to Nurix of Seagen’s veto within [*] Business Days after Seagen’s receipt of the applicable Profit-Share Option Exercise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Seagen may [*]. If Seagen exercises a veto right, Nurix will be deemed not to have exercised the applicable Profit-Share Option.</w:t>
      </w:r>
    </w:p>
    <w:p>
      <w:pPr>
        <w:spacing w:after="0" w:line="14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b w:val="1"/>
          <w:bCs w:val="1"/>
          <w:color w:val="auto"/>
        </w:rPr>
        <w:t>Nurix Opt-Out.</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 xml:space="preserve">11.4.1 </w:t>
      </w:r>
      <w:r>
        <w:rPr>
          <w:rFonts w:ascii="Times New Roman" w:cs="Times New Roman" w:eastAsia="Times New Roman" w:hAnsi="Times New Roman"/>
          <w:sz w:val="21"/>
          <w:szCs w:val="21"/>
          <w:u w:val="single" w:color="auto"/>
          <w:color w:val="auto"/>
        </w:rPr>
        <w:t>Opt-Out Notice</w:t>
      </w:r>
      <w:r>
        <w:rPr>
          <w:rFonts w:ascii="Times New Roman" w:cs="Times New Roman" w:eastAsia="Times New Roman" w:hAnsi="Times New Roman"/>
          <w:sz w:val="21"/>
          <w:szCs w:val="21"/>
          <w:color w:val="auto"/>
        </w:rPr>
        <w:t>. Subject to the terms and conditions of this Agreement (including this Section 11.4 (Nurix Opt-Out)), on a Profit-Share Product-by-Profit-Share Product basis, Nurix shall have the right, exercisable in its sole discretion, to elect to opt-out of: (a) all of the Nurix Opt-In Agreements then in effect with respect to such Profit-Share Product and instead receive the royalty payments described in Section 13.10 (Royalties); or (b) if a Profit-Share Product Agreement has been executed and remains in effect, only the Co-Promotion Agreement with respect to such Profit-Share Product, in which case the terms and conditions of the Profit-Share Product Agreement and of this Agreement with respect to Profit-Share Products shall continue to apply, subject to any applicable terms of the relevant Nurix Opt-In Agreements. Nurix may exercise its right to opt-out under this Section 11.4.1 (Opt-Out Notice) by delivery to Seagen of written notice indicating such exercise and whether such exercise is under clause (a) or (b) of this Section 11.4.1 (Opt-Out Notice) (each such notice, a “</w:t>
      </w:r>
      <w:r>
        <w:rPr>
          <w:rFonts w:ascii="Times New Roman" w:cs="Times New Roman" w:eastAsia="Times New Roman" w:hAnsi="Times New Roman"/>
          <w:sz w:val="21"/>
          <w:szCs w:val="21"/>
          <w:b w:val="1"/>
          <w:bCs w:val="1"/>
          <w:color w:val="auto"/>
        </w:rPr>
        <w:t>Nurix Opt-Out 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Nurix may not, without the prior written consent of Seagen, deliver a Nurix Opt-Out Notice under clause</w:t>
      </w:r>
    </w:p>
    <w:p>
      <w:pPr>
        <w:spacing w:after="0" w:line="1" w:lineRule="exact"/>
        <w:rPr>
          <w:sz w:val="20"/>
          <w:szCs w:val="20"/>
          <w:color w:val="auto"/>
        </w:rPr>
      </w:pPr>
    </w:p>
    <w:p>
      <w:pPr>
        <w:jc w:val="both"/>
        <w:ind w:firstLine="8"/>
        <w:spacing w:after="0" w:line="210" w:lineRule="auto"/>
        <w:tabs>
          <w:tab w:leader="none" w:pos="31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prior to [*] anniversary of Nurix’s exercise of its Profit-Share Option. For clarity, following the Nurix Opt-Out Date with respect to all Nurix Opt-In Agreements for a Profit-Share Product, subject to this Section 11.4 (Nurix Opt-Out) and Section 13.7.2(b), each Licensed Product that prior to such Nurix Opt-Out Date was a Profit-Share Product will remain a Licensed Product and thereafter be eligible to receive the Milestone Payments achieved by such Licensed Product as further described in Section 11.4.2 (Opt-Out Date and Wind-Down), including the Sales Milestone Payments, and royalty payments for Net Sales of such Licensed Product for the remainder of the applicable Royalty Term as further described in Article 13 (Financial Terms).</w:t>
      </w:r>
    </w:p>
    <w:p>
      <w:pPr>
        <w:spacing w:after="0" w:line="155"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11.4.2 </w:t>
      </w:r>
      <w:r>
        <w:rPr>
          <w:rFonts w:ascii="Times New Roman" w:cs="Times New Roman" w:eastAsia="Times New Roman" w:hAnsi="Times New Roman"/>
          <w:sz w:val="22"/>
          <w:szCs w:val="22"/>
          <w:u w:val="single" w:color="auto"/>
          <w:color w:val="auto"/>
        </w:rPr>
        <w:t>Opt-Out Date and Wind-Down</w:t>
      </w:r>
      <w:r>
        <w:rPr>
          <w:rFonts w:ascii="Times New Roman" w:cs="Times New Roman" w:eastAsia="Times New Roman" w:hAnsi="Times New Roman"/>
          <w:sz w:val="22"/>
          <w:szCs w:val="22"/>
          <w:color w:val="auto"/>
        </w:rPr>
        <w:t>. Subject to the terms of a relevant Nurix Opt-In Agreement, if applicable, any Nurix opt-out described in Section 11.4.1 (Opt-Out Notice) shall be effective upon the expiration of the first Calendar Quarter the last day of which is at least [*] after delivery of the relevant Nurix Opt-Out Notice (such date with respect to the applicable Nurix Opt-In Agreement(s), the “</w:t>
      </w:r>
      <w:r>
        <w:rPr>
          <w:rFonts w:ascii="Times New Roman" w:cs="Times New Roman" w:eastAsia="Times New Roman" w:hAnsi="Times New Roman"/>
          <w:sz w:val="22"/>
          <w:szCs w:val="22"/>
          <w:b w:val="1"/>
          <w:bCs w:val="1"/>
          <w:color w:val="auto"/>
        </w:rPr>
        <w:t>Nurix Opt-Out Date</w:t>
      </w:r>
      <w:r>
        <w:rPr>
          <w:rFonts w:ascii="Times New Roman" w:cs="Times New Roman" w:eastAsia="Times New Roman" w:hAnsi="Times New Roman"/>
          <w:sz w:val="22"/>
          <w:szCs w:val="22"/>
          <w:color w:val="auto"/>
        </w:rPr>
        <w:t>”). During the period between receipt by Seagen of a Nurix Opt-Out Notice and the relevant Nurix Opt-Out Date (such period the “</w:t>
      </w:r>
      <w:r>
        <w:rPr>
          <w:rFonts w:ascii="Times New Roman" w:cs="Times New Roman" w:eastAsia="Times New Roman" w:hAnsi="Times New Roman"/>
          <w:sz w:val="22"/>
          <w:szCs w:val="22"/>
          <w:b w:val="1"/>
          <w:bCs w:val="1"/>
          <w:color w:val="auto"/>
        </w:rPr>
        <w:t>Opt-Out Wind-Down Period</w:t>
      </w:r>
      <w:r>
        <w:rPr>
          <w:rFonts w:ascii="Times New Roman" w:cs="Times New Roman" w:eastAsia="Times New Roman" w:hAnsi="Times New Roman"/>
          <w:sz w:val="22"/>
          <w:szCs w:val="22"/>
          <w:color w:val="auto"/>
        </w:rPr>
        <w:t>”), the Parties shall cooperate to wind-down Nurix’s operational activities (if any) with respect to the applicable Profit-Share Product, as specified in further detail in the applicable Nurix Opt-In Agreement(s). Solely to the extent Nurix elected to opt-out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220" w:name="page221"/>
    <w:bookmarkEnd w:id="220"/>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of the Nurix Opt-In Agreements with respect to a Profit-Share Product, upon the relevant Nurix Opt-Out Date (a) the terms of the applicable Nurix Opt-In Agreements (including the Profit-Share Product Agreement) shall cease to apply to such Profit-Share Product, and (b) the applicable Profit-Share Product shall no longer be a Profit-Share Product hereunder, but, subject to Section 13.7.2(b), shall remain a Licensed Product, including for the purposes of Article 13 (Financial Terms) such as for any Development and Regulatory Milestone Event that occurs following the Nurix Opt-Out Date with respect to all applicable Nurix Opt-In Agreements;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Milestone Event shall be deemed to have been achieved pursuant to Section 13.7.2(e), and no Milestone Payment shall be payable in respect of any Milestone Event so deemed to have been achieved, as a result of the achievement of any Milestone Event by a former Profit-Share Product that occurs following the Opt-Out Wind-Down Period with respect to all applicable Nurix Opt-In Agreements for such Profit-Share Product. For clarity, (x) no Milestone Payment in respect of a Foregone Milestone shall be owed with respect to any Milestone Event that occurs following the applicable Profit-Share Option Exercise Notice and prior to the expiration of the relevant Opt-Out Wind-Down Period for all Nurix Opt-In Agreements with respect to the applicable Profit-Share Product, irrespective of whether the applicable Milestone Events are actually achieved or are deemed to be achieved, and (y) the achievement of a Milestone Event after the end of the relevant Opt-Out Wind-Down Period by any former Profit-Share Product shall be payable in accordance with Section 13.7 (Development and Regulatory Milestones).</w:t>
      </w:r>
    </w:p>
    <w:p>
      <w:pPr>
        <w:spacing w:after="0" w:line="151"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11.4.3 </w:t>
      </w:r>
      <w:r>
        <w:rPr>
          <w:rFonts w:ascii="Times New Roman" w:cs="Times New Roman" w:eastAsia="Times New Roman" w:hAnsi="Times New Roman"/>
          <w:sz w:val="22"/>
          <w:szCs w:val="22"/>
          <w:u w:val="single" w:color="auto"/>
          <w:color w:val="auto"/>
        </w:rPr>
        <w:t>No Opt-Back-In</w:t>
      </w:r>
      <w:r>
        <w:rPr>
          <w:rFonts w:ascii="Times New Roman" w:cs="Times New Roman" w:eastAsia="Times New Roman" w:hAnsi="Times New Roman"/>
          <w:sz w:val="22"/>
          <w:szCs w:val="22"/>
          <w:color w:val="auto"/>
        </w:rPr>
        <w:t>. After the Nurix Opt-Out Date with respect to all applicable Nurix Opt-In Agreements, Seagen shall be responsible for all applicable costs and expenses associated with the Development and Commercialization of the Licensed Product and Nurix shall not have any option to buy back into any profit-share or any other rights.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jc w:val="center"/>
        <w:spacing w:after="0"/>
        <w:rPr>
          <w:sz w:val="20"/>
          <w:szCs w:val="20"/>
          <w:color w:val="auto"/>
        </w:rPr>
      </w:pPr>
      <w:r>
        <w:rPr>
          <w:rFonts w:ascii="Times New Roman" w:cs="Times New Roman" w:eastAsia="Times New Roman" w:hAnsi="Times New Roman"/>
          <w:sz w:val="22"/>
          <w:szCs w:val="22"/>
          <w:b w:val="1"/>
          <w:bCs w:val="1"/>
          <w:color w:val="auto"/>
        </w:rPr>
        <w:t>ASSISTANCE; TRANSITION; UPSTREAM LICENSE AGREEMENTS</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Assistance</w:t>
      </w:r>
      <w:r>
        <w:rPr>
          <w:rFonts w:ascii="Times New Roman" w:cs="Times New Roman" w:eastAsia="Times New Roman" w:hAnsi="Times New Roman"/>
          <w:sz w:val="22"/>
          <w:szCs w:val="22"/>
          <w:color w:val="auto"/>
        </w:rPr>
        <w:t>. Subject to the costs provisions of Section 12.2 (Know-How Transfer), Nurix will, and will cause its Affiliates to, cooperate with Seagen and its designees and provide assistance to Seagen and its designees with respect to Seagen’s and its designees’ Research, Development, Manufacture and Commercialization of each applicable Licensed Product after the occurrence of a Degrader License Effective Date for a Collaboration Degrader Target Set, as and to the extent reasonably requested in writing by Seagen, including by: (a) providing Seagen and its designees assistance with respect to Research, Development, regulatory and Manufacturing transition matters related to such Licensed Products; and (b) providing Seagen and its designees with reasonable access by teleconference or in-person (as requested by Seagen) to Nurix personnel (and personnel of its Affiliates and Third Party contractors) involved in Research, Development, regulatory or Manufacturing matters related to such Licensed Products to assist with the transition and answer questions related to such Licensed Products.</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b w:val="1"/>
          <w:bCs w:val="1"/>
          <w:color w:val="auto"/>
        </w:rPr>
        <w:t>Know-How Transfer</w:t>
      </w:r>
      <w:r>
        <w:rPr>
          <w:rFonts w:ascii="Times New Roman" w:cs="Times New Roman" w:eastAsia="Times New Roman" w:hAnsi="Times New Roman"/>
          <w:sz w:val="21"/>
          <w:szCs w:val="21"/>
          <w:color w:val="auto"/>
        </w:rPr>
        <w:t>. Without limiting the provisions of Section 12.1 (Assistance), as soon as reasonably practicable following the occurrence of the applicable Degrader License Effective Date, and thereafter during the Term as may be reasonably requested in writing by Seagen from time to time, Nurix will disclose to Seagen and its designees in English, including by providing hard and electronic copies thereof: all data, information, regulatory filings, assets, DNA, protein sequences, constructs, synthesis routes and cell lines, and materials included therein and any other physical embodiments thereof, in each case, relating to such Licensed Products or the Research Program, as applicable. Nurix will bear all costs of the first [*] of such assistance per Collaboration Degrader Target Set under this Agreement (including under Section 12.1 (Assistance)); thereafter, Seagen will reimburse Nurix for all reasonable costs actually incurred in connection with its assistance at the rate of</w:t>
      </w:r>
    </w:p>
    <w:p>
      <w:pPr>
        <w:spacing w:after="0" w:line="1" w:lineRule="exact"/>
        <w:rPr>
          <w:sz w:val="20"/>
          <w:szCs w:val="20"/>
          <w:color w:val="auto"/>
        </w:rPr>
      </w:pPr>
    </w:p>
    <w:p>
      <w:pPr>
        <w:ind w:right="20" w:firstLine="8"/>
        <w:spacing w:after="0" w:line="225" w:lineRule="auto"/>
        <w:tabs>
          <w:tab w:leader="none" w:pos="37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Seagen’s reasonable request (which shall be no more frequently than once per Calendar Quarter), Nurix shall provide Seagen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221" w:name="page222"/>
    <w:bookmarkEnd w:id="221"/>
    <w:p>
      <w:pPr>
        <w:jc w:val="both"/>
        <w:spacing w:after="0" w:line="225" w:lineRule="auto"/>
        <w:rPr>
          <w:sz w:val="20"/>
          <w:szCs w:val="20"/>
          <w:color w:val="auto"/>
        </w:rPr>
      </w:pPr>
      <w:r>
        <w:rPr>
          <w:rFonts w:ascii="Times New Roman" w:cs="Times New Roman" w:eastAsia="Times New Roman" w:hAnsi="Times New Roman"/>
          <w:sz w:val="22"/>
          <w:szCs w:val="22"/>
          <w:color w:val="auto"/>
        </w:rPr>
        <w:t>estimated budget for such assistance so requested by Seagen. Such assistance shall be tracked by Nurix using its standard practice and methodologies and upon reasonable written request from Seagen, Nurix shall provide Seagen with a written summary sufficient for Seagen to verify the hours of assistance or costs incurred, as applicable.</w:t>
      </w:r>
    </w:p>
    <w:p>
      <w:pPr>
        <w:spacing w:after="0" w:line="14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b w:val="1"/>
          <w:bCs w:val="1"/>
          <w:color w:val="auto"/>
        </w:rPr>
        <w:t>Upstream License Agreements</w:t>
      </w:r>
      <w:r>
        <w:rPr>
          <w:rFonts w:ascii="Times New Roman" w:cs="Times New Roman" w:eastAsia="Times New Roman" w:hAnsi="Times New Roman"/>
          <w:sz w:val="21"/>
          <w:szCs w:val="21"/>
          <w:color w:val="auto"/>
        </w:rPr>
        <w:t>. Other than with respect to Change of Control transactions (as further described in Section 20.4 (Assignment, Change of Control)), in the event that Nurix enters into a contract or agreement with a Third Party pursuant to which Nurix in-licenses or otherwise acquires any Patents, Know-How or other intellectual property rights that, but for this Section 12.3 (Upstream License Agreements), would be Controlled by Nurix and constitute Nurix IP for purposes of this Agreement (each an “</w:t>
      </w:r>
      <w:r>
        <w:rPr>
          <w:rFonts w:ascii="Times New Roman" w:cs="Times New Roman" w:eastAsia="Times New Roman" w:hAnsi="Times New Roman"/>
          <w:sz w:val="21"/>
          <w:szCs w:val="21"/>
          <w:b w:val="1"/>
          <w:bCs w:val="1"/>
          <w:color w:val="auto"/>
        </w:rPr>
        <w:t>Upstream License Agreement</w:t>
      </w:r>
      <w:r>
        <w:rPr>
          <w:rFonts w:ascii="Times New Roman" w:cs="Times New Roman" w:eastAsia="Times New Roman" w:hAnsi="Times New Roman"/>
          <w:sz w:val="21"/>
          <w:szCs w:val="21"/>
          <w:color w:val="auto"/>
        </w:rPr>
        <w:t>”), then Nurix will promptly provide Seagen with written notice and a copy of the applicable Upstream License Agreement. To the extent that such Upstream License Agreement provides an in-license of or rights to Patents, Know-How or other intellectual property that are necessary or reasonably useful to practice Nurix Background IP (“</w:t>
      </w:r>
      <w:r>
        <w:rPr>
          <w:rFonts w:ascii="Times New Roman" w:cs="Times New Roman" w:eastAsia="Times New Roman" w:hAnsi="Times New Roman"/>
          <w:sz w:val="21"/>
          <w:szCs w:val="21"/>
          <w:b w:val="1"/>
          <w:bCs w:val="1"/>
          <w:color w:val="auto"/>
        </w:rPr>
        <w:t>Nurix Background In-Licensed IP</w:t>
      </w:r>
      <w:r>
        <w:rPr>
          <w:rFonts w:ascii="Times New Roman" w:cs="Times New Roman" w:eastAsia="Times New Roman" w:hAnsi="Times New Roman"/>
          <w:sz w:val="21"/>
          <w:szCs w:val="21"/>
          <w:color w:val="auto"/>
        </w:rPr>
        <w:t>”), such Nurix Background In-Licensed IP shall automatically, upon Nurix’s execution of such Upstream License Agreement, constitute Nurix IP (sub)licensed to Seagen under and in accordance with the terms of this Agreement. If such Upstream License Agreement provides an in-license of or rights to any Patents, Know-How or other intellectual property that are necessary or reasonably useful to practice Nurix Foreground IP but are not included in the Nurix Background In-Licensed IP (“</w:t>
      </w:r>
      <w:r>
        <w:rPr>
          <w:rFonts w:ascii="Times New Roman" w:cs="Times New Roman" w:eastAsia="Times New Roman" w:hAnsi="Times New Roman"/>
          <w:sz w:val="21"/>
          <w:szCs w:val="21"/>
          <w:b w:val="1"/>
          <w:bCs w:val="1"/>
          <w:color w:val="auto"/>
        </w:rPr>
        <w:t>Nurix Foreground In-Licensed IP</w:t>
      </w:r>
      <w:r>
        <w:rPr>
          <w:rFonts w:ascii="Times New Roman" w:cs="Times New Roman" w:eastAsia="Times New Roman" w:hAnsi="Times New Roman"/>
          <w:sz w:val="21"/>
          <w:szCs w:val="21"/>
          <w:color w:val="auto"/>
        </w:rPr>
        <w:t>”), then within thirty (30) days following receipt of such notice, Seagen will decide, in its sole discretion, whether or not to accept such Nurix Foreground In-Licensed IP as Nurix IP (sub)licensed to Seagen under this Agreement and provide Nurix written notice of such decision. In the event of acceptance by Seagen in accordance with the foregoing, such Nurix Foreground In-Licensed IP will constitute Nurix IP (sub)licensed to Seagen under and in accordance with the terms of this Agreement so long as Seagen complies with the terms of this Section 12.3 (Upstream License Agreements). Seagen shall pay Nurix for any payments arising in connection with any Nurix Foreground In-Licensed IP so accepted by Seagen that occur solely as a result of the activities of Seagen, its Affiliates or Sublicensees under this Agreement, such payment to be made by Seagen within [*] days following Seagen’s receipt of an invoice therefor. For the avoidance of doubt, the foregoing payment obligation shall only apply to use by Seagen, its Affiliates or Sublicensees of Nurix Foreground In-Licensed IP (to the extent applicable) and Seagen shall have no payment obligations with respect to any Nurix Background In-Licensed IP (which are and shall remain the sole responsibility of Nurix). In the event that Seagen does not so accept a (sub)license under Nurix Foreground In-Licensed IP with respect to an Upstream License Agreement (including by failing to respond within the applicable thirty (30) day period), then Seagen and its Affiliates and Sublicensees will have no payment obligations with respect to such Upstream License Agreement, and such Nurix Foreground In-Licensed IP licensed to Nurix under such Upstream License Agreement shall not be Controlled by Nurix, shall not be Nurix Foreground IP, and shall not be (sub)licensed to Seagen under this Agreement. For the avoidance of doubt, this Section 12.3 (Upstream License Agreements) shall not require Nurix to enter into any Upstream License Agreement.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TERMS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Upfront Consideration</w:t>
      </w:r>
      <w:r>
        <w:rPr>
          <w:rFonts w:ascii="Times New Roman" w:cs="Times New Roman" w:eastAsia="Times New Roman" w:hAnsi="Times New Roman"/>
          <w:sz w:val="22"/>
          <w:szCs w:val="22"/>
          <w:color w:val="auto"/>
        </w:rPr>
        <w:t>. No later than [*] after the Effective Date, Seagen shall pay to Nurix a one (1) time payment of sixty million dollars ($60,000,000) in immediately available funds by wire transfer, in accordance with the Wire Instructions.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Joint Research Term Extension Fee</w:t>
      </w:r>
      <w:r>
        <w:rPr>
          <w:rFonts w:ascii="Times New Roman" w:cs="Times New Roman" w:eastAsia="Times New Roman" w:hAnsi="Times New Roman"/>
          <w:sz w:val="22"/>
          <w:szCs w:val="22"/>
          <w:color w:val="auto"/>
        </w:rPr>
        <w:t>. Subject to the terms and conditions herein, on a Collaboration Degrader Target Set-by-Collaboration Degrader Target Set basis, if Seagen wishes to extend the applicable Joint Research Term pursuant to Section 4.3 (Joint Research Term Extension), Seagen shall make a one (1) time payment to Nurix of [*]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222" w:name="page223"/>
    <w:bookmarkEnd w:id="222"/>
    <w:p>
      <w:pPr>
        <w:jc w:val="both"/>
        <w:spacing w:after="0" w:line="236" w:lineRule="auto"/>
        <w:rPr>
          <w:sz w:val="20"/>
          <w:szCs w:val="20"/>
          <w:color w:val="auto"/>
        </w:rPr>
      </w:pPr>
      <w:r>
        <w:rPr>
          <w:rFonts w:ascii="Times New Roman" w:cs="Times New Roman" w:eastAsia="Times New Roman" w:hAnsi="Times New Roman"/>
          <w:sz w:val="22"/>
          <w:szCs w:val="22"/>
          <w:color w:val="auto"/>
        </w:rPr>
        <w:t>immediately available funds by wire transfer, in accordance with the Wire Instructions, for each Joint Research Term Extension pursuant to Section 4.3 (Joint Research Term Extension) (the “</w:t>
      </w:r>
      <w:r>
        <w:rPr>
          <w:rFonts w:ascii="Times New Roman" w:cs="Times New Roman" w:eastAsia="Times New Roman" w:hAnsi="Times New Roman"/>
          <w:sz w:val="22"/>
          <w:szCs w:val="22"/>
          <w:b w:val="1"/>
          <w:bCs w:val="1"/>
          <w:color w:val="auto"/>
        </w:rPr>
        <w:t>Joint Research Term Extension Fee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b w:val="1"/>
          <w:bCs w:val="1"/>
          <w:color w:val="auto"/>
        </w:rPr>
        <w:t>Degrader Target Set</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b w:val="1"/>
          <w:bCs w:val="1"/>
          <w:color w:val="auto"/>
        </w:rPr>
        <w:t>Reservation Fee</w:t>
      </w:r>
      <w:r>
        <w:rPr>
          <w:rFonts w:ascii="Times New Roman" w:cs="Times New Roman" w:eastAsia="Times New Roman" w:hAnsi="Times New Roman"/>
          <w:sz w:val="21"/>
          <w:szCs w:val="21"/>
          <w:color w:val="auto"/>
        </w:rPr>
        <w:t>. For each Reservation Period with respect to a given Reserved Degrader Target Set, Seagen shall pay Nurix [*]. Such payment shall be made (a) for the initial designation of the Reserved Degrader Target Set, within [*] Business Days after the designation of such Reserved Degrader Target Set, or (b) for an extension of a Reservation Period, [*] Business Days prior to the expiration of the Reservation Period for the applicable Reserved Degrader Target Set (each such payment a “</w:t>
      </w:r>
      <w:r>
        <w:rPr>
          <w:rFonts w:ascii="Times New Roman" w:cs="Times New Roman" w:eastAsia="Times New Roman" w:hAnsi="Times New Roman"/>
          <w:sz w:val="21"/>
          <w:szCs w:val="21"/>
          <w:b w:val="1"/>
          <w:bCs w:val="1"/>
          <w:color w:val="auto"/>
        </w:rPr>
        <w:t>Degrader Target Set</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b w:val="1"/>
          <w:bCs w:val="1"/>
          <w:color w:val="auto"/>
        </w:rPr>
        <w:t>Reservation Fee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with respect to any Reserved Degrader Target Set, if the applicable Proposed Degrader Target Set Notice or Degrader Target Set Reservation Extension Notice is delivered [*], the Degrader Target Set [*] Reservation Fee payable by Seagen shall be a prorated amount equal to [*].</w:t>
      </w:r>
    </w:p>
    <w:p>
      <w:pPr>
        <w:spacing w:after="0" w:line="15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b w:val="1"/>
          <w:bCs w:val="1"/>
          <w:color w:val="auto"/>
        </w:rPr>
        <w:t>Research Milestones</w:t>
      </w:r>
      <w:r>
        <w:rPr>
          <w:rFonts w:ascii="Times New Roman" w:cs="Times New Roman" w:eastAsia="Times New Roman" w:hAnsi="Times New Roman"/>
          <w:sz w:val="22"/>
          <w:szCs w:val="22"/>
          <w:color w:val="auto"/>
        </w:rPr>
        <w:t>. Subject to the terms and conditions herein (including this Section 13.4 (Research Milestones) and Section 13.11 (Additional Payment Terms)), and on a Collaboration Degrader Target Set-by-Collaboration Degrader Target Set basis, Seagen shall pay the applicable amount set forth in the table below in this Section 13.4 (Research Milestones) (each a “</w:t>
      </w:r>
      <w:r>
        <w:rPr>
          <w:rFonts w:ascii="Times New Roman" w:cs="Times New Roman" w:eastAsia="Times New Roman" w:hAnsi="Times New Roman"/>
          <w:sz w:val="22"/>
          <w:szCs w:val="22"/>
          <w:b w:val="1"/>
          <w:bCs w:val="1"/>
          <w:color w:val="auto"/>
        </w:rPr>
        <w:t>Research Milestone Payment</w:t>
      </w:r>
      <w:r>
        <w:rPr>
          <w:rFonts w:ascii="Times New Roman" w:cs="Times New Roman" w:eastAsia="Times New Roman" w:hAnsi="Times New Roman"/>
          <w:sz w:val="22"/>
          <w:szCs w:val="22"/>
          <w:color w:val="auto"/>
        </w:rPr>
        <w:t>”) associated with the corresponding milestone event (“</w:t>
      </w:r>
      <w:r>
        <w:rPr>
          <w:rFonts w:ascii="Times New Roman" w:cs="Times New Roman" w:eastAsia="Times New Roman" w:hAnsi="Times New Roman"/>
          <w:sz w:val="22"/>
          <w:szCs w:val="22"/>
          <w:b w:val="1"/>
          <w:bCs w:val="1"/>
          <w:color w:val="auto"/>
        </w:rPr>
        <w:t>Research 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w:t>
      </w:r>
      <w:r>
        <w:rPr>
          <w:rFonts w:ascii="Times New Roman" w:cs="Times New Roman" w:eastAsia="Times New Roman" w:hAnsi="Times New Roman"/>
          <w:sz w:val="22"/>
          <w:szCs w:val="22"/>
          <w:color w:val="auto"/>
        </w:rPr>
        <w:t>”) set forth opposite such Research Milestone Payment in the table below, in each case, once upon first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Research Milestone Event with respect to a Collaboration Degrader Target Set:</w:t>
      </w:r>
    </w:p>
    <w:p>
      <w:pPr>
        <w:spacing w:after="0" w:line="198" w:lineRule="exact"/>
        <w:rPr>
          <w:sz w:val="20"/>
          <w:szCs w:val="20"/>
          <w:color w:val="auto"/>
        </w:rPr>
      </w:pPr>
    </w:p>
    <w:tbl>
      <w:tblPr>
        <w:tblLayout w:type="fixed"/>
        <w:tblInd w:w="590" w:type="dxa"/>
        <w:tblCellMar>
          <w:top w:w="0" w:type="dxa"/>
          <w:left w:w="0" w:type="dxa"/>
          <w:bottom w:w="0" w:type="dxa"/>
          <w:right w:w="0" w:type="dxa"/>
        </w:tblCellMar>
      </w:tblPr>
      <w:tr>
        <w:trPr>
          <w:trHeight w:val="216"/>
        </w:trPr>
        <w:tc>
          <w:tcPr>
            <w:tcW w:w="7080" w:type="dxa"/>
            <w:vAlign w:val="bottom"/>
            <w:tcBorders>
              <w:top w:val="single" w:sz="8" w:color="auto"/>
              <w:left w:val="single" w:sz="8" w:color="auto"/>
              <w:right w:val="single" w:sz="8" w:color="auto"/>
            </w:tcBorders>
            <w:shd w:val="clear" w:color="auto" w:fill="D9D9D9"/>
          </w:tcPr>
          <w:p>
            <w:pPr>
              <w:jc w:val="right"/>
              <w:ind w:right="4532"/>
              <w:spacing w:after="0" w:line="216" w:lineRule="exact"/>
              <w:rPr>
                <w:sz w:val="20"/>
                <w:szCs w:val="20"/>
                <w:color w:val="auto"/>
              </w:rPr>
            </w:pPr>
            <w:r>
              <w:rPr>
                <w:rFonts w:ascii="Times New Roman" w:cs="Times New Roman" w:eastAsia="Times New Roman" w:hAnsi="Times New Roman"/>
                <w:sz w:val="22"/>
                <w:szCs w:val="22"/>
                <w:b w:val="1"/>
                <w:bCs w:val="1"/>
                <w:color w:val="auto"/>
                <w:w w:val="98"/>
              </w:rPr>
              <w:t>Research Milestone Event</w:t>
            </w:r>
          </w:p>
        </w:tc>
        <w:tc>
          <w:tcPr>
            <w:tcW w:w="2120" w:type="dxa"/>
            <w:vAlign w:val="bottom"/>
            <w:tcBorders>
              <w:top w:val="single" w:sz="8" w:color="auto"/>
              <w:right w:val="single" w:sz="8" w:color="auto"/>
            </w:tcBorders>
            <w:shd w:val="clear" w:color="auto" w:fill="D9D9D9"/>
          </w:tcPr>
          <w:p>
            <w:pPr>
              <w:ind w:left="20"/>
              <w:spacing w:after="0" w:line="216" w:lineRule="exact"/>
              <w:rPr>
                <w:sz w:val="20"/>
                <w:szCs w:val="20"/>
                <w:color w:val="auto"/>
              </w:rPr>
            </w:pPr>
            <w:r>
              <w:rPr>
                <w:rFonts w:ascii="Times New Roman" w:cs="Times New Roman" w:eastAsia="Times New Roman" w:hAnsi="Times New Roman"/>
                <w:sz w:val="22"/>
                <w:szCs w:val="22"/>
                <w:b w:val="1"/>
                <w:bCs w:val="1"/>
                <w:color w:val="auto"/>
              </w:rPr>
              <w:t>Research   Milestone</w:t>
            </w:r>
          </w:p>
        </w:tc>
        <w:tc>
          <w:tcPr>
            <w:tcW w:w="0" w:type="dxa"/>
            <w:vAlign w:val="bottom"/>
          </w:tcPr>
          <w:p>
            <w:pPr>
              <w:spacing w:after="0"/>
              <w:rPr>
                <w:sz w:val="1"/>
                <w:szCs w:val="1"/>
                <w:color w:val="auto"/>
              </w:rPr>
            </w:pPr>
          </w:p>
        </w:tc>
      </w:tr>
      <w:tr>
        <w:trPr>
          <w:trHeight w:val="283"/>
        </w:trPr>
        <w:tc>
          <w:tcPr>
            <w:tcW w:w="708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21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0" w:type="dxa"/>
            <w:vAlign w:val="bottom"/>
          </w:tcPr>
          <w:p>
            <w:pPr>
              <w:spacing w:after="0"/>
              <w:rPr>
                <w:sz w:val="1"/>
                <w:szCs w:val="1"/>
                <w:color w:val="auto"/>
              </w:rPr>
            </w:pPr>
          </w:p>
        </w:tc>
      </w:tr>
      <w:tr>
        <w:trPr>
          <w:trHeight w:val="276"/>
        </w:trPr>
        <w:tc>
          <w:tcPr>
            <w:tcW w:w="7080" w:type="dxa"/>
            <w:vAlign w:val="bottom"/>
            <w:tcBorders>
              <w:left w:val="single" w:sz="8" w:color="auto"/>
              <w:right w:val="single" w:sz="8" w:color="auto"/>
            </w:tcBorders>
            <w:vMerge w:val="restart"/>
          </w:tcPr>
          <w:p>
            <w:pPr>
              <w:jc w:val="right"/>
              <w:ind w:right="6332"/>
              <w:spacing w:after="0"/>
              <w:rPr>
                <w:sz w:val="20"/>
                <w:szCs w:val="20"/>
                <w:color w:val="auto"/>
              </w:rPr>
            </w:pPr>
            <w:r>
              <w:rPr>
                <w:rFonts w:ascii="Times New Roman" w:cs="Times New Roman" w:eastAsia="Times New Roman" w:hAnsi="Times New Roman"/>
                <w:sz w:val="22"/>
                <w:szCs w:val="22"/>
                <w:color w:val="auto"/>
              </w:rPr>
              <w:t>(1) [*]</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94"/>
        </w:trPr>
        <w:tc>
          <w:tcPr>
            <w:tcW w:w="7080" w:type="dxa"/>
            <w:vAlign w:val="bottom"/>
            <w:tcBorders>
              <w:left w:val="single" w:sz="8" w:color="auto"/>
              <w:right w:val="single" w:sz="8" w:color="auto"/>
            </w:tcBorders>
            <w:vMerge w:val="continue"/>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8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80" w:type="dxa"/>
            <w:vAlign w:val="bottom"/>
            <w:tcBorders>
              <w:left w:val="single" w:sz="8" w:color="auto"/>
              <w:right w:val="single" w:sz="8" w:color="auto"/>
            </w:tcBorders>
            <w:vMerge w:val="restart"/>
          </w:tcPr>
          <w:p>
            <w:pPr>
              <w:jc w:val="right"/>
              <w:ind w:right="6332"/>
              <w:spacing w:after="0"/>
              <w:rPr>
                <w:sz w:val="20"/>
                <w:szCs w:val="20"/>
                <w:color w:val="auto"/>
              </w:rPr>
            </w:pPr>
            <w:r>
              <w:rPr>
                <w:rFonts w:ascii="Times New Roman" w:cs="Times New Roman" w:eastAsia="Times New Roman" w:hAnsi="Times New Roman"/>
                <w:sz w:val="22"/>
                <w:szCs w:val="22"/>
                <w:color w:val="auto"/>
              </w:rPr>
              <w:t>(2) [*]</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94"/>
        </w:trPr>
        <w:tc>
          <w:tcPr>
            <w:tcW w:w="7080" w:type="dxa"/>
            <w:vAlign w:val="bottom"/>
            <w:tcBorders>
              <w:left w:val="single" w:sz="8" w:color="auto"/>
              <w:right w:val="single" w:sz="8" w:color="auto"/>
            </w:tcBorders>
            <w:vMerge w:val="continue"/>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8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80" w:type="dxa"/>
            <w:vAlign w:val="bottom"/>
            <w:tcBorders>
              <w:left w:val="single" w:sz="8" w:color="auto"/>
              <w:right w:val="single" w:sz="8" w:color="auto"/>
            </w:tcBorders>
            <w:vMerge w:val="restart"/>
          </w:tcPr>
          <w:p>
            <w:pPr>
              <w:jc w:val="right"/>
              <w:ind w:right="6332"/>
              <w:spacing w:after="0"/>
              <w:rPr>
                <w:sz w:val="20"/>
                <w:szCs w:val="20"/>
                <w:color w:val="auto"/>
              </w:rPr>
            </w:pPr>
            <w:r>
              <w:rPr>
                <w:rFonts w:ascii="Times New Roman" w:cs="Times New Roman" w:eastAsia="Times New Roman" w:hAnsi="Times New Roman"/>
                <w:sz w:val="22"/>
                <w:szCs w:val="22"/>
                <w:color w:val="auto"/>
              </w:rPr>
              <w:t>(3) [*]</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94"/>
        </w:trPr>
        <w:tc>
          <w:tcPr>
            <w:tcW w:w="7080" w:type="dxa"/>
            <w:vAlign w:val="bottom"/>
            <w:tcBorders>
              <w:left w:val="single" w:sz="8" w:color="auto"/>
              <w:right w:val="single" w:sz="8" w:color="auto"/>
            </w:tcBorders>
            <w:vMerge w:val="continue"/>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8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80" w:type="dxa"/>
            <w:vAlign w:val="bottom"/>
            <w:tcBorders>
              <w:left w:val="single" w:sz="8" w:color="auto"/>
              <w:right w:val="single" w:sz="8" w:color="auto"/>
            </w:tcBorders>
            <w:vMerge w:val="restart"/>
          </w:tcPr>
          <w:p>
            <w:pPr>
              <w:jc w:val="right"/>
              <w:ind w:right="6332"/>
              <w:spacing w:after="0"/>
              <w:rPr>
                <w:sz w:val="20"/>
                <w:szCs w:val="20"/>
                <w:color w:val="auto"/>
              </w:rPr>
            </w:pPr>
            <w:r>
              <w:rPr>
                <w:rFonts w:ascii="Times New Roman" w:cs="Times New Roman" w:eastAsia="Times New Roman" w:hAnsi="Times New Roman"/>
                <w:sz w:val="22"/>
                <w:szCs w:val="22"/>
                <w:color w:val="auto"/>
              </w:rPr>
              <w:t>(4) [*]</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94"/>
        </w:trPr>
        <w:tc>
          <w:tcPr>
            <w:tcW w:w="7080" w:type="dxa"/>
            <w:vAlign w:val="bottom"/>
            <w:tcBorders>
              <w:left w:val="single" w:sz="8" w:color="auto"/>
              <w:right w:val="single" w:sz="8" w:color="auto"/>
            </w:tcBorders>
            <w:vMerge w:val="continue"/>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8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anything to the contrary contained in this Agreement, [*].</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b w:val="1"/>
          <w:bCs w:val="1"/>
          <w:color w:val="auto"/>
        </w:rPr>
        <w:t>Degrader License Option Period Extension Fee</w:t>
      </w:r>
      <w:r>
        <w:rPr>
          <w:rFonts w:ascii="Times New Roman" w:cs="Times New Roman" w:eastAsia="Times New Roman" w:hAnsi="Times New Roman"/>
          <w:sz w:val="21"/>
          <w:szCs w:val="21"/>
          <w:color w:val="auto"/>
        </w:rPr>
        <w:t>. Subject to the terms and conditions herein and on a Collaboration Degrader Target Set-by-Collaboration Degrader Target Set basis, if Seagen wishes to extend the Degrader License Option Period for such Collaboration Degrader Target Set pursuant to Section 5.3 (Degrader License Option Period Extension), Seagen shall make a one (1) time payment to Nurix of [*] in immediately available funds by wire transfer, in accordance with the Wire Instructions, for each Degrader License Option Period Extension exercised by Seagen pursuant to Section 5.3 (Degrader License Option Period Extension) (each, a “</w:t>
      </w:r>
      <w:r>
        <w:rPr>
          <w:rFonts w:ascii="Times New Roman" w:cs="Times New Roman" w:eastAsia="Times New Roman" w:hAnsi="Times New Roman"/>
          <w:sz w:val="21"/>
          <w:szCs w:val="21"/>
          <w:b w:val="1"/>
          <w:bCs w:val="1"/>
          <w:color w:val="auto"/>
        </w:rPr>
        <w:t>Degrader License Option Period Extension Fee</w:t>
      </w:r>
      <w:r>
        <w:rPr>
          <w:rFonts w:ascii="Times New Roman" w:cs="Times New Roman" w:eastAsia="Times New Roman" w:hAnsi="Times New Roman"/>
          <w:sz w:val="21"/>
          <w:szCs w:val="21"/>
          <w:color w:val="auto"/>
        </w:rPr>
        <w:t>”), such payment to be made no later than [*] following delivery of the written notice described in Section 5.3 (Degrader License Option Period Extension).</w:t>
      </w:r>
    </w:p>
    <w:p>
      <w:pPr>
        <w:spacing w:after="0" w:line="15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b w:val="1"/>
          <w:bCs w:val="1"/>
          <w:color w:val="auto"/>
        </w:rPr>
        <w:t>Degrader License Fee</w:t>
      </w:r>
      <w:r>
        <w:rPr>
          <w:rFonts w:ascii="Times New Roman" w:cs="Times New Roman" w:eastAsia="Times New Roman" w:hAnsi="Times New Roman"/>
          <w:sz w:val="22"/>
          <w:szCs w:val="22"/>
          <w:color w:val="auto"/>
        </w:rPr>
        <w:t>. Subject to the terms and conditions herein and on a Collaboration Degrader Target Set-by-Collaboration Degrader Target Set basis, in the event that Seagen exercises a Degrader License Option with respect to such Collaboration Degrader Target Set as further described in Section 5.2 (Degrader License Option Exercise), Seagen shall pay to Nurix a one (1) time payment of [*] in immediately available funds by wire transfer, in accordance with the Wire Instructions, no later than [*] following the applicable Degrader License Effective Date (each, a “</w:t>
      </w:r>
      <w:r>
        <w:rPr>
          <w:rFonts w:ascii="Times New Roman" w:cs="Times New Roman" w:eastAsia="Times New Roman" w:hAnsi="Times New Roman"/>
          <w:sz w:val="22"/>
          <w:szCs w:val="22"/>
          <w:b w:val="1"/>
          <w:bCs w:val="1"/>
          <w:color w:val="auto"/>
        </w:rPr>
        <w:t>Degrader License Fee</w:t>
      </w:r>
      <w:r>
        <w:rPr>
          <w:rFonts w:ascii="Times New Roman" w:cs="Times New Roman" w:eastAsia="Times New Roman" w:hAnsi="Times New Roman"/>
          <w:sz w:val="22"/>
          <w:szCs w:val="22"/>
          <w:color w:val="auto"/>
        </w:rPr>
        <w:t>”). Notwithstanding the foregoing, (a) if Seagen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223" w:name="page224"/>
    <w:bookmarkEnd w:id="223"/>
    <w:p>
      <w:pPr>
        <w:jc w:val="both"/>
        <w:spacing w:after="0" w:line="215" w:lineRule="auto"/>
        <w:rPr>
          <w:sz w:val="20"/>
          <w:szCs w:val="20"/>
          <w:color w:val="auto"/>
        </w:rPr>
      </w:pPr>
      <w:r>
        <w:rPr>
          <w:rFonts w:ascii="Times New Roman" w:cs="Times New Roman" w:eastAsia="Times New Roman" w:hAnsi="Times New Roman"/>
          <w:sz w:val="22"/>
          <w:szCs w:val="22"/>
          <w:color w:val="auto"/>
        </w:rPr>
        <w:t>exercised the Degrader License Option for a Collaboration Degrader Target Set in accordance with Section 5.2 (Degrader License Option Exercise) prior to the achievement of [*] for such Collaboration Degrader Target, then [*] payment shall not be payable with respect to such Collaboration Degrader Target Set, and (b) if Seagen has paid the [*] for a Collaboration Degrader Target Set prior to the exercise of the Degrader License Option for such Collaboration Degrader Target Set, then the applicable Degrader License Fee for such Collaboration Degrader Target Set will be deemed to have been paid with respect to such Collaboration Degrader Target Set.</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13.7 </w:t>
      </w:r>
      <w:r>
        <w:rPr>
          <w:rFonts w:ascii="Times New Roman" w:cs="Times New Roman" w:eastAsia="Times New Roman" w:hAnsi="Times New Roman"/>
          <w:sz w:val="21"/>
          <w:szCs w:val="21"/>
          <w:b w:val="1"/>
          <w:bCs w:val="1"/>
          <w:color w:val="auto"/>
        </w:rPr>
        <w:t>Development and Regulatory Milestones</w:t>
      </w:r>
      <w:r>
        <w:rPr>
          <w:rFonts w:ascii="Times New Roman" w:cs="Times New Roman" w:eastAsia="Times New Roman" w:hAnsi="Times New Roman"/>
          <w:sz w:val="21"/>
          <w:szCs w:val="21"/>
          <w:color w:val="auto"/>
        </w:rPr>
        <w:t>. Subject to the terms and conditions herein (including this Section 13.7 (Development and Regulatory Milestones), Section 13.11 (Additional Payment Terms) and, in the event Nurix exercises a Profit-Share Option, Section 11.2.3 (Profit-Share Products) and Section 11.2.4 (Milestone Payments Related to the Profit-Share Triggering Events), as applicable), and on a Licensed Product-by-Licensed Product basis, Seagen shall pay the applicable amount set forth in the table below in this Section 13.7 (Development and Regulatory Milestones) associated with the corresponding milestone event set forth opposite such payment in the table below, in each case, once upon first achievement (including by any Affiliate of Seagen or any Sublicensee) of the applicable Development and Regulatory Milestone Event with respect to a Licensed Product (each event described in #1-#10 in the table below, a “</w:t>
      </w:r>
      <w:r>
        <w:rPr>
          <w:rFonts w:ascii="Times New Roman" w:cs="Times New Roman" w:eastAsia="Times New Roman" w:hAnsi="Times New Roman"/>
          <w:sz w:val="21"/>
          <w:szCs w:val="21"/>
          <w:b w:val="1"/>
          <w:bCs w:val="1"/>
          <w:color w:val="auto"/>
        </w:rPr>
        <w:t>Development and Regulatory Milestone Event</w:t>
      </w:r>
      <w:r>
        <w:rPr>
          <w:rFonts w:ascii="Times New Roman" w:cs="Times New Roman" w:eastAsia="Times New Roman" w:hAnsi="Times New Roman"/>
          <w:sz w:val="21"/>
          <w:szCs w:val="21"/>
          <w:color w:val="auto"/>
        </w:rPr>
        <w:t>,” and each respective payment, a “</w:t>
      </w:r>
      <w:r>
        <w:rPr>
          <w:rFonts w:ascii="Times New Roman" w:cs="Times New Roman" w:eastAsia="Times New Roman" w:hAnsi="Times New Roman"/>
          <w:sz w:val="21"/>
          <w:szCs w:val="21"/>
          <w:b w:val="1"/>
          <w:bCs w:val="1"/>
          <w:color w:val="auto"/>
        </w:rPr>
        <w:t>Development and Regulatory Milestone Payment</w:t>
      </w:r>
      <w:r>
        <w:rPr>
          <w:rFonts w:ascii="Times New Roman" w:cs="Times New Roman" w:eastAsia="Times New Roman" w:hAnsi="Times New Roman"/>
          <w:sz w:val="21"/>
          <w:szCs w:val="21"/>
          <w:color w:val="auto"/>
        </w:rPr>
        <w:t>”) under this Agreement for a Licensed Product:</w:t>
      </w:r>
    </w:p>
    <w:p>
      <w:pPr>
        <w:spacing w:after="0" w:line="202" w:lineRule="exact"/>
        <w:rPr>
          <w:sz w:val="20"/>
          <w:szCs w:val="20"/>
          <w:color w:val="auto"/>
        </w:rPr>
      </w:pPr>
    </w:p>
    <w:tbl>
      <w:tblPr>
        <w:tblLayout w:type="fixed"/>
        <w:tblInd w:w="210" w:type="dxa"/>
        <w:tblCellMar>
          <w:top w:w="0" w:type="dxa"/>
          <w:left w:w="0" w:type="dxa"/>
          <w:bottom w:w="0" w:type="dxa"/>
          <w:right w:w="0" w:type="dxa"/>
        </w:tblCellMar>
      </w:tblPr>
      <w:tr>
        <w:trPr>
          <w:trHeight w:val="300"/>
        </w:trPr>
        <w:tc>
          <w:tcPr>
            <w:tcW w:w="580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2"/>
                <w:szCs w:val="22"/>
                <w:b w:val="1"/>
                <w:bCs w:val="1"/>
                <w:color w:val="auto"/>
              </w:rPr>
              <w:t>Development and Regulatory Milestone Event</w:t>
            </w:r>
          </w:p>
        </w:tc>
        <w:tc>
          <w:tcPr>
            <w:tcW w:w="4760" w:type="dxa"/>
            <w:vAlign w:val="bottom"/>
            <w:tcBorders>
              <w:top w:val="single" w:sz="8" w:color="auto"/>
              <w:right w:val="single" w:sz="8" w:color="auto"/>
            </w:tcBorders>
            <w:vMerge w:val="restart"/>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Development and Regulatory Milestone Payment</w:t>
            </w:r>
          </w:p>
        </w:tc>
        <w:tc>
          <w:tcPr>
            <w:tcW w:w="0" w:type="dxa"/>
            <w:vAlign w:val="bottom"/>
          </w:tcPr>
          <w:p>
            <w:pPr>
              <w:spacing w:after="0"/>
              <w:rPr>
                <w:sz w:val="1"/>
                <w:szCs w:val="1"/>
                <w:color w:val="auto"/>
              </w:rPr>
            </w:pPr>
          </w:p>
        </w:tc>
      </w:tr>
      <w:tr>
        <w:trPr>
          <w:trHeight w:val="24"/>
        </w:trPr>
        <w:tc>
          <w:tcPr>
            <w:tcW w:w="5800" w:type="dxa"/>
            <w:vAlign w:val="bottom"/>
            <w:tcBorders>
              <w:left w:val="single" w:sz="8" w:color="auto"/>
              <w:right w:val="single" w:sz="8" w:color="auto"/>
            </w:tcBorders>
            <w:shd w:val="clear" w:color="auto" w:fill="D9D9D9"/>
          </w:tcPr>
          <w:p>
            <w:pPr>
              <w:spacing w:after="0"/>
              <w:rPr>
                <w:sz w:val="2"/>
                <w:szCs w:val="2"/>
                <w:color w:val="auto"/>
              </w:rPr>
            </w:pPr>
          </w:p>
        </w:tc>
        <w:tc>
          <w:tcPr>
            <w:tcW w:w="4760" w:type="dxa"/>
            <w:vAlign w:val="bottom"/>
            <w:tcBorders>
              <w:right w:val="single" w:sz="8" w:color="auto"/>
            </w:tcBorders>
            <w:vMerge w:val="continue"/>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tcBorders>
              <w:left w:val="single" w:sz="8" w:color="auto"/>
              <w:right w:val="single" w:sz="8" w:color="auto"/>
            </w:tcBorders>
            <w:shd w:val="clear" w:color="auto" w:fill="D9D9D9"/>
          </w:tcPr>
          <w:p>
            <w:pPr>
              <w:spacing w:after="0"/>
              <w:rPr>
                <w:sz w:val="18"/>
                <w:szCs w:val="18"/>
                <w:color w:val="auto"/>
              </w:rPr>
            </w:pPr>
          </w:p>
        </w:tc>
        <w:tc>
          <w:tcPr>
            <w:tcW w:w="4760" w:type="dxa"/>
            <w:vAlign w:val="bottom"/>
            <w:tcBorders>
              <w:right w:val="single" w:sz="8" w:color="auto"/>
            </w:tcBorders>
            <w:shd w:val="clear" w:color="auto" w:fill="D9D9D9"/>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due upon first achievement of the milestone by a</w:t>
            </w:r>
          </w:p>
        </w:tc>
        <w:tc>
          <w:tcPr>
            <w:tcW w:w="0" w:type="dxa"/>
            <w:vAlign w:val="bottom"/>
          </w:tcPr>
          <w:p>
            <w:pPr>
              <w:spacing w:after="0"/>
              <w:rPr>
                <w:sz w:val="1"/>
                <w:szCs w:val="1"/>
                <w:color w:val="auto"/>
              </w:rPr>
            </w:pPr>
          </w:p>
        </w:tc>
      </w:tr>
      <w:tr>
        <w:trPr>
          <w:trHeight w:val="216"/>
        </w:trPr>
        <w:tc>
          <w:tcPr>
            <w:tcW w:w="5800" w:type="dxa"/>
            <w:vAlign w:val="bottom"/>
            <w:tcBorders>
              <w:left w:val="single" w:sz="8" w:color="auto"/>
              <w:right w:val="single" w:sz="8" w:color="auto"/>
            </w:tcBorders>
            <w:shd w:val="clear" w:color="auto" w:fill="D9D9D9"/>
          </w:tcPr>
          <w:p>
            <w:pPr>
              <w:spacing w:after="0"/>
              <w:rPr>
                <w:sz w:val="18"/>
                <w:szCs w:val="18"/>
                <w:color w:val="auto"/>
              </w:rPr>
            </w:pPr>
          </w:p>
        </w:tc>
        <w:tc>
          <w:tcPr>
            <w:tcW w:w="4760" w:type="dxa"/>
            <w:vAlign w:val="bottom"/>
            <w:tcBorders>
              <w:right w:val="single" w:sz="8" w:color="auto"/>
            </w:tcBorders>
            <w:shd w:val="clear" w:color="auto" w:fill="D9D9D9"/>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Licensed Product containing the applicable</w:t>
            </w:r>
          </w:p>
        </w:tc>
        <w:tc>
          <w:tcPr>
            <w:tcW w:w="0" w:type="dxa"/>
            <w:vAlign w:val="bottom"/>
          </w:tcPr>
          <w:p>
            <w:pPr>
              <w:spacing w:after="0"/>
              <w:rPr>
                <w:sz w:val="1"/>
                <w:szCs w:val="1"/>
                <w:color w:val="auto"/>
              </w:rPr>
            </w:pPr>
          </w:p>
        </w:tc>
      </w:tr>
      <w:tr>
        <w:trPr>
          <w:trHeight w:val="286"/>
        </w:trPr>
        <w:tc>
          <w:tcPr>
            <w:tcW w:w="5800" w:type="dxa"/>
            <w:vAlign w:val="bottom"/>
            <w:tcBorders>
              <w:left w:val="single" w:sz="8" w:color="auto"/>
              <w:right w:val="single" w:sz="8" w:color="auto"/>
            </w:tcBorders>
            <w:shd w:val="clear" w:color="auto" w:fill="D9D9D9"/>
          </w:tcPr>
          <w:p>
            <w:pPr>
              <w:spacing w:after="0"/>
              <w:rPr>
                <w:sz w:val="24"/>
                <w:szCs w:val="24"/>
                <w:color w:val="auto"/>
              </w:rPr>
            </w:pPr>
          </w:p>
        </w:tc>
        <w:tc>
          <w:tcPr>
            <w:tcW w:w="476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Licensed Degrader</w:t>
            </w:r>
          </w:p>
        </w:tc>
        <w:tc>
          <w:tcPr>
            <w:tcW w:w="0" w:type="dxa"/>
            <w:vAlign w:val="bottom"/>
          </w:tcPr>
          <w:p>
            <w:pPr>
              <w:spacing w:after="0"/>
              <w:rPr>
                <w:sz w:val="1"/>
                <w:szCs w:val="1"/>
                <w:color w:val="auto"/>
              </w:rPr>
            </w:pPr>
          </w:p>
        </w:tc>
      </w:tr>
      <w:tr>
        <w:trPr>
          <w:trHeight w:val="105"/>
        </w:trPr>
        <w:tc>
          <w:tcPr>
            <w:tcW w:w="58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47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(1)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(2)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(4)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(5)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(6)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(7)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(8)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(9)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5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(10) [*]</w:t>
            </w:r>
          </w:p>
        </w:tc>
        <w:tc>
          <w:tcPr>
            <w:tcW w:w="4760" w:type="dxa"/>
            <w:vAlign w:val="bottom"/>
            <w:tcBorders>
              <w:right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3"/>
              </w:rPr>
              <w:t>[*]</w:t>
            </w:r>
          </w:p>
        </w:tc>
        <w:tc>
          <w:tcPr>
            <w:tcW w:w="0" w:type="dxa"/>
            <w:vAlign w:val="bottom"/>
          </w:tcPr>
          <w:p>
            <w:pPr>
              <w:spacing w:after="0"/>
              <w:rPr>
                <w:sz w:val="1"/>
                <w:szCs w:val="1"/>
                <w:color w:val="auto"/>
              </w:rPr>
            </w:pPr>
          </w:p>
        </w:tc>
      </w:tr>
      <w:tr>
        <w:trPr>
          <w:trHeight w:val="94"/>
        </w:trPr>
        <w:tc>
          <w:tcPr>
            <w:tcW w:w="5800" w:type="dxa"/>
            <w:vAlign w:val="bottom"/>
            <w:tcBorders>
              <w:left w:val="single" w:sz="8" w:color="auto"/>
              <w:right w:val="single" w:sz="8" w:color="auto"/>
            </w:tcBorders>
            <w:vMerge w:val="continue"/>
          </w:tcPr>
          <w:p>
            <w:pPr>
              <w:spacing w:after="0"/>
              <w:rPr>
                <w:sz w:val="8"/>
                <w:szCs w:val="8"/>
                <w:color w:val="auto"/>
              </w:rPr>
            </w:pPr>
          </w:p>
        </w:tc>
        <w:tc>
          <w:tcPr>
            <w:tcW w:w="4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13.7.1 [*].</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13.7.2 Each Development and Regulatory Milestone Payment is payable up to a maximum of one (1) time per Licensed Product as set forth in the table above, upon first achievement of the applicable Development and Regulatory Milestone Event for such Licensed Product, regardless of the number of times the applicable Development and Regulatory Milestone Event is achieved with respect to such Licensed Product;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w:t>
      </w:r>
    </w:p>
    <w:p>
      <w:pPr>
        <w:spacing w:after="0" w:line="152" w:lineRule="exact"/>
        <w:rPr>
          <w:sz w:val="20"/>
          <w:szCs w:val="20"/>
          <w:color w:val="auto"/>
        </w:rPr>
      </w:pPr>
    </w:p>
    <w:p>
      <w:pPr>
        <w:ind w:left="660" w:firstLine="1292"/>
        <w:spacing w:after="0" w:line="236" w:lineRule="auto"/>
        <w:tabs>
          <w:tab w:leader="none" w:pos="260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aggregate amount payable by Seagen to Nurix with respect to all Development and Regulatory Milestone Events shall be [*];</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5" w:right="339" w:bottom="1440" w:gutter="0" w:footer="0" w:header="0"/>
          <w:type w:val="continuous"/>
        </w:sectPr>
      </w:pPr>
    </w:p>
    <w:bookmarkStart w:id="224" w:name="page225"/>
    <w:bookmarkEnd w:id="224"/>
    <w:p>
      <w:pPr>
        <w:jc w:val="both"/>
        <w:ind w:left="-460" w:firstLine="1292"/>
        <w:spacing w:after="0" w:line="228" w:lineRule="auto"/>
        <w:tabs>
          <w:tab w:leader="none" w:pos="147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a Development and Regulatory Milestone Event is achieved by a Licensed Product (including a Licensed Degrader-Antibody Conjugate) that contains one (1) or more specific Licensed Degrader(s), such Development and Regulatory Milestone Event is subsequently achieved by another distinct Licensed Product (as determined in accordance with Section 13.11.1 (Determining Same vs Distinct Licensed Products or Licensed Degraders for Milestones, Royalties, and Option-Triggering Events)) that contains the same Licensed Degrader(s) (as determined in accordance with Section 13.11.1 (Determining Same vs Distinct Licensed Products or Licensed Degraders for Milestones, Royalties, and Option-Triggering Events)), then the corresponding Development and Regulatory Milestone Payment shall be payable at an amount that is [*] of the amount listed above for such Development and Regulatory Milestone Payment. By way of example and not limitation, if a Licensed Product (“</w:t>
      </w:r>
      <w:r>
        <w:rPr>
          <w:rFonts w:ascii="Times New Roman" w:cs="Times New Roman" w:eastAsia="Times New Roman" w:hAnsi="Times New Roman"/>
          <w:sz w:val="21"/>
          <w:szCs w:val="21"/>
          <w:b w:val="1"/>
          <w:bCs w:val="1"/>
          <w:color w:val="auto"/>
        </w:rPr>
        <w:t>First Licensed Product</w:t>
      </w:r>
      <w:r>
        <w:rPr>
          <w:rFonts w:ascii="Times New Roman" w:cs="Times New Roman" w:eastAsia="Times New Roman" w:hAnsi="Times New Roman"/>
          <w:sz w:val="21"/>
          <w:szCs w:val="21"/>
          <w:color w:val="auto"/>
        </w:rPr>
        <w:t>”) contains the same Licensed Degrader that is contained in another Licensed Product (“</w:t>
      </w:r>
      <w:r>
        <w:rPr>
          <w:rFonts w:ascii="Times New Roman" w:cs="Times New Roman" w:eastAsia="Times New Roman" w:hAnsi="Times New Roman"/>
          <w:sz w:val="21"/>
          <w:szCs w:val="21"/>
          <w:b w:val="1"/>
          <w:bCs w:val="1"/>
          <w:color w:val="auto"/>
        </w:rPr>
        <w:t>Second Licensed Product</w:t>
      </w:r>
      <w:r>
        <w:rPr>
          <w:rFonts w:ascii="Times New Roman" w:cs="Times New Roman" w:eastAsia="Times New Roman" w:hAnsi="Times New Roman"/>
          <w:sz w:val="21"/>
          <w:szCs w:val="21"/>
          <w:color w:val="auto"/>
        </w:rPr>
        <w:t>”), and the Second Licensed Product achieves a Development and Regulatory Milestone Event that had previously been achieved by such First Licensed Product, then the applicable Development and Regulatory Milestone Payment for such achievement by the Second Licensed Product shall be [*] described in this Section 13.7.2(b). For clarity, (x) [*] shall apply to any Second Licensed Product that (i) was a Profit-Share Product prior to the Nurix Opt-Out Date for such Second Licensed Product, and (ii) achieves a Development and Regulatory Milestone Event after the applicable Nurix Opt-Out Date, regardless of when the First Licensed Product achieved the relevant Development and Regulatory Milestone Event (including if such achievement occurred while the Second Licensed Product was a Profit-Share Product), and (y) any Development and Regulatory Milestone Event achieved by a Profit-Share Product prior to the Nurix Opt-Out Date for such Profit-Share Product shall [*] for purposes of this Section 13.7.2(b)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if a Second Licensed Product achieves a Development and Regulatory Milestone Event after the achievement of such Development and Regulatory Milestone Event by a First Licensed Product that is a Profit-Share Product at the time of such achievement, the Milestone Payment for the achievement of such Development and Regulatory Milestone Event by the Second Licensed Product shall [*]);</w:t>
      </w:r>
    </w:p>
    <w:p>
      <w:pPr>
        <w:spacing w:after="0" w:line="150" w:lineRule="exact"/>
        <w:rPr>
          <w:rFonts w:ascii="Times New Roman" w:cs="Times New Roman" w:eastAsia="Times New Roman" w:hAnsi="Times New Roman"/>
          <w:sz w:val="21"/>
          <w:szCs w:val="21"/>
          <w:color w:val="auto"/>
        </w:rPr>
      </w:pPr>
    </w:p>
    <w:p>
      <w:pPr>
        <w:jc w:val="both"/>
        <w:ind w:left="-460" w:firstLine="1292"/>
        <w:spacing w:after="0" w:line="217" w:lineRule="auto"/>
        <w:tabs>
          <w:tab w:leader="none" w:pos="148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a Development and Regulatory Milestone Event is achieved by a Licensed Product that contains one (1) or more specific Licensed Degrader(s), such Development and Regulatory Milestone Event is subsequently achieved by another distinct Licensed Product that contains any distinct Licensed Degrader(s), then the corresponding Development and Regulatory Milestone Payment shall be payable at [*] of the amount listed above for such Development and Regulatory Milestone Payment;</w:t>
      </w:r>
    </w:p>
    <w:p>
      <w:pPr>
        <w:spacing w:after="0" w:line="152" w:lineRule="exact"/>
        <w:rPr>
          <w:rFonts w:ascii="Times New Roman" w:cs="Times New Roman" w:eastAsia="Times New Roman" w:hAnsi="Times New Roman"/>
          <w:sz w:val="22"/>
          <w:szCs w:val="22"/>
          <w:color w:val="auto"/>
        </w:rPr>
      </w:pPr>
    </w:p>
    <w:p>
      <w:pPr>
        <w:ind w:left="-460" w:right="20" w:firstLine="1292"/>
        <w:spacing w:after="0" w:line="236" w:lineRule="auto"/>
        <w:tabs>
          <w:tab w:leader="none" w:pos="147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Development and Regulatory Milestone Events [*], the achievement of [*] shall be deemed to include [*]; and</w:t>
      </w:r>
    </w:p>
    <w:p>
      <w:pPr>
        <w:spacing w:after="0" w:line="150" w:lineRule="exact"/>
        <w:rPr>
          <w:rFonts w:ascii="Times New Roman" w:cs="Times New Roman" w:eastAsia="Times New Roman" w:hAnsi="Times New Roman"/>
          <w:sz w:val="22"/>
          <w:szCs w:val="22"/>
          <w:color w:val="auto"/>
        </w:rPr>
      </w:pPr>
    </w:p>
    <w:p>
      <w:pPr>
        <w:jc w:val="both"/>
        <w:ind w:left="-460" w:firstLine="1292"/>
        <w:spacing w:after="0" w:line="225" w:lineRule="auto"/>
        <w:tabs>
          <w:tab w:leader="none" w:pos="148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upon achievement of any of Development and Regulatory Milestone Events [*] above with respect to a Licensed Product, if the first achievement of any of Development and Regulatory Milestone Events [*] with respect to such Licensed Product has not occurred, such unachieved milestone shall simultaneously be deemed achieved and payable, and (ii) upon achievement of any of Development and Regulatory Milestone Events [*] above with respect to a Licensed Product, if the first achievement of Development and Regulatory Milestone Event [*] with respect to such Licensed Product has not occurred, such unachieved milestone shall simultaneously be deemed achieved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120"/>
          </w:cols>
          <w:pgMar w:left="1440" w:top="1395" w:right="339" w:bottom="1440" w:gutter="0" w:footer="0" w:header="0"/>
        </w:sectPr>
      </w:pPr>
    </w:p>
    <w:bookmarkStart w:id="225" w:name="page226"/>
    <w:bookmarkEnd w:id="225"/>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13.7.3 Notwithstanding the foregoing, no Development and Regulatory Milestone Payments shall be due with respect to any Unprotected Licensed Product, and [*].</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b w:val="1"/>
          <w:bCs w:val="1"/>
          <w:color w:val="auto"/>
        </w:rPr>
        <w:t>Sales-Based Milestones</w:t>
      </w:r>
      <w:r>
        <w:rPr>
          <w:rFonts w:ascii="Times New Roman" w:cs="Times New Roman" w:eastAsia="Times New Roman" w:hAnsi="Times New Roman"/>
          <w:sz w:val="22"/>
          <w:szCs w:val="22"/>
          <w:color w:val="auto"/>
        </w:rPr>
        <w:t>. Subject to the terms and conditions herein (including this Section 13.8 (Sales-Based Milestones), Section 13.11 (Additional Payment Terms) and Section 13.11.7 (Records; Audit Rights)), on a Licensed Product-by-Licensed Product basis, Seagen will notify Nurix in writing within [*] days after the end of the Calendar Quarter during which a given milestone event described below in this Section 13.8 (Sales-Based Milestones) (each, a “</w:t>
      </w:r>
      <w:r>
        <w:rPr>
          <w:rFonts w:ascii="Times New Roman" w:cs="Times New Roman" w:eastAsia="Times New Roman" w:hAnsi="Times New Roman"/>
          <w:sz w:val="22"/>
          <w:szCs w:val="22"/>
          <w:b w:val="1"/>
          <w:bCs w:val="1"/>
          <w:color w:val="auto"/>
        </w:rPr>
        <w:t>Sales Milestone Event</w:t>
      </w:r>
      <w:r>
        <w:rPr>
          <w:rFonts w:ascii="Times New Roman" w:cs="Times New Roman" w:eastAsia="Times New Roman" w:hAnsi="Times New Roman"/>
          <w:sz w:val="22"/>
          <w:szCs w:val="22"/>
          <w:color w:val="auto"/>
        </w:rPr>
        <w:t>”) was first achieved by Seagen under this Agreement, and Seagen will thereafter pay the applicable [*] amount set forth opposite such Sales Milestone Event in the table below for such Licensed Product in accordance with Section 13.9.2 (Sales-Based Milestones) (each, a “</w:t>
      </w:r>
      <w:r>
        <w:rPr>
          <w:rFonts w:ascii="Times New Roman" w:cs="Times New Roman" w:eastAsia="Times New Roman" w:hAnsi="Times New Roman"/>
          <w:sz w:val="22"/>
          <w:szCs w:val="22"/>
          <w:b w:val="1"/>
          <w:bCs w:val="1"/>
          <w:color w:val="auto"/>
        </w:rPr>
        <w:t>Sales Milestone Payment</w:t>
      </w:r>
      <w:r>
        <w:rPr>
          <w:rFonts w:ascii="Times New Roman" w:cs="Times New Roman" w:eastAsia="Times New Roman" w:hAnsi="Times New Roman"/>
          <w:sz w:val="22"/>
          <w:szCs w:val="22"/>
          <w:color w:val="auto"/>
        </w:rPr>
        <w:t>”):</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216"/>
        </w:trPr>
        <w:tc>
          <w:tcPr>
            <w:tcW w:w="6540" w:type="dxa"/>
            <w:vAlign w:val="bottom"/>
            <w:tcBorders>
              <w:top w:val="single" w:sz="8" w:color="auto"/>
              <w:left w:val="single" w:sz="8" w:color="auto"/>
              <w:right w:val="single" w:sz="8" w:color="D9D9D9"/>
            </w:tcBorders>
            <w:shd w:val="clear" w:color="auto" w:fill="D9D9D9"/>
          </w:tcPr>
          <w:p>
            <w:pPr>
              <w:spacing w:after="0"/>
              <w:rPr>
                <w:sz w:val="18"/>
                <w:szCs w:val="18"/>
                <w:color w:val="auto"/>
              </w:rPr>
            </w:pPr>
          </w:p>
        </w:tc>
        <w:tc>
          <w:tcPr>
            <w:tcW w:w="100" w:type="dxa"/>
            <w:vAlign w:val="bottom"/>
            <w:tcBorders>
              <w:top w:val="single" w:sz="8" w:color="auto"/>
              <w:right w:val="single" w:sz="8" w:color="auto"/>
            </w:tcBorders>
            <w:shd w:val="clear" w:color="auto" w:fill="D9D9D9"/>
          </w:tcPr>
          <w:p>
            <w:pPr>
              <w:spacing w:after="0"/>
              <w:rPr>
                <w:sz w:val="18"/>
                <w:szCs w:val="18"/>
                <w:color w:val="auto"/>
              </w:rPr>
            </w:pPr>
          </w:p>
        </w:tc>
        <w:tc>
          <w:tcPr>
            <w:tcW w:w="2560" w:type="dxa"/>
            <w:vAlign w:val="bottom"/>
            <w:tcBorders>
              <w:top w:val="single" w:sz="8" w:color="auto"/>
              <w:right w:val="single" w:sz="8" w:color="D9D9D9"/>
            </w:tcBorders>
            <w:shd w:val="clear" w:color="auto" w:fill="D9D9D9"/>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Sales Milestone Payment</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left w:val="single" w:sz="8" w:color="auto"/>
              <w:right w:val="single" w:sz="8" w:color="auto"/>
            </w:tcBorders>
            <w:gridSpan w:val="2"/>
            <w:vMerge w:val="restart"/>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w w:val="99"/>
              </w:rPr>
              <w:t>Sales Milestone Event (for Licensed Products other than Profit-Share</w:t>
            </w:r>
          </w:p>
        </w:tc>
        <w:tc>
          <w:tcPr>
            <w:tcW w:w="2560" w:type="dxa"/>
            <w:vAlign w:val="bottom"/>
            <w:tcBorders>
              <w:right w:val="single" w:sz="8" w:color="D9D9D9"/>
            </w:tcBorders>
            <w:shd w:val="clear" w:color="auto" w:fill="D9D9D9"/>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(for Licensed Products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left w:val="single" w:sz="8" w:color="auto"/>
              <w:right w:val="single" w:sz="8" w:color="auto"/>
            </w:tcBorders>
            <w:gridSpan w:val="2"/>
            <w:vMerge w:val="continue"/>
            <w:shd w:val="clear" w:color="auto" w:fill="D9D9D9"/>
          </w:tcPr>
          <w:p>
            <w:pPr>
              <w:spacing w:after="0"/>
              <w:rPr>
                <w:sz w:val="18"/>
                <w:szCs w:val="18"/>
                <w:color w:val="auto"/>
              </w:rPr>
            </w:pPr>
          </w:p>
        </w:tc>
        <w:tc>
          <w:tcPr>
            <w:tcW w:w="2560" w:type="dxa"/>
            <w:vAlign w:val="bottom"/>
            <w:tcBorders>
              <w:right w:val="single" w:sz="8" w:color="D9D9D9"/>
            </w:tcBorders>
            <w:shd w:val="clear" w:color="auto" w:fill="D9D9D9"/>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other than Profit-Share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left w:val="single" w:sz="8" w:color="auto"/>
              <w:right w:val="single" w:sz="8" w:color="auto"/>
            </w:tcBorders>
            <w:gridSpan w:val="2"/>
            <w:shd w:val="clear" w:color="auto" w:fill="D9D9D9"/>
          </w:tcPr>
          <w:p>
            <w:pPr>
              <w:ind w:left="100"/>
              <w:spacing w:after="0" w:line="216" w:lineRule="exact"/>
              <w:rPr>
                <w:sz w:val="20"/>
                <w:szCs w:val="20"/>
                <w:color w:val="auto"/>
              </w:rPr>
            </w:pPr>
            <w:r>
              <w:rPr>
                <w:rFonts w:ascii="Times New Roman" w:cs="Times New Roman" w:eastAsia="Times New Roman" w:hAnsi="Times New Roman"/>
                <w:sz w:val="22"/>
                <w:szCs w:val="22"/>
                <w:b w:val="1"/>
                <w:bCs w:val="1"/>
                <w:color w:val="auto"/>
              </w:rPr>
              <w:t>Products)</w:t>
            </w:r>
          </w:p>
        </w:tc>
        <w:tc>
          <w:tcPr>
            <w:tcW w:w="2560" w:type="dxa"/>
            <w:vAlign w:val="bottom"/>
            <w:tcBorders>
              <w:right w:val="single" w:sz="8" w:color="D9D9D9"/>
            </w:tcBorders>
            <w:vMerge w:val="restart"/>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Products)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6540" w:type="dxa"/>
            <w:vAlign w:val="bottom"/>
            <w:tcBorders>
              <w:left w:val="single" w:sz="8" w:color="auto"/>
              <w:bottom w:val="single" w:sz="8" w:color="auto"/>
              <w:right w:val="single" w:sz="8" w:color="D9D9D9"/>
            </w:tcBorders>
            <w:shd w:val="clear" w:color="auto" w:fill="D9D9D9"/>
          </w:tcPr>
          <w:p>
            <w:pPr>
              <w:spacing w:after="0"/>
              <w:rPr>
                <w:sz w:val="5"/>
                <w:szCs w:val="5"/>
                <w:color w:val="auto"/>
              </w:rPr>
            </w:pPr>
          </w:p>
        </w:tc>
        <w:tc>
          <w:tcPr>
            <w:tcW w:w="100" w:type="dxa"/>
            <w:vAlign w:val="bottom"/>
            <w:tcBorders>
              <w:bottom w:val="single" w:sz="8" w:color="auto"/>
              <w:right w:val="single" w:sz="8" w:color="auto"/>
            </w:tcBorders>
            <w:shd w:val="clear" w:color="auto" w:fill="D9D9D9"/>
          </w:tcPr>
          <w:p>
            <w:pPr>
              <w:spacing w:after="0"/>
              <w:rPr>
                <w:sz w:val="5"/>
                <w:szCs w:val="5"/>
                <w:color w:val="auto"/>
              </w:rPr>
            </w:pPr>
          </w:p>
        </w:tc>
        <w:tc>
          <w:tcPr>
            <w:tcW w:w="2560" w:type="dxa"/>
            <w:vAlign w:val="bottom"/>
            <w:tcBorders>
              <w:bottom w:val="single" w:sz="8" w:color="auto"/>
              <w:right w:val="single" w:sz="8" w:color="D9D9D9"/>
            </w:tcBorders>
            <w:vMerge w:val="continue"/>
            <w:shd w:val="clear" w:color="auto" w:fill="D9D9D9"/>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540" w:type="dxa"/>
            <w:vAlign w:val="bottom"/>
            <w:tcBorders>
              <w:left w:val="single" w:sz="8" w:color="auto"/>
              <w:bottom w:val="single" w:sz="8" w:color="auto"/>
            </w:tcBorders>
          </w:tcPr>
          <w:p>
            <w:pPr>
              <w:jc w:val="right"/>
              <w:ind w:right="613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40" w:type="dxa"/>
            <w:vAlign w:val="bottom"/>
            <w:tcBorders>
              <w:left w:val="single" w:sz="8" w:color="auto"/>
              <w:bottom w:val="single" w:sz="8" w:color="auto"/>
            </w:tcBorders>
          </w:tcPr>
          <w:p>
            <w:pPr>
              <w:jc w:val="right"/>
              <w:ind w:right="613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40" w:type="dxa"/>
            <w:vAlign w:val="bottom"/>
            <w:tcBorders>
              <w:left w:val="single" w:sz="8" w:color="auto"/>
              <w:bottom w:val="single" w:sz="8" w:color="auto"/>
            </w:tcBorders>
          </w:tcPr>
          <w:p>
            <w:pPr>
              <w:jc w:val="right"/>
              <w:ind w:right="613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74"/>
        </w:trPr>
        <w:tc>
          <w:tcPr>
            <w:tcW w:w="6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40" w:type="dxa"/>
            <w:vAlign w:val="bottom"/>
            <w:tcBorders>
              <w:left w:val="single" w:sz="8" w:color="auto"/>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Sales Milestone Event (for Profit-Share Products)</w:t>
            </w:r>
          </w:p>
        </w:tc>
        <w:tc>
          <w:tcPr>
            <w:tcW w:w="100" w:type="dxa"/>
            <w:vAlign w:val="bottom"/>
            <w:tcBorders>
              <w:right w:val="single" w:sz="8" w:color="D9D9D9"/>
            </w:tcBorders>
            <w:shd w:val="clear" w:color="auto" w:fill="D9D9D9"/>
          </w:tcPr>
          <w:p>
            <w:pPr>
              <w:spacing w:after="0"/>
              <w:rPr>
                <w:sz w:val="17"/>
                <w:szCs w:val="17"/>
                <w:color w:val="auto"/>
              </w:rPr>
            </w:pPr>
          </w:p>
        </w:tc>
        <w:tc>
          <w:tcPr>
            <w:tcW w:w="2560" w:type="dxa"/>
            <w:vAlign w:val="bottom"/>
            <w:tcBorders>
              <w:right w:val="single" w:sz="8" w:color="auto"/>
            </w:tcBorders>
            <w:shd w:val="clear" w:color="auto" w:fill="D9D9D9"/>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Sales Milestone Payment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40" w:type="dxa"/>
            <w:vAlign w:val="bottom"/>
            <w:tcBorders>
              <w:left w:val="single" w:sz="8" w:color="auto"/>
              <w:right w:val="single" w:sz="8" w:color="auto"/>
            </w:tcBorders>
            <w:vMerge w:val="continue"/>
            <w:shd w:val="clear" w:color="auto" w:fill="D9D9D9"/>
          </w:tcPr>
          <w:p>
            <w:pPr>
              <w:spacing w:after="0"/>
              <w:rPr>
                <w:sz w:val="15"/>
                <w:szCs w:val="15"/>
                <w:color w:val="auto"/>
              </w:rPr>
            </w:pPr>
          </w:p>
        </w:tc>
        <w:tc>
          <w:tcPr>
            <w:tcW w:w="100" w:type="dxa"/>
            <w:vAlign w:val="bottom"/>
            <w:tcBorders>
              <w:right w:val="single" w:sz="8" w:color="D9D9D9"/>
            </w:tcBorders>
            <w:shd w:val="clear" w:color="auto" w:fill="D9D9D9"/>
          </w:tcPr>
          <w:p>
            <w:pPr>
              <w:spacing w:after="0"/>
              <w:rPr>
                <w:sz w:val="15"/>
                <w:szCs w:val="15"/>
                <w:color w:val="auto"/>
              </w:rPr>
            </w:pPr>
          </w:p>
        </w:tc>
        <w:tc>
          <w:tcPr>
            <w:tcW w:w="2560" w:type="dxa"/>
            <w:vAlign w:val="bottom"/>
            <w:tcBorders>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w w:val="98"/>
              </w:rPr>
              <w:t>(for Profit-Share Products)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00" w:type="dxa"/>
            <w:vAlign w:val="bottom"/>
            <w:tcBorders>
              <w:bottom w:val="single" w:sz="8" w:color="auto"/>
              <w:right w:val="single" w:sz="8" w:color="D9D9D9"/>
            </w:tcBorders>
            <w:shd w:val="clear" w:color="auto" w:fill="D9D9D9"/>
          </w:tcPr>
          <w:p>
            <w:pPr>
              <w:spacing w:after="0"/>
              <w:rPr>
                <w:sz w:val="9"/>
                <w:szCs w:val="9"/>
                <w:color w:val="auto"/>
              </w:rPr>
            </w:pPr>
          </w:p>
        </w:tc>
        <w:tc>
          <w:tcPr>
            <w:tcW w:w="25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6540" w:type="dxa"/>
            <w:vAlign w:val="bottom"/>
            <w:tcBorders>
              <w:left w:val="single" w:sz="8" w:color="auto"/>
              <w:bottom w:val="single" w:sz="8" w:color="auto"/>
              <w:right w:val="single" w:sz="8" w:color="auto"/>
            </w:tcBorders>
          </w:tcPr>
          <w:p>
            <w:pPr>
              <w:jc w:val="right"/>
              <w:ind w:right="613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40" w:type="dxa"/>
            <w:vAlign w:val="bottom"/>
            <w:tcBorders>
              <w:left w:val="single" w:sz="8" w:color="auto"/>
              <w:bottom w:val="single" w:sz="8" w:color="auto"/>
              <w:right w:val="single" w:sz="8" w:color="auto"/>
            </w:tcBorders>
          </w:tcPr>
          <w:p>
            <w:pPr>
              <w:jc w:val="right"/>
              <w:ind w:right="613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40" w:type="dxa"/>
            <w:vAlign w:val="bottom"/>
            <w:tcBorders>
              <w:left w:val="single" w:sz="8" w:color="auto"/>
              <w:bottom w:val="single" w:sz="8" w:color="auto"/>
              <w:right w:val="single" w:sz="8" w:color="auto"/>
            </w:tcBorders>
          </w:tcPr>
          <w:p>
            <w:pPr>
              <w:jc w:val="right"/>
              <w:ind w:right="613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Each Sales Milestone Payment is payable up to a maximum of one (1) time per Licensed Product (including any Profit-Share Product, as applicable) as set forth in the table above, upon first achievement of the applicable Sales Milestone Event for such Licensed Product, regardless of the number of times the applicable Sales Milestone Event is achieved with respect to such Licensed Product. The maximum aggregate amount payable by Seagen to Nurix with respect to all Sales Milestone Events shall be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no Sales Milestone Payments shall be due with respect to any Unprotected Licensed Product.</w:t>
      </w:r>
    </w:p>
    <w:p>
      <w:pPr>
        <w:spacing w:after="0" w:line="17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b w:val="1"/>
          <w:bCs w:val="1"/>
          <w:color w:val="auto"/>
        </w:rPr>
        <w:t>Invoice and Payment of Milestone Payments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13.9.1 </w:t>
      </w:r>
      <w:r>
        <w:rPr>
          <w:rFonts w:ascii="Times New Roman" w:cs="Times New Roman" w:eastAsia="Times New Roman" w:hAnsi="Times New Roman"/>
          <w:sz w:val="22"/>
          <w:szCs w:val="22"/>
          <w:u w:val="single" w:color="auto"/>
          <w:color w:val="auto"/>
        </w:rPr>
        <w:t>Research, Development, and Regulatory Milestones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1292"/>
        <w:spacing w:after="0" w:line="217" w:lineRule="auto"/>
        <w:tabs>
          <w:tab w:leader="none" w:pos="260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Seagen, its Affiliates or its Sublicensees under this Agreement achieves a Research Milestone Event or Development and Regulatory Milestone Event, Seagen shall notify Nurix thereof [*] after such achievement and request an invoice from Nurix for the applicable Milestone Payment, and Seagen, subject to any good faith Dispute regarding the applicable Milestone Event or Milestone Payment, shall pay such Milestone Payment [*] after receipt of such invoice.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226" w:name="page227"/>
    <w:bookmarkEnd w:id="226"/>
    <w:p>
      <w:pPr>
        <w:jc w:val="both"/>
        <w:ind w:left="660" w:firstLine="1292"/>
        <w:spacing w:after="0" w:line="220" w:lineRule="auto"/>
        <w:tabs>
          <w:tab w:leader="none" w:pos="2599"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Nurix or its Affiliates achieves a Research Milestone Event, Nurix shall notify Seagen thereof in writing within [*] after such achievement and invoice Seagen for the applicable Milestone Payment, and Seagen, subject to any good faith Dispute regarding the applicable Milestone Event or Milestone Payment (including, if applicable, as to whether such Research Milestone Event has been achieved), shall pay such Milestone Payment within</w:t>
      </w:r>
    </w:p>
    <w:p>
      <w:pPr>
        <w:spacing w:after="0" w:line="2" w:lineRule="exact"/>
        <w:rPr>
          <w:rFonts w:ascii="Times New Roman" w:cs="Times New Roman" w:eastAsia="Times New Roman" w:hAnsi="Times New Roman"/>
          <w:sz w:val="21"/>
          <w:szCs w:val="21"/>
          <w:color w:val="auto"/>
        </w:rPr>
      </w:pPr>
    </w:p>
    <w:p>
      <w:pPr>
        <w:ind w:left="960" w:hanging="304"/>
        <w:spacing w:after="0"/>
        <w:tabs>
          <w:tab w:leader="none" w:pos="9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receipt of such invoice.</w:t>
      </w:r>
    </w:p>
    <w:p>
      <w:pPr>
        <w:spacing w:after="0" w:line="155"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13.9.2 </w:t>
      </w:r>
      <w:r>
        <w:rPr>
          <w:rFonts w:ascii="Times New Roman" w:cs="Times New Roman" w:eastAsia="Times New Roman" w:hAnsi="Times New Roman"/>
          <w:sz w:val="22"/>
          <w:szCs w:val="22"/>
          <w:u w:val="single" w:color="auto"/>
          <w:color w:val="auto"/>
        </w:rPr>
        <w:t>Sales-Based Milestones</w:t>
      </w:r>
      <w:r>
        <w:rPr>
          <w:rFonts w:ascii="Times New Roman" w:cs="Times New Roman" w:eastAsia="Times New Roman" w:hAnsi="Times New Roman"/>
          <w:sz w:val="22"/>
          <w:szCs w:val="22"/>
          <w:color w:val="auto"/>
        </w:rPr>
        <w:t>. Seagen shall notify Nurix in writing if the aggregate Annual Global Net Sales or Annual Ex-U.S. Net Sales, as applicable, of any applicable Licensed Product first achieved a Sales Milestone Event during a Calendar Quarter in the royalty report for such Calendar Quarter (or the royalty report for the first Calendar Quarter in which Seagen determines the achievement of such Sales Milestone Event, if later) as described in Section 13.10.3 (Royalty Payments and Reporting) and request an invoice from Nurix for any such Sales Milestone Payment, and Seagen shall pay to Nurix such Sales Milestone Payment within [*] after the receipt of the corresponding invoice from Nurix.</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13.10</w:t>
      </w:r>
      <w:r>
        <w:rPr>
          <w:sz w:val="20"/>
          <w:szCs w:val="20"/>
          <w:color w:val="auto"/>
        </w:rPr>
        <w:tab/>
      </w:r>
      <w:r>
        <w:rPr>
          <w:rFonts w:ascii="Times New Roman" w:cs="Times New Roman" w:eastAsia="Times New Roman" w:hAnsi="Times New Roman"/>
          <w:sz w:val="21"/>
          <w:szCs w:val="21"/>
          <w:b w:val="1"/>
          <w:bCs w:val="1"/>
          <w:color w:val="auto"/>
        </w:rPr>
        <w:t>Royalties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13.10.1</w:t>
      </w:r>
      <w:r>
        <w:rPr>
          <w:rFonts w:ascii="Times New Roman" w:cs="Times New Roman" w:eastAsia="Times New Roman" w:hAnsi="Times New Roman"/>
          <w:sz w:val="22"/>
          <w:szCs w:val="22"/>
          <w:u w:val="single" w:color="auto"/>
          <w:color w:val="auto"/>
        </w:rPr>
        <w:t>Royalty Rates</w:t>
      </w:r>
      <w:r>
        <w:rPr>
          <w:rFonts w:ascii="Times New Roman" w:cs="Times New Roman" w:eastAsia="Times New Roman" w:hAnsi="Times New Roman"/>
          <w:sz w:val="22"/>
          <w:szCs w:val="22"/>
          <w:color w:val="auto"/>
        </w:rPr>
        <w:t>. Seagen shall pay, on a Licensed Product-by-Licensed Product basis and for all Licensed Products other than any Unprotected Licensed Product, a royalty equal to a tiered percentage of Annual Global Net Sales of the applicable Licensed Product (or, with respect to any Profit-Share Product, of the Annual Ex-U.S. Net Sales of such Profit-Share Product) as set forth in the table below and during the Royalty Term for such Licensed Product:</w:t>
      </w:r>
    </w:p>
    <w:p>
      <w:pPr>
        <w:spacing w:after="0" w:line="200" w:lineRule="exact"/>
        <w:rPr>
          <w:sz w:val="20"/>
          <w:szCs w:val="20"/>
          <w:color w:val="auto"/>
        </w:rPr>
      </w:pPr>
    </w:p>
    <w:tbl>
      <w:tblPr>
        <w:tblLayout w:type="fixed"/>
        <w:tblInd w:w="590" w:type="dxa"/>
        <w:tblCellMar>
          <w:top w:w="0" w:type="dxa"/>
          <w:left w:w="0" w:type="dxa"/>
          <w:bottom w:w="0" w:type="dxa"/>
          <w:right w:w="0" w:type="dxa"/>
        </w:tblCellMar>
      </w:tblPr>
      <w:tr>
        <w:trPr>
          <w:trHeight w:val="283"/>
        </w:trPr>
        <w:tc>
          <w:tcPr>
            <w:tcW w:w="6300" w:type="dxa"/>
            <w:vAlign w:val="bottom"/>
            <w:tcBorders>
              <w:top w:val="single" w:sz="8" w:color="auto"/>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Tier</w:t>
            </w:r>
          </w:p>
        </w:tc>
        <w:tc>
          <w:tcPr>
            <w:tcW w:w="292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Royalty rate</w:t>
            </w:r>
          </w:p>
        </w:tc>
      </w:tr>
      <w:tr>
        <w:trPr>
          <w:trHeight w:val="263"/>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 [*]</w:t>
            </w:r>
          </w:p>
        </w:tc>
        <w:tc>
          <w:tcPr>
            <w:tcW w:w="2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6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 [*]</w:t>
            </w:r>
          </w:p>
        </w:tc>
        <w:tc>
          <w:tcPr>
            <w:tcW w:w="2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76"/>
        </w:trPr>
        <w:tc>
          <w:tcPr>
            <w:tcW w:w="6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 [*]</w:t>
            </w: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96"/>
        </w:trPr>
        <w:tc>
          <w:tcPr>
            <w:tcW w:w="630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r>
    </w:tbl>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13.10.2</w:t>
      </w:r>
      <w:r>
        <w:rPr>
          <w:rFonts w:ascii="Times New Roman" w:cs="Times New Roman" w:eastAsia="Times New Roman" w:hAnsi="Times New Roman"/>
          <w:sz w:val="22"/>
          <w:szCs w:val="22"/>
          <w:u w:val="single" w:color="auto"/>
          <w:color w:val="auto"/>
        </w:rPr>
        <w:t>Royalty Reductions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1292"/>
        <w:spacing w:after="0" w:line="220" w:lineRule="auto"/>
        <w:tabs>
          <w:tab w:leader="none" w:pos="260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Royalty Term and on a Licensed Product-by-Licensed Product and country-by-country basis, if such Licensed Product is not Covered by a Valid Claim of a Royalty Patent in such country, then the royalties payable with respect to such Licensed Product pursuant to Section 13.10.1 (Royalty Rates) in such country will be reduced by [*].</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1" w:lineRule="auto"/>
        <w:tabs>
          <w:tab w:leader="none" w:pos="259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Licensed Product-by-Licensed Product and country-by-country basis, if Seagen or any of its Affiliates obtains a license under any Patent, Know-How or other intellectual property right of a Third Party after the Effective Date that are necessary or reasonably useful for Seagen to make, have made, sell, or offer for sale any Licensed Product in such country that results in any payment(s) to such Third Party as a result of such license by Seagen or its Affiliates, then Seagen may deduct from any [*] payments under this Agreement that would otherwise have been due to Nurix in a particular Calendar Quarter an amount equal to [*] of the amount of any such payments (including payments for obtaining such right or license, royalties, milestones, amounts paid in settlement and any other amounts) paid by Seagen or any of its Affiliates at arm’s length to such Third Party for such license or the exercise thereof during such Calendar Quarter;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no event shall the royalty amount due to Nurix in any Calendar Year be reduced by more than [*] of the amount that would have otherwise been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227" w:name="page228"/>
    <w:bookmarkEnd w:id="227"/>
    <w:p>
      <w:pPr>
        <w:jc w:val="both"/>
        <w:ind w:left="660" w:firstLine="1292"/>
        <w:spacing w:after="0" w:line="236" w:lineRule="auto"/>
        <w:tabs>
          <w:tab w:leader="none" w:pos="260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 Licensed Product-by-Licensed Product and country-by-country basis, if in a Calendar Quarter, any Generic/Biosimilar Product(s) of such Licensed Product is sold in such country, then the royalties payable with respect to such Licensed Product pursuant to Section 13.10.1 (Royalty Rates) in such country will be reduced by [*].</w:t>
      </w:r>
    </w:p>
    <w:p>
      <w:pPr>
        <w:spacing w:after="0" w:line="151" w:lineRule="exact"/>
        <w:rPr>
          <w:rFonts w:ascii="Times New Roman" w:cs="Times New Roman" w:eastAsia="Times New Roman" w:hAnsi="Times New Roman"/>
          <w:sz w:val="21"/>
          <w:szCs w:val="21"/>
          <w:color w:val="auto"/>
        </w:rPr>
      </w:pPr>
    </w:p>
    <w:p>
      <w:pPr>
        <w:jc w:val="both"/>
        <w:ind w:left="660" w:firstLine="1292"/>
        <w:spacing w:after="0" w:line="215" w:lineRule="auto"/>
        <w:tabs>
          <w:tab w:leader="none" w:pos="259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Section 13.10.2 (Royalty Reductions) to the contrary, in no event will royalties payable to Nurix by Seagen under this Agreement be reduced to less than [*] of the amount that would otherwise be payable to Nurix under Section 13.10 (Royalties) (the “</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the event there are royalty reduction amounts described in Section 13.10.2(b) that Seagen is unable to apply to royalty payments due to the Floor, then Seagen shall have the right to carry over such amounts and credit them in future Calendar Quarters subject to such Floor [*].</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13.10.3</w:t>
      </w:r>
      <w:r>
        <w:rPr>
          <w:rFonts w:ascii="Times New Roman" w:cs="Times New Roman" w:eastAsia="Times New Roman" w:hAnsi="Times New Roman"/>
          <w:sz w:val="21"/>
          <w:szCs w:val="21"/>
          <w:u w:val="single" w:color="auto"/>
          <w:color w:val="auto"/>
        </w:rPr>
        <w:t>Royalty Payments and Reporting</w:t>
      </w:r>
      <w:r>
        <w:rPr>
          <w:rFonts w:ascii="Times New Roman" w:cs="Times New Roman" w:eastAsia="Times New Roman" w:hAnsi="Times New Roman"/>
          <w:sz w:val="21"/>
          <w:szCs w:val="21"/>
          <w:color w:val="auto"/>
        </w:rPr>
        <w:t>. Seagen will calculate all amounts payable to Nurix pursuant to Section 13.10 (Royalties) at the end of each Calendar Quarter. Within [*] days after the end of each Calendar Quarter, commencing with the Calendar Quarter during which the First Commercial Sale of a Licensed Product is made anywhere in the Territory, Seagen will provide to Nurix a report stating the amount of gross sales and Net Sales of each Licensed Product in each country of the Territory during the applicable Calendar Quarter, a summary of the type and amount of permitted deductions from gross sales to determine Net Sales as set forth in the definition of Net Sales, and a reasonably detailed calculation of the amount of royalty payments due on such Net Sales for such Calendar Quarter, in each case, reasonably sufficient to allow Nurix to assess Seagen’s compliance with its royalty payment obligations hereunder. Concurrent with the provision of each such royalty report, Seagen will request an invoice from Nurix for the royalty payment shown in the royalty report, and shall, within [*] after the receipt of the corresponding invoice, pay to Nurix the royalty amounts due, less any applicable withholding tax that is required by Applicable Law in accordance with Section 13.11.6 (Taxes; Withholding), with respect to the applicable Calendar Quarter.</w:t>
      </w:r>
    </w:p>
    <w:p>
      <w:pPr>
        <w:spacing w:after="0" w:line="15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1"/>
          <w:szCs w:val="21"/>
          <w:b w:val="1"/>
          <w:bCs w:val="1"/>
          <w:color w:val="auto"/>
        </w:rPr>
        <w:t>Additional Payment Terms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13.11.1</w:t>
      </w:r>
      <w:r>
        <w:rPr>
          <w:rFonts w:ascii="Times New Roman" w:cs="Times New Roman" w:eastAsia="Times New Roman" w:hAnsi="Times New Roman"/>
          <w:sz w:val="22"/>
          <w:szCs w:val="22"/>
          <w:u w:val="single" w:color="auto"/>
          <w:color w:val="auto"/>
        </w:rPr>
        <w:t>Determining Same vs Distinct Licensed Products or Licensed Degraders for Milestones, Royalties,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Option-Triggering Events</w:t>
      </w:r>
      <w:r>
        <w:rPr>
          <w:rFonts w:ascii="Times New Roman" w:cs="Times New Roman" w:eastAsia="Times New Roman" w:hAnsi="Times New Roman"/>
          <w:sz w:val="22"/>
          <w:szCs w:val="22"/>
          <w:color w:val="auto"/>
        </w:rPr>
        <w:t>. Two (2) Licensed Products shall be deemed to be the same Licensed Product for purposes of Milestone Payments, royalties, and Profit-Share Options if both such Licensed Products may be, or would reasonably be expected to be, marketed in the United States under the same MAA (for clarity, as such MAA may be amended or supplemented from time to time). For purposes of determining whether two (2) Licensed Degraders are the same for purposes of Sections 13.7.2(b) and 13.7.2(c), two (2) Licensed Degraders shall be deemed to be the same Licensed Degrader if both such Licensed Degraders may be, or would reasonably be expected to be, marketed in the United States under the same MAA (for clarity, as such MAA may be amended or supplemented from time to time), if such Licensed Degraders were marketed as Licensed Products that did not contain a Licensed Degrader-Antibody Conjugate. For the avoidance of doubt, the same Licensed Degrader may be contained in two (2) or more different Licensed Products.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13.11.2</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All payments hereunder will be made in United States dollars by wire transfer to a bank account designated in writing by Nurix in the Wire Instructions. Conversion of sales recorded in local currencies to United States dollars will be performed in a manner consistent with the Accounting Standard and Seagen’s normal practices used to prepare its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228" w:name="page229"/>
    <w:bookmarkEnd w:id="228"/>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13.11.3</w:t>
      </w:r>
      <w:r>
        <w:rPr>
          <w:rFonts w:ascii="Times New Roman" w:cs="Times New Roman" w:eastAsia="Times New Roman" w:hAnsi="Times New Roman"/>
          <w:sz w:val="22"/>
          <w:szCs w:val="22"/>
          <w:u w:val="single" w:color="auto"/>
          <w:color w:val="auto"/>
        </w:rPr>
        <w:t>Invoices and Payments</w:t>
      </w:r>
      <w:r>
        <w:rPr>
          <w:rFonts w:ascii="Times New Roman" w:cs="Times New Roman" w:eastAsia="Times New Roman" w:hAnsi="Times New Roman"/>
          <w:sz w:val="22"/>
          <w:szCs w:val="22"/>
          <w:color w:val="auto"/>
        </w:rPr>
        <w:t>. Notwithstanding anything to the contrary contained in this Agreement or any Ancillary Agreement, each Party shall deliver an invoice, together with reasonable supporting documentation in the case of any reimbursement of costs, to the other Party’s Alliance Manager and such other recipient(s) as such Party may reasonably request for all payments owed to the invoicing Party under this Agreement or any Ancillary Agreement. Except where a different timeframe is expressly provided in another Section of this Agreement or in any Ancillary Agreement, the owing Party will make all undisputed payments owed to the invoicing Party within [*] after the date on which the owing Party receives an undisputed invoice for such owed amount, and shall pay any disputed amounts owed to the invoicing Party within [*] of final resolution of the applicable Dispute.</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13.11.4</w:t>
      </w:r>
      <w:r>
        <w:rPr>
          <w:rFonts w:ascii="Times New Roman" w:cs="Times New Roman" w:eastAsia="Times New Roman" w:hAnsi="Times New Roman"/>
          <w:sz w:val="22"/>
          <w:szCs w:val="22"/>
          <w:u w:val="single" w:color="auto"/>
          <w:color w:val="auto"/>
        </w:rPr>
        <w:t>Late Payments; Dispute Payments</w:t>
      </w:r>
      <w:r>
        <w:rPr>
          <w:rFonts w:ascii="Times New Roman" w:cs="Times New Roman" w:eastAsia="Times New Roman" w:hAnsi="Times New Roman"/>
          <w:sz w:val="22"/>
          <w:szCs w:val="22"/>
          <w:color w:val="auto"/>
        </w:rPr>
        <w:t xml:space="preserve">. If Nurix does not receive payment of any sum due to it under this Agreement on or before the due date therefor, simple interest shall thereafter accrue on the sum due to Nurix from the due date until the date of payment at a per-annum rate of [*] above the prime rate as reported in </w:t>
      </w:r>
      <w:r>
        <w:rPr>
          <w:rFonts w:ascii="Times New Roman" w:cs="Times New Roman" w:eastAsia="Times New Roman" w:hAnsi="Times New Roman"/>
          <w:sz w:val="22"/>
          <w:szCs w:val="22"/>
          <w:i w:val="1"/>
          <w:iCs w:val="1"/>
          <w:color w:val="auto"/>
        </w:rPr>
        <w:t>The Wall Street Journal, Eastern Edition</w:t>
      </w:r>
      <w:r>
        <w:rPr>
          <w:rFonts w:ascii="Times New Roman" w:cs="Times New Roman" w:eastAsia="Times New Roman" w:hAnsi="Times New Roman"/>
          <w:sz w:val="22"/>
          <w:szCs w:val="22"/>
          <w:color w:val="auto"/>
        </w:rPr>
        <w:t xml:space="preserve"> (or any other qualified source reasonably acceptable to both Parties) or the maximum rate allowable by Applicable Law, whichever is less. In the event of a good faith Dispute regarding any payments owing under this Agreement, all undisputed amounts will be paid promptly when due and the balance, if any, promptly after resolution of the Dispute in accordance with Section 13.11.3 (Invoices and Payments), and the interest contemplated by this Section 13.11.4 (Late Payments; Dispute Payments) shall not be payable on any disputed amount.</w:t>
      </w:r>
    </w:p>
    <w:p>
      <w:pPr>
        <w:spacing w:after="0" w:line="156"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13.11.5</w:t>
      </w:r>
      <w:r>
        <w:rPr>
          <w:rFonts w:ascii="Times New Roman" w:cs="Times New Roman" w:eastAsia="Times New Roman" w:hAnsi="Times New Roman"/>
          <w:sz w:val="22"/>
          <w:szCs w:val="22"/>
          <w:u w:val="single" w:color="auto"/>
          <w:color w:val="auto"/>
        </w:rPr>
        <w:t>General Right to Reconcile Payments</w:t>
      </w:r>
      <w:r>
        <w:rPr>
          <w:rFonts w:ascii="Times New Roman" w:cs="Times New Roman" w:eastAsia="Times New Roman" w:hAnsi="Times New Roman"/>
          <w:sz w:val="22"/>
          <w:szCs w:val="22"/>
          <w:color w:val="auto"/>
        </w:rPr>
        <w:t>. Each Party will have the right to offset any amount owed by the other Party under or in connection with this Agreement or any Ancillary Agreement which obligation is not being contested by the other Party in good faith, against any payments owed to the other Party under this Agreement or any Ancillary Agreement. Such offsets will be in addition to any other rights or remedies available under this Agreement, any Ancillary Agreement, or Applicable Law.</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13.11.6</w:t>
      </w:r>
      <w:r>
        <w:rPr>
          <w:rFonts w:ascii="Times New Roman" w:cs="Times New Roman" w:eastAsia="Times New Roman" w:hAnsi="Times New Roman"/>
          <w:sz w:val="22"/>
          <w:szCs w:val="22"/>
          <w:u w:val="single" w:color="auto"/>
          <w:color w:val="auto"/>
        </w:rPr>
        <w:t>Taxes; Withholding</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60" w:firstLine="1292"/>
        <w:spacing w:after="0" w:line="227" w:lineRule="auto"/>
        <w:tabs>
          <w:tab w:leader="none" w:pos="260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Each Party will be liable for all taxes legally assessable against it arising from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received under this Agreement, including income, applicable sales or use, goods and services, value added and consumption or other similar fees or taxes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left="660" w:firstLine="1292"/>
        <w:spacing w:after="0" w:line="211" w:lineRule="auto"/>
        <w:tabs>
          <w:tab w:leader="none" w:pos="259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Withholding</w:t>
      </w:r>
      <w:r>
        <w:rPr>
          <w:rFonts w:ascii="Times New Roman" w:cs="Times New Roman" w:eastAsia="Times New Roman" w:hAnsi="Times New Roman"/>
          <w:sz w:val="22"/>
          <w:szCs w:val="22"/>
          <w:color w:val="auto"/>
        </w:rPr>
        <w:t>. If Applicable Law requires the withholding of Taxes, Seagen will subtract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thereof from the Agreement Payments and remit such withheld amount to the relevant Governmental Authority in a timely manner. For the avoidance of doubt, Seagen’s remittance of such withheld Taxes, together with payment to Nurix of the remaining Agreement Payments, will constitute Seagen’s full satisfaction of Agreement Payments under this Agreement. Seagen will promptly (as available) submit to Nurix appropriate proof of payment of the withheld Taxes as well as the official receipts within a reasonable period of time. The Parties agree to cooperate with one another and use reasonable efforts to reduce or eliminate such withholding of Taxes under Applicable Law, including under the benefit of any present or future treaty against double taxation. Upon request from Seagen, Nurix shall furnish to Seagen appropriate IRS W-8 or W-9 series forms (collectively, “</w:t>
      </w:r>
      <w:r>
        <w:rPr>
          <w:rFonts w:ascii="Times New Roman" w:cs="Times New Roman" w:eastAsia="Times New Roman" w:hAnsi="Times New Roman"/>
          <w:sz w:val="22"/>
          <w:szCs w:val="22"/>
          <w:b w:val="1"/>
          <w:bCs w:val="1"/>
          <w:color w:val="auto"/>
        </w:rPr>
        <w:t>U.S. Tax Forms</w:t>
      </w:r>
      <w:r>
        <w:rPr>
          <w:rFonts w:ascii="Times New Roman" w:cs="Times New Roman" w:eastAsia="Times New Roman" w:hAnsi="Times New Roman"/>
          <w:sz w:val="22"/>
          <w:szCs w:val="22"/>
          <w:color w:val="auto"/>
        </w:rPr>
        <w:t>”). Seagen reserves the right to withhold payments due under this Agreement until the valid U.S. Tax Forms have been provided.</w:t>
      </w:r>
    </w:p>
    <w:p>
      <w:pPr>
        <w:spacing w:after="0" w:line="151" w:lineRule="exact"/>
        <w:rPr>
          <w:rFonts w:ascii="Times New Roman" w:cs="Times New Roman" w:eastAsia="Times New Roman" w:hAnsi="Times New Roman"/>
          <w:sz w:val="22"/>
          <w:szCs w:val="22"/>
          <w:color w:val="auto"/>
        </w:rPr>
      </w:pPr>
    </w:p>
    <w:p>
      <w:pPr>
        <w:ind w:left="660" w:firstLine="1292"/>
        <w:spacing w:after="0" w:line="238" w:lineRule="auto"/>
        <w:tabs>
          <w:tab w:leader="none" w:pos="260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Treatment in Profit-Share Product Agreements</w:t>
      </w:r>
      <w:r>
        <w:rPr>
          <w:rFonts w:ascii="Times New Roman" w:cs="Times New Roman" w:eastAsia="Times New Roman" w:hAnsi="Times New Roman"/>
          <w:sz w:val="22"/>
          <w:szCs w:val="22"/>
          <w:color w:val="auto"/>
        </w:rPr>
        <w:t>. The Parties anticipate that any Profit-Share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Product Agreement shall include appropriate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22"/>
          <w:szCs w:val="22"/>
          <w:color w:val="auto"/>
        </w:rPr>
        <w:t>customary provisions regarding tax treatment applicable to such Profit-Share Product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13.11.7</w:t>
      </w:r>
      <w:r>
        <w:rPr>
          <w:rFonts w:ascii="Times New Roman" w:cs="Times New Roman" w:eastAsia="Times New Roman" w:hAnsi="Times New Roman"/>
          <w:sz w:val="22"/>
          <w:szCs w:val="22"/>
          <w:u w:val="single" w:color="auto"/>
          <w:color w:val="auto"/>
        </w:rPr>
        <w:t>Records; Audit Rights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60" w:firstLine="1292"/>
        <w:spacing w:after="0" w:line="216" w:lineRule="auto"/>
        <w:tabs>
          <w:tab w:leader="none" w:pos="260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Records</w:t>
      </w:r>
      <w:r>
        <w:rPr>
          <w:rFonts w:ascii="Times New Roman" w:cs="Times New Roman" w:eastAsia="Times New Roman" w:hAnsi="Times New Roman"/>
          <w:sz w:val="22"/>
          <w:szCs w:val="22"/>
          <w:color w:val="auto"/>
        </w:rPr>
        <w:t>. Each Party (as applicable to such Party) will keep, and will cause their Affiliates and,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Sublicensees, to keep, complete, true, and accurate books and records, to the extent applicable to their respective activities under this Agreement, and, in the case of Seagen, in relation to Net Sales, royalties, Milestone Payments and any other payments required hereunder, as applicable and in accordance with its Accounting Standard. Each Party will keep such books and records for at least [*] following the Calendar Year to which they pertain or for such longer period of time as required under any Applicable Law.</w:t>
      </w:r>
    </w:p>
    <w:p>
      <w:pPr>
        <w:spacing w:after="0" w:line="145" w:lineRule="exact"/>
        <w:rPr>
          <w:rFonts w:ascii="Times New Roman" w:cs="Times New Roman" w:eastAsia="Times New Roman" w:hAnsi="Times New Roman"/>
          <w:sz w:val="22"/>
          <w:szCs w:val="22"/>
          <w:color w:val="auto"/>
        </w:rPr>
      </w:pPr>
    </w:p>
    <w:p>
      <w:pPr>
        <w:jc w:val="both"/>
        <w:ind w:left="660" w:firstLine="1292"/>
        <w:spacing w:after="0" w:line="207" w:lineRule="auto"/>
        <w:tabs>
          <w:tab w:leader="none" w:pos="259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Rights</w:t>
      </w:r>
      <w:r>
        <w:rPr>
          <w:rFonts w:ascii="Times New Roman" w:cs="Times New Roman" w:eastAsia="Times New Roman" w:hAnsi="Times New Roman"/>
          <w:sz w:val="22"/>
          <w:szCs w:val="22"/>
          <w:color w:val="auto"/>
        </w:rPr>
        <w:t>. Subject to the other terms of this Section 13.11.7(b) (Audit Rights), during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the request of Nurix, which will not be made more frequently than [*], upon at least [*] prior written notice from Nurix, and at the expense of Nurix, Seagen will permit an independent, nationally-recognized certified public accountant selected by Nurix and reasonably acceptable to Seagen (the “</w:t>
      </w:r>
      <w:r>
        <w:rPr>
          <w:rFonts w:ascii="Times New Roman" w:cs="Times New Roman" w:eastAsia="Times New Roman" w:hAnsi="Times New Roman"/>
          <w:sz w:val="22"/>
          <w:szCs w:val="22"/>
          <w:b w:val="1"/>
          <w:bCs w:val="1"/>
          <w:color w:val="auto"/>
        </w:rPr>
        <w:t>Auditor</w:t>
      </w:r>
      <w:r>
        <w:rPr>
          <w:rFonts w:ascii="Times New Roman" w:cs="Times New Roman" w:eastAsia="Times New Roman" w:hAnsi="Times New Roman"/>
          <w:sz w:val="22"/>
          <w:szCs w:val="22"/>
          <w:color w:val="auto"/>
        </w:rPr>
        <w:t xml:space="preserve">”) to inspect, during regular business hours, the relevant records required to be maintained by Seagen under Section 13.11.7(a) (Records);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audit right will not apply to records beyond [*] years from the end of the Calendar Year to which they pertain and that records for a particular period may only be audited once. Prior to its inspection, the Auditor will enter into a confidentiality agreement with both Parties having obligations of confidentiality and non-use no less restrictive than those set forth in Article 16 (Confidentiality) and limiting the disclosure and use of such information by such accountant to authorized representatives of the Parties and the purposes germane to Section 13.11.7(a) (Records). The Auditor will report to Nurix only whether the particular amount being audited was accurate and, if not, the amount of any discrepancy and a reasonable summary of the reason for such discrepancy, and the Auditor will not report any other information to Nurix. Nurix will treat the results of the Auditor’s review of Seagen’s records as Confidential Information of Seagen subject to the terms of Article 16 (Confidentiality). In the event such audit leads to the discovery of an underpayment by Seagen, Seagen will, within [*] after receipt of such report from the Auditor, pay Nurix the amount of such underpayment. Nurix shall pay the full cost of the audit unless the underpayment of amounts due to Nurix is either (i) greater than [*] of the amount due for the entire period being examined, or (ii) such underpayment exceeds [*], in either case (i) or (ii) Seagen shall pay the reasonable cost charged to Nurix by the Auditor for the performance of such review. Any undisputed overpayments by Seagen revealed by such an examination will be creditable by Seagen against future payments owed by Seagen to Nurix under this Agreement. Seagen will include substantially similar rights as set forth in this Section 13.11.7(b) (Audit Rights) in any sublicense agreement with its Sublicensee;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sublicense agreement may provide that such audit be conducted by Seagen, its Affiliate or an independent auditor designated by Seagen instead of by an independent auditor designated by Nurix.</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jc w:val="center"/>
        <w:spacing w:after="0"/>
        <w:rPr>
          <w:sz w:val="20"/>
          <w:szCs w:val="20"/>
          <w:color w:val="auto"/>
        </w:rPr>
      </w:pPr>
      <w:r>
        <w:rPr>
          <w:rFonts w:ascii="Times New Roman" w:cs="Times New Roman" w:eastAsia="Times New Roman" w:hAnsi="Times New Roman"/>
          <w:sz w:val="22"/>
          <w:szCs w:val="22"/>
          <w:b w:val="1"/>
          <w:bCs w:val="1"/>
          <w:color w:val="auto"/>
        </w:rPr>
        <w:t>LICENSE GRANT; EXCLUSIVITY</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b w:val="1"/>
          <w:bCs w:val="1"/>
          <w:color w:val="auto"/>
        </w:rPr>
        <w:t>Research Licenses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14.1.1 Subject to the terms and conditions of this Agreement, and on a Collaboration Degrader Target Set-by-Collaboration Degrader Target Set basis, Seagen hereby grants to Nurix a non-exclusive, worldwide, non-transferrable (except pursuant to Section 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5" w:right="339" w:bottom="1440" w:gutter="0" w:footer="0" w:header="0"/>
        </w:sectPr>
      </w:pPr>
    </w:p>
    <w:bookmarkStart w:id="230" w:name="page231"/>
    <w:bookmarkEnd w:id="230"/>
    <w:p>
      <w:pPr>
        <w:jc w:val="both"/>
        <w:spacing w:after="0" w:line="220" w:lineRule="auto"/>
        <w:rPr>
          <w:sz w:val="20"/>
          <w:szCs w:val="20"/>
          <w:color w:val="auto"/>
        </w:rPr>
      </w:pPr>
      <w:r>
        <w:rPr>
          <w:rFonts w:ascii="Times New Roman" w:cs="Times New Roman" w:eastAsia="Times New Roman" w:hAnsi="Times New Roman"/>
          <w:sz w:val="22"/>
          <w:szCs w:val="22"/>
          <w:color w:val="auto"/>
        </w:rPr>
        <w:t>(Assignment; Change of Control)) and sublicensable (solely to Nurix’s subcontractors in accordance with Section 14.4 (Subcontracting) and Section 14.5 (Sublicensing)) license, under Seagen IP, solely to the extent necessary for Nurix to perform the Research activities assigned to Nurix under the applicable Joint Research Plan during the applicable Joint Research Term and in accordance with such Joint Research Plan.</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14.1.2 Subject to the terms and conditions of this Agreement, and on a Collaboration Degrader Target Set-by-Collaboration Degrader Target Set basis, Nurix hereby grants to Seagen a co-exclusive, worldwide, non-transferrable (except pursuant to Section 20.4 (Assignment; Change of Control)) and sublicensable (solely to Seagen’s subcontractors in accordance with Section 14.4 (Subcontracting) and Section 14.5 (Sublicensing)) license, under Nurix IP and Nurix’s interest in the Joint Foreground IP, solely (a) to the extent necessary for Seagen to perform the Seagen Research activities assigned to Seagen under the applicable Joint Research Plan during the applicable Joint Research Term and in accordance with such Joint Research Plan, and (b) to otherwise perform internal research on Collaboration Degrader-Antibody Conjugates and Collaboration Degraders that are Directed To the applicable Collaboration Degrader Target Set, during the applicable Joint Research Term and Degrader License Option Period, and subject to Section 14.7 (Negative Covenant).</w:t>
      </w:r>
    </w:p>
    <w:p>
      <w:pPr>
        <w:spacing w:after="0" w:line="154"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Licensed Degrader License</w:t>
      </w:r>
      <w:r>
        <w:rPr>
          <w:rFonts w:ascii="Times New Roman" w:cs="Times New Roman" w:eastAsia="Times New Roman" w:hAnsi="Times New Roman"/>
          <w:sz w:val="22"/>
          <w:szCs w:val="22"/>
          <w:color w:val="auto"/>
        </w:rPr>
        <w:t>. Subject to the terms and conditions of this Agreement (including Article 5 (Degrader License Option)), on a Licensed Degrader Target Set-by-Licensed Degrader Target Set basis, Nurix hereby grants to Seagen an exclusive (even as to Nurix, except if and to the extent expressly provided in an applicable Nurix Opt-In Agreement (if executed)), non-transferrable (except pursuant to Section 20.4 (Assignment; Change of Control)) and sublicensable (through multiple tiers in accordance with Section 14.5 (Sublicensing)) license under the Nurix IP and Nurix’s interest in the Joint Foreground IP, to research, Develop, Manufacture, Commercialize and otherwise Exploit Licensed Products that contain Licensed Degraders that are Directed To such Licensed Degrader Target Set (for clarity, or a Subset thereof) (including as part of any Licensed Degrader-Antibody Conjugates) in the Field in the Territory (such license, the “</w:t>
      </w:r>
      <w:r>
        <w:rPr>
          <w:rFonts w:ascii="Times New Roman" w:cs="Times New Roman" w:eastAsia="Times New Roman" w:hAnsi="Times New Roman"/>
          <w:sz w:val="22"/>
          <w:szCs w:val="22"/>
          <w:b w:val="1"/>
          <w:bCs w:val="1"/>
          <w:color w:val="auto"/>
        </w:rPr>
        <w:t>Degrader License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Seagen will not exercise its rights under the foregoing Degrader License with respect to any Licensed Degrader Target Set until the Degrader License Effective Date for the applicable Collaboration Degrader Target Set.</w:t>
      </w:r>
    </w:p>
    <w:p>
      <w:pPr>
        <w:spacing w:after="0" w:line="15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b w:val="1"/>
          <w:bCs w:val="1"/>
          <w:color w:val="auto"/>
        </w:rPr>
        <w:t>Reversion Licenses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14.3.1 </w:t>
      </w:r>
      <w:r>
        <w:rPr>
          <w:rFonts w:ascii="Times New Roman" w:cs="Times New Roman" w:eastAsia="Times New Roman" w:hAnsi="Times New Roman"/>
          <w:sz w:val="22"/>
          <w:szCs w:val="22"/>
          <w:u w:val="single" w:color="auto"/>
          <w:color w:val="auto"/>
        </w:rPr>
        <w:t>Reversion Product License Agreement</w:t>
      </w:r>
      <w:r>
        <w:rPr>
          <w:rFonts w:ascii="Times New Roman" w:cs="Times New Roman" w:eastAsia="Times New Roman" w:hAnsi="Times New Roman"/>
          <w:sz w:val="22"/>
          <w:szCs w:val="22"/>
          <w:color w:val="auto"/>
        </w:rPr>
        <w:t>. After a Licensed Degrader Target Set becomes a Former Licensed Degrader Target Set, upon Nurix’s written request to Seagen (which request shall be delivered to Seagen within [*] of such Licensed Degrader Target Set becoming a Former Licensed Degrader Target Set), Seagen shall grant to Nurix an exclusive license to Develop, Manufacture and Commercialize any applicable Reversion Product as it exists at the time the relevant Licensed Degrader Target Set becomes a Former Licensed Degrader Target Set, under the Seagen IP and Seagen’s interest in Joint Foreground IP, in each case, that is necessary or reasonably useful for such Development, Manufacture and Commercialization, in the Field worldwide, pursuant to a license and transition agreement with respect to the Reversion Product in form and substance to be negotiated in good faith and mutually agreed by the Parties as promptly as practicable following the date of Nurix’s request (such agreement, a “</w:t>
      </w:r>
      <w:r>
        <w:rPr>
          <w:rFonts w:ascii="Times New Roman" w:cs="Times New Roman" w:eastAsia="Times New Roman" w:hAnsi="Times New Roman"/>
          <w:sz w:val="22"/>
          <w:szCs w:val="22"/>
          <w:b w:val="1"/>
          <w:bCs w:val="1"/>
          <w:color w:val="auto"/>
        </w:rPr>
        <w:t>Reversion Product License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Reversion Product License Agreement shall not be inconsistent with the terms or conditions of, or require Seagen or its Affiliates to breach or terminate, any agreement between Seagen or its Affiliate and a Third Party related to any Seagen IP;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in the event of any such inconsistency, Seagen shall use Commercially Reasonable Efforts for a reasonable period of time (not to exceed [*] unless otherwise mutually agreed in writing by the Parties) to remove any such inconsistency so that Seagen can grant to Nurix the rights and licenses contemplated by this Section 14.3.1 (Reversion Product License Agreement). In the event the Parties cannot mutually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5" w:right="339" w:bottom="1440" w:gutter="0" w:footer="0" w:header="0"/>
        </w:sectPr>
      </w:pPr>
    </w:p>
    <w:bookmarkStart w:id="231" w:name="page232"/>
    <w:bookmarkEnd w:id="231"/>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agree on the form and substance of a Reversion Product License Agreement within [*] following Nurix’s request, either Party may refer the matter to resolution pursuant to Section 20.6 (Choice of Law; Dispute Resolution; Jurisdiction), and the matter shall not be deemed to be fully and finally resolved until the Parties enter into a Reversion Product License Agreement consistent with the terms of this Section 14.3.1 (Reversion Product License Agreement). Each Reversion Product License Agreement shall provide for the continuing Exploitation by Nurix of the Reversion Product worldwide following the effective date of termination on a commercially reasonable basis consistent with this Section 14.3.1 (Reversion Product License Agreement), including with respect to the wind-down or transition of any ongoing Development, Manufacturing and Commercialization activities with respect to the Reversion Product in accordance with a mutually agreed transition plan attached to the Reversion Product License Agreement. Nurix shall pay to Seagen royalties on [*] (as such term is applied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Nurix and its Affiliates and sublicensees) of such Reversion Product to the extent Covered by any Patent included in the Seagen IP or Joint Foreground IP, at rates to be mutually agreed and set forth in the Reversion Product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-988060</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14.3.2 </w:t>
      </w:r>
      <w:r>
        <w:rPr>
          <w:rFonts w:ascii="Times New Roman" w:cs="Times New Roman" w:eastAsia="Times New Roman" w:hAnsi="Times New Roman"/>
          <w:sz w:val="22"/>
          <w:szCs w:val="22"/>
          <w:u w:val="single" w:color="auto"/>
          <w:color w:val="auto"/>
        </w:rPr>
        <w:t>Potential Reversion Products</w:t>
      </w:r>
      <w:r>
        <w:rPr>
          <w:rFonts w:ascii="Times New Roman" w:cs="Times New Roman" w:eastAsia="Times New Roman" w:hAnsi="Times New Roman"/>
          <w:sz w:val="22"/>
          <w:szCs w:val="22"/>
          <w:color w:val="auto"/>
        </w:rPr>
        <w:t>. After a Licensed Degrader Target Set becomes a Former Licensed Degrader Target Set, upon Nurix’s written request with respect to any Licensed Product other than a Reversion Product (a “</w:t>
      </w:r>
      <w:r>
        <w:rPr>
          <w:rFonts w:ascii="Times New Roman" w:cs="Times New Roman" w:eastAsia="Times New Roman" w:hAnsi="Times New Roman"/>
          <w:sz w:val="22"/>
          <w:szCs w:val="22"/>
          <w:b w:val="1"/>
          <w:bCs w:val="1"/>
          <w:color w:val="auto"/>
        </w:rPr>
        <w:t>Potential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Reversion Product</w:t>
      </w:r>
      <w:r>
        <w:rPr>
          <w:rFonts w:ascii="Times New Roman" w:cs="Times New Roman" w:eastAsia="Times New Roman" w:hAnsi="Times New Roman"/>
          <w:sz w:val="22"/>
          <w:szCs w:val="22"/>
          <w:color w:val="auto"/>
        </w:rPr>
        <w:t>”) (which request shall be delivered to Seagen within [*] of such Licensed Degrader Target Set becoming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Former Licensed Degrader Target Set), Seagen agrees to discuss in good faith for a period of not less than [*] the terms and conditions of an agreement (an “</w:t>
      </w:r>
      <w:r>
        <w:rPr>
          <w:rFonts w:ascii="Times New Roman" w:cs="Times New Roman" w:eastAsia="Times New Roman" w:hAnsi="Times New Roman"/>
          <w:sz w:val="22"/>
          <w:szCs w:val="22"/>
          <w:b w:val="1"/>
          <w:bCs w:val="1"/>
          <w:color w:val="auto"/>
        </w:rPr>
        <w:t>Other Reversion License Agreement</w:t>
      </w:r>
      <w:r>
        <w:rPr>
          <w:rFonts w:ascii="Times New Roman" w:cs="Times New Roman" w:eastAsia="Times New Roman" w:hAnsi="Times New Roman"/>
          <w:sz w:val="22"/>
          <w:szCs w:val="22"/>
          <w:color w:val="auto"/>
        </w:rPr>
        <w:t>”) pursuant to which Seagen would grant to Nurix such rights and licenses (including under the Seagen IP, if applicable) as are necessary for Nurix to continue Exploiting the Potential Reversion Product as it exists at the time the relevant Licensed Degrader Target Set becomes a Former Licensed Degrader Target Set worldwide on a commercially reasonable basis consistent with this Section 14.3.2 (Potential Reversion Products). The terms and conditions of any such agreement must be mutually agreed in writing by the Parties, and a failure to so agree shall not be subject to binding arbitration pursuant to Section 20.6.3 (Arbitration). Neither Party shall have any obligation to enter into an Other Reversion License Agreement.</w:t>
      </w:r>
    </w:p>
    <w:p>
      <w:pPr>
        <w:spacing w:after="0" w:line="153"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b w:val="1"/>
          <w:bCs w:val="1"/>
          <w:color w:val="auto"/>
        </w:rPr>
        <w:t>Subcontracting</w:t>
      </w:r>
      <w:r>
        <w:rPr>
          <w:rFonts w:ascii="Times New Roman" w:cs="Times New Roman" w:eastAsia="Times New Roman" w:hAnsi="Times New Roman"/>
          <w:sz w:val="22"/>
          <w:szCs w:val="22"/>
          <w:color w:val="auto"/>
        </w:rPr>
        <w:t xml:space="preserve">. During the Joint Research Term, each Party may subcontract the performance of tasks and other obligations hereunder to its Affiliates or Third Parties, which subcontract(s) may include a sublicense of rights necessary for the performance of the subcontract as reasonably required;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Third Party will not be deemed to be a Sublicensee as a result of such sublicense and such subcontracting Party will continue to be liable for full performance of its obligations under this Agreement and will be liable for all actions of such Third Party subcontractor or Affiliate (including any Permitted Subcontractors). Notwithstanding the foregoing, Nurix may not subcontract the performance of any of its activities under a Joint Research Plan to any Third Party without Seagen’s prior written 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prior written consent shall not be required for (a) a subcontract between Nurix and a Third Party service provider (such service providers, “</w:t>
      </w:r>
      <w:r>
        <w:rPr>
          <w:rFonts w:ascii="Times New Roman" w:cs="Times New Roman" w:eastAsia="Times New Roman" w:hAnsi="Times New Roman"/>
          <w:sz w:val="22"/>
          <w:szCs w:val="22"/>
          <w:b w:val="1"/>
          <w:bCs w:val="1"/>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Subcontractors</w:t>
      </w:r>
      <w:r>
        <w:rPr>
          <w:rFonts w:ascii="Times New Roman" w:cs="Times New Roman" w:eastAsia="Times New Roman" w:hAnsi="Times New Roman"/>
          <w:sz w:val="22"/>
          <w:szCs w:val="22"/>
          <w:color w:val="auto"/>
        </w:rPr>
        <w:t>”) performing obligations of Nurix under a Joint Research Plan on a fee-for-service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Research Plan will include a list of Permitted Subcontractors, as applicable, and describe in reasonable detail the activities so subcontracted to each such Permitted Subcontractor (if any)), or (b) a subcontract between Nurix and a Third Party vendor providing Nurix with materials or supplies that enable Nurix to perform its obligations under a Joint Research Plan. Each contract between a Party or its Affiliate and a Third Party entered into pursuant to this Section 14.4 (Subcontracting) shall be in writing and consistent with the provisions of this Agreement, and include confidentiality and intellectual property provisions that allow the relevant Party to comply with its obligations hereunder as if such Party were directly performing the relevant activity under the Joint Research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232" w:name="page233"/>
    <w:bookmarkEnd w:id="232"/>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b w:val="1"/>
          <w:bCs w:val="1"/>
          <w:color w:val="auto"/>
        </w:rPr>
        <w:t>Sublicensing</w:t>
      </w:r>
      <w:r>
        <w:rPr>
          <w:rFonts w:ascii="Times New Roman" w:cs="Times New Roman" w:eastAsia="Times New Roman" w:hAnsi="Times New Roman"/>
          <w:sz w:val="22"/>
          <w:szCs w:val="22"/>
          <w:color w:val="auto"/>
        </w:rPr>
        <w:t xml:space="preserve">. If a Party is permitted to grant a sublicense under the rights licensed to such Party under Section 14.1 (Research Licenses) or Section 14.2 (Licensed Degrader License), then such Party may grant such sublicense to Third Parties and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Party complies with the following terms for each such sublicense: (a) any such permitted sublicense shall be consistent with and subject to the terms and conditions of this Agreement; and (b) such Party will provide the other Party with written notice of such sublicense as well as a copy of such sublicense (where financial terms and other provisions that do not affect the rights and obligations of the Parties under this Agreement may be redacted) within thirty</w:t>
      </w:r>
    </w:p>
    <w:p>
      <w:pPr>
        <w:spacing w:after="0" w:line="2" w:lineRule="exact"/>
        <w:rPr>
          <w:sz w:val="20"/>
          <w:szCs w:val="20"/>
          <w:color w:val="auto"/>
        </w:rPr>
      </w:pPr>
    </w:p>
    <w:p>
      <w:pPr>
        <w:jc w:val="both"/>
        <w:ind w:firstLine="8"/>
        <w:spacing w:after="0" w:line="218" w:lineRule="auto"/>
        <w:tabs>
          <w:tab w:leader="none" w:pos="41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sublicense becoming effective; and (c) such Party will continue to be liable for full performance of its obligations under this Agreement and will be liable for all actions of such sublicensed Affiliate or Third Party, as applicable, as if such Affiliate or Third Party, as applicable, were such Party hereunder.</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b w:val="1"/>
          <w:bCs w:val="1"/>
          <w:color w:val="auto"/>
        </w:rPr>
        <w:t>Retained Rights</w:t>
      </w:r>
      <w:r>
        <w:rPr>
          <w:rFonts w:ascii="Times New Roman" w:cs="Times New Roman" w:eastAsia="Times New Roman" w:hAnsi="Times New Roman"/>
          <w:sz w:val="22"/>
          <w:szCs w:val="22"/>
          <w:color w:val="auto"/>
        </w:rPr>
        <w:t>. Each Party retains all rights under Patents, Know-How or other intellectual property rights Controlled by such Party which are not expressly granted to the other Party pursuant to this Agreement. Except as otherwise expressly provided in this Agreement, under no circumstances will a Party or any of its Affiliates, as a result of this Agreement, obtain any ownership interest, license or other right in or to any Patents, Know-How or other intellectual property rights of the other Party, including tangible or intangible items owned, controlled or developed by the other Party, or provided by the other Party to the receiving Party at any time, in each case, pursuant to this Agreement.</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b w:val="1"/>
          <w:bCs w:val="1"/>
          <w:color w:val="auto"/>
        </w:rPr>
        <w:t>Negative Covenant</w:t>
      </w:r>
      <w:r>
        <w:rPr>
          <w:rFonts w:ascii="Times New Roman" w:cs="Times New Roman" w:eastAsia="Times New Roman" w:hAnsi="Times New Roman"/>
          <w:sz w:val="22"/>
          <w:szCs w:val="22"/>
          <w:color w:val="auto"/>
        </w:rPr>
        <w:t>. Notwithstanding anything to the contrary in this Agreement, Seagen shall not modify, and shall not permit any Affiliate or Sublicensee to modify, any Collaboration Degrader or Licensed Degrader other than (a) to conjugate such Collaboration Degrader or Licensed Degrader to an Antibody to make or optimize a Collaboration Degrader-Antibody Conjugate or Licensed Degrader-Antibody Conjugate or (b) as permitted under Section 4.5 (Additional Conjugation Candidates). Without limiting the foregoing sentence, Seagen shall not modify, and shall not permit any Affiliate or Sublicensee to modify, any Collaboration Degrader or Licensed Degrader to be Directed To any Degrader Target(s) other than those within the applicable Collaboration Degrader Target Set or Licensed Degrader Target Set, and shall not Research, Develop or Commercialize, or permit any Affiliate or Sublicensee to Research, Develop or Commercialize, any Licensed Degrader or Licensed Degrader-Antibody Conjugate that is Directed To any Degrader Target(s) other than those within the applicable Licensed Degrader Target Set. Without the express prior written consent of Nurix, in its sole discretion, Seagen shall not make or create, nor permit any Affiliate or Sublicensee to make or create, any Degrader-Antibody Conjugate that contains both (x) a Collaboration Degrader or a Licensed Degrader, and (y) any Degrader that is not a Collaboration Degrader or a Licensed Degrader.</w:t>
      </w:r>
    </w:p>
    <w:p>
      <w:pPr>
        <w:spacing w:after="0" w:line="146"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b w:val="1"/>
          <w:bCs w:val="1"/>
          <w:color w:val="auto"/>
        </w:rPr>
        <w:t>Certain Uses of Foreground IP</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14.8.1 </w:t>
      </w:r>
      <w:r>
        <w:rPr>
          <w:rFonts w:ascii="Times New Roman" w:cs="Times New Roman" w:eastAsia="Times New Roman" w:hAnsi="Times New Roman"/>
          <w:sz w:val="22"/>
          <w:szCs w:val="22"/>
          <w:u w:val="single" w:color="auto"/>
          <w:color w:val="auto"/>
        </w:rPr>
        <w:t>No Restriction on Former Degrader Targets</w:t>
      </w:r>
      <w:r>
        <w:rPr>
          <w:rFonts w:ascii="Times New Roman" w:cs="Times New Roman" w:eastAsia="Times New Roman" w:hAnsi="Times New Roman"/>
          <w:sz w:val="22"/>
          <w:szCs w:val="22"/>
          <w:color w:val="auto"/>
        </w:rPr>
        <w:t>. Notwithstanding anything to the contrary in this Agreement, nothing in this Agreement shall be construed to prevent or limit Nurix or its Affiliates in exercising any rights under any Nurix IP or Nurix’s interest in Joint Foreground IP to research, Develop, Manufacture, Commercialize or otherwise Exploit any Degrader that is Directed To (a) any Former Collaboration Degrader Target or (b) Former Licensed Degrader Target and, in each case ((a) and (b)), not Directed To any Collaboration Degrader Target, any Licensed Degrader Target, or any Degrader Target in a Reserved Degrader Target Set.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14.8.2 </w:t>
      </w:r>
      <w:r>
        <w:rPr>
          <w:rFonts w:ascii="Times New Roman" w:cs="Times New Roman" w:eastAsia="Times New Roman" w:hAnsi="Times New Roman"/>
          <w:sz w:val="22"/>
          <w:szCs w:val="22"/>
          <w:u w:val="single" w:color="auto"/>
          <w:color w:val="auto"/>
        </w:rPr>
        <w:t>Restriction on Collaboration Degrader Targets</w:t>
      </w:r>
      <w:r>
        <w:rPr>
          <w:rFonts w:ascii="Times New Roman" w:cs="Times New Roman" w:eastAsia="Times New Roman" w:hAnsi="Times New Roman"/>
          <w:sz w:val="22"/>
          <w:szCs w:val="22"/>
          <w:color w:val="auto"/>
        </w:rPr>
        <w:t>. Without limiting Section 14.9.1 (Collaboration Degrader Target Set Exclusivity), except as expressly permitted under a Reversion Product License Agreement or Other Reversion License Agreement or as required to perform Nurix’s obligations under this Agreement or an Ancillary Agreement, neither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1" w:right="339" w:bottom="1440" w:gutter="0" w:footer="0" w:header="0"/>
        </w:sectPr>
      </w:pPr>
    </w:p>
    <w:bookmarkStart w:id="233" w:name="page234"/>
    <w:bookmarkEnd w:id="233"/>
    <w:p>
      <w:pPr>
        <w:jc w:val="both"/>
        <w:spacing w:after="0" w:line="212" w:lineRule="auto"/>
        <w:rPr>
          <w:sz w:val="20"/>
          <w:szCs w:val="20"/>
          <w:color w:val="auto"/>
        </w:rPr>
      </w:pPr>
      <w:r>
        <w:rPr>
          <w:rFonts w:ascii="Times New Roman" w:cs="Times New Roman" w:eastAsia="Times New Roman" w:hAnsi="Times New Roman"/>
          <w:sz w:val="22"/>
          <w:szCs w:val="22"/>
          <w:color w:val="auto"/>
        </w:rPr>
        <w:t>Nurix nor its Affiliates shall, whether alone, with or through a Third Party, (a) use any Foreground IP (for clarity, including any Joint Foreground IP and any Nurix IP that is Foreground IP) to research, Develop, Manufacture, Commercialize or otherwise Exploit anywhere in the Territory any Degrader (or any product containing any such Degrader) that is Directed To any Collaboration Degrader Target (or any Degrader Target Set that includes any Collaboration Degrader Target), or (b) research, Develop, Manufacture, Commercialize or otherwise Exploit anywhere in the Territory any Degrader (or any product containing any such Degrader) that is (i) Directed To any Collaboration Degrader Target (or any Degrader Target Set that includes any Collaboration Degrader Target) and (ii) Covered by any Foreground IP (for clarity, including any Joint Foreground IP and any Nurix IP that is Foreground IP).</w:t>
      </w:r>
    </w:p>
    <w:p>
      <w:pPr>
        <w:spacing w:after="0" w:line="15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14.8.3 </w:t>
      </w:r>
      <w:r>
        <w:rPr>
          <w:rFonts w:ascii="Times New Roman" w:cs="Times New Roman" w:eastAsia="Times New Roman" w:hAnsi="Times New Roman"/>
          <w:sz w:val="22"/>
          <w:szCs w:val="22"/>
          <w:u w:val="single" w:color="auto"/>
          <w:color w:val="auto"/>
        </w:rPr>
        <w:t>Restriction on Licensed Degrader Targets</w:t>
      </w:r>
      <w:r>
        <w:rPr>
          <w:rFonts w:ascii="Times New Roman" w:cs="Times New Roman" w:eastAsia="Times New Roman" w:hAnsi="Times New Roman"/>
          <w:sz w:val="22"/>
          <w:szCs w:val="22"/>
          <w:color w:val="auto"/>
        </w:rPr>
        <w:t>. Without limiting Section 14.9.3 (Licensed Degrader Target Set Exclusivity) or Section 14.9.4 ([*] Licensed Degrader Target Set Exclusivity), except as expressly permitted under a Reversion Product License Agreement or Other Reversion License Agreement or as required to perform Nurix’s obligations under this Agreement or an Ancillary Agreement, neither Nurix nor its Affiliates shall, whether alone, with or through a Third Party, (a) use any Foreground IP (for clarity, including any Joint Foreground IP and any Nurix IP that is Foreground IP) to research, Develop, Manufacture, Commercialize or otherwise Exploit anywhere in the Territory any Degrader (or any product containing any such Degrader) that is Directed To any Licensed Degrader Target (or any Degrader Target Set that includes any Licensed Degrader Target), or (b) research, Develop, Manufacture, Commercialize or otherwise Exploit anywhere in the Territory any Degrader (or any product containing any such Degrader) that is (i) Directed To any Licensed Degrader Target (or any Degrader Target Set that includes any Licensed Degrader Target) and (ii) Covered by any Foreground IP (for clarity, including any Joint Foreground IP and any Nurix IP that is Foreground IP).</w:t>
      </w:r>
    </w:p>
    <w:p>
      <w:pPr>
        <w:spacing w:after="0" w:line="15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b w:val="1"/>
          <w:bCs w:val="1"/>
          <w:color w:val="auto"/>
        </w:rPr>
        <w:t>Exclusivity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14.9.1 </w:t>
      </w:r>
      <w:r>
        <w:rPr>
          <w:rFonts w:ascii="Times New Roman" w:cs="Times New Roman" w:eastAsia="Times New Roman" w:hAnsi="Times New Roman"/>
          <w:sz w:val="22"/>
          <w:szCs w:val="22"/>
          <w:u w:val="single" w:color="auto"/>
          <w:color w:val="auto"/>
        </w:rPr>
        <w:t>Collaboration Degrader Target Set Exclusivity</w:t>
      </w:r>
      <w:r>
        <w:rPr>
          <w:rFonts w:ascii="Times New Roman" w:cs="Times New Roman" w:eastAsia="Times New Roman" w:hAnsi="Times New Roman"/>
          <w:sz w:val="22"/>
          <w:szCs w:val="22"/>
          <w:color w:val="auto"/>
        </w:rPr>
        <w:t>. Subject to Section 14.9.5 (Exceptions to Exclusivity), on a Collaboration Degrader Target Set-by-Collaboration Degrader Target Set basis during the applicable Exclusivity Period described in Section 1.92(a), neither Nurix nor its Affiliates will, whether alone, with or through a Third Party, research, Develop, Manufacture, Commercialize, or otherwise Exploit anywhere in the Territory any Degrader that is Directed To (a) such Collaboration Degrader Target Set or any Subset thereof, or (b) any Degrader Target Set for which a Degrader Target Set described in clause (a) is a Subset.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14.9.2 </w:t>
      </w:r>
      <w:r>
        <w:rPr>
          <w:rFonts w:ascii="Times New Roman" w:cs="Times New Roman" w:eastAsia="Times New Roman" w:hAnsi="Times New Roman"/>
          <w:sz w:val="22"/>
          <w:szCs w:val="22"/>
          <w:u w:val="single" w:color="auto"/>
          <w:color w:val="auto"/>
        </w:rPr>
        <w:t>Reserved Degrader Target Set Exclusivity</w:t>
      </w:r>
      <w:r>
        <w:rPr>
          <w:rFonts w:ascii="Times New Roman" w:cs="Times New Roman" w:eastAsia="Times New Roman" w:hAnsi="Times New Roman"/>
          <w:sz w:val="22"/>
          <w:szCs w:val="22"/>
          <w:color w:val="auto"/>
        </w:rPr>
        <w:t>. Subject to Section 14.9.5 (Exceptions to Exclusivity), on a Reserved Degrader Target Set-by-Reserved Degrader Target Set basis during the applicable Exclusivity Period described in Section 1.92(d), neither Nurix nor its Affiliates will, whether alone, with or through a Third Party, research, Develop, Manufacture, Commercialize, or otherwise Exploit anywhere in the Territory any Degrader that is Directed To (a) any Reserved Degrader Target Set or any Subset thereof or (b) any Degrader Target Set for which a Degrader Target Set described in clause (a) is a Subset.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14.9.3 </w:t>
      </w:r>
      <w:r>
        <w:rPr>
          <w:rFonts w:ascii="Times New Roman" w:cs="Times New Roman" w:eastAsia="Times New Roman" w:hAnsi="Times New Roman"/>
          <w:sz w:val="22"/>
          <w:szCs w:val="22"/>
          <w:u w:val="single" w:color="auto"/>
          <w:color w:val="auto"/>
        </w:rPr>
        <w:t>Licensed Degrader Target Set Exclusivity</w:t>
      </w:r>
      <w:r>
        <w:rPr>
          <w:rFonts w:ascii="Times New Roman" w:cs="Times New Roman" w:eastAsia="Times New Roman" w:hAnsi="Times New Roman"/>
          <w:sz w:val="22"/>
          <w:szCs w:val="22"/>
          <w:color w:val="auto"/>
        </w:rPr>
        <w:t>. Subject to Section 14.9.5 (Exceptions to Exclusivity), on a Licensed Degrader Target Set-by-Licensed Degrader Target Set basis during the applicable Exclusivity Period described in Section 1.92(b), neither Nurix nor its Affiliates will, whether alone, with or through a Third Party, research, Develop, Manufacture, Commercialize, or otherwise Exploit anywhere in the Territory any Degrader that is Directed To (a) such Licensed Degrader Target Set or any Subset thereof or (b) any Degrader Target Set for which a Degrader Target Set described in clause (a) is a Subset.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234" w:name="page235"/>
    <w:bookmarkEnd w:id="234"/>
    <w:p>
      <w:pPr>
        <w:ind w:left="1300"/>
        <w:spacing w:after="0"/>
        <w:rPr>
          <w:sz w:val="20"/>
          <w:szCs w:val="20"/>
          <w:color w:val="auto"/>
        </w:rPr>
      </w:pPr>
      <w:r>
        <w:rPr>
          <w:rFonts w:ascii="Times New Roman" w:cs="Times New Roman" w:eastAsia="Times New Roman" w:hAnsi="Times New Roman"/>
          <w:sz w:val="21"/>
          <w:szCs w:val="21"/>
          <w:color w:val="auto"/>
        </w:rPr>
        <w:t xml:space="preserve">14.9.4 [*] </w:t>
      </w:r>
      <w:r>
        <w:rPr>
          <w:rFonts w:ascii="Times New Roman" w:cs="Times New Roman" w:eastAsia="Times New Roman" w:hAnsi="Times New Roman"/>
          <w:sz w:val="21"/>
          <w:szCs w:val="21"/>
          <w:u w:val="single" w:color="auto"/>
          <w:color w:val="auto"/>
        </w:rPr>
        <w:t>Licensed Degrader Target Set Exclusivity</w:t>
      </w:r>
      <w:r>
        <w:rPr>
          <w:rFonts w:ascii="Times New Roman" w:cs="Times New Roman" w:eastAsia="Times New Roman" w:hAnsi="Times New Roman"/>
          <w:sz w:val="21"/>
          <w:szCs w:val="21"/>
          <w:color w:val="auto"/>
        </w:rPr>
        <w:t>. Subject to Section 14.9.5 (Exceptions to Exclusivity), on an</w:t>
      </w:r>
    </w:p>
    <w:p>
      <w:pPr>
        <w:jc w:val="both"/>
        <w:ind w:firstLine="8"/>
        <w:spacing w:after="0" w:line="209" w:lineRule="auto"/>
        <w:tabs>
          <w:tab w:leader="none" w:pos="30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Licensed Degrader Target Set-by-[*] Licensed Degrader Target Set basis during the applicable Exclusivity Period described in Section 1.92(c), neither Nurix nor its Affiliates will, whether alone, with or through a Third Party, research, Develop, Manufacture, Commercialize or otherwise Exploit anywhere in the Territory any Degrader that is (a) Pan-Directed To the [*] Licensed Degrader Target Set or (b) Pan-Directed To any Degrader Target Set for which such [*] Licensed Degrader Target Set is a Subset. For clarity, this Section 14.9.4 ([*] Licensed Degrader Target Set Exclusivity) will not prevent Nurix or its Affiliates, whether alone, with or through a Third Party, from researching, Developing, Manufacturing, Commercializing or otherwise Exploiting Degraders that are not (i) Pan-Directed To the applicable [*] Licensed Degrader Target Set or (ii) Pan-Directed To a Degrader Target Set for which such [*] Licensed Degrader Target Set is a Subset.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14.9.5 </w:t>
      </w:r>
      <w:r>
        <w:rPr>
          <w:rFonts w:ascii="Times New Roman" w:cs="Times New Roman" w:eastAsia="Times New Roman" w:hAnsi="Times New Roman"/>
          <w:sz w:val="22"/>
          <w:szCs w:val="22"/>
          <w:u w:val="single" w:color="auto"/>
          <w:color w:val="auto"/>
        </w:rPr>
        <w:t>Exceptions to Exclusivity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1292"/>
        <w:spacing w:after="0" w:line="220" w:lineRule="auto"/>
        <w:tabs>
          <w:tab w:leader="none" w:pos="260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Nurix’s performance of an assay or test for a Degrader Target Set for the purposes of screening or determining a Degrader’s off-target activity shall not be considered performing Research on any Degrader that is Directed To such Degrader Target Set and shall not be a breach of Section 14.9 (Exclusivity).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6" w:lineRule="auto"/>
        <w:tabs>
          <w:tab w:leader="none" w:pos="2599"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during the Term of this Agreement, if Seagen or its Affiliate(s) (excluding any Affiliates in any Acquiring Entity Family) obtains ownership of, or an exclusive license to Commercialize, any product containing or comprising a Degrader (other than a Licensed Degrader) that is Directed To any Licensed Degrader Target Set or any Subset of such Licensed Degrader Target Set and such product is then currently the subject of an active internal research or development program by Seagen or such Affiliates, then Seagen shall notify Nurix within [*] days after obtaining such ownership or license or initiating such research or development program (to the extent such ownership, license or research or development program results in such Degrader being subject to this clause (b)), which notice shall indicate the applicable date such Degrader became subject to this clause (b), and after the [*] day following Seagen obtaining such ownership or license, or initiating such research or development program, as applicable (and subject to the remainder of this Section 14.9.5(b)), Nurix shall no longer be subject to any exclusivity obligations with respect to such Licensed Degrader Target Set under Section 14.9.3 (Licensed Degrader Target Set Exclusivity) or Section 14.9.4 ([*] Licensed Degrader Target Set Exclusivity);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Nurix reasonably determines that it is no longer subject to such exclusivity obligations with respect to a Licensed Degrader Target Set pursuant to this clause (b) and Nurix has not received a written notice to that effect from Seagen hereunder, Nurix shall notify Seagen in writing of its determination;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if Seagen disputes whether Nurix is subject to such exclusivity obligations pursuant to this clause</w:t>
      </w:r>
    </w:p>
    <w:p>
      <w:pPr>
        <w:spacing w:after="0" w:line="3" w:lineRule="exact"/>
        <w:rPr>
          <w:rFonts w:ascii="Times New Roman" w:cs="Times New Roman" w:eastAsia="Times New Roman" w:hAnsi="Times New Roman"/>
          <w:sz w:val="21"/>
          <w:szCs w:val="21"/>
          <w:color w:val="auto"/>
        </w:rPr>
      </w:pPr>
    </w:p>
    <w:p>
      <w:pPr>
        <w:jc w:val="both"/>
        <w:ind w:left="660" w:hanging="4"/>
        <w:spacing w:after="0" w:line="211" w:lineRule="auto"/>
        <w:tabs>
          <w:tab w:leader="none" w:pos="97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the material facts set forth in Nurix’s notice, and so notifies Nurix within [*] Business Days following delivery to Seagen of Nurix’s written notice, Nurix shall remain subject to the applicable exclusivity obligations unless and until (i) the Parties mutually agree in writing that this clause (b) applies and Nurix is no longer subject to such exclusivity obligations under the relevant circumstances, or (ii) the conclusion of a dispute resolution process under Section 20.6 (Choice of Law; Dispute Resolution; Jurisdiction) resulting in a final determination that this clause (b) applies and Nurix is no longer subject to such exclusivity obligations under the relevant circumstances.</w:t>
      </w:r>
    </w:p>
    <w:p>
      <w:pPr>
        <w:spacing w:after="0" w:line="153"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Section 14.9 (Exclusivity) to the contrary, if Nurix undergoes a Change of Control, and on the date of the closing of such Change of Control, the Acquiring Entities are researching, Developing,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3" w:right="339" w:bottom="1440" w:gutter="0" w:footer="0" w:header="0"/>
        </w:sectPr>
      </w:pPr>
    </w:p>
    <w:bookmarkStart w:id="235" w:name="page236"/>
    <w:bookmarkEnd w:id="235"/>
    <w:p>
      <w:pPr>
        <w:jc w:val="both"/>
        <w:ind w:left="660"/>
        <w:spacing w:after="0" w:line="226" w:lineRule="auto"/>
        <w:rPr>
          <w:sz w:val="20"/>
          <w:szCs w:val="20"/>
          <w:color w:val="auto"/>
        </w:rPr>
      </w:pPr>
      <w:r>
        <w:rPr>
          <w:rFonts w:ascii="Times New Roman" w:cs="Times New Roman" w:eastAsia="Times New Roman" w:hAnsi="Times New Roman"/>
          <w:sz w:val="21"/>
          <w:szCs w:val="21"/>
          <w:color w:val="auto"/>
        </w:rPr>
        <w:t>Commercializing a product that is subject to Section 14.9.1 (Collaboration Degrader Target Set Exclusivity), Section 14.9.2 (Reserved Degrader Target Set Exclusivity), Section 14.9.3 (Licensed Degrader Target Set Exclusivity) or Section</w:t>
      </w:r>
    </w:p>
    <w:p>
      <w:pPr>
        <w:spacing w:after="0" w:line="1" w:lineRule="exact"/>
        <w:rPr>
          <w:sz w:val="20"/>
          <w:szCs w:val="20"/>
          <w:color w:val="auto"/>
        </w:rPr>
      </w:pPr>
    </w:p>
    <w:p>
      <w:pPr>
        <w:jc w:val="both"/>
        <w:ind w:left="660"/>
        <w:spacing w:after="0" w:line="214" w:lineRule="auto"/>
        <w:rPr>
          <w:sz w:val="20"/>
          <w:szCs w:val="20"/>
          <w:color w:val="auto"/>
        </w:rPr>
      </w:pPr>
      <w:r>
        <w:rPr>
          <w:rFonts w:ascii="Times New Roman" w:cs="Times New Roman" w:eastAsia="Times New Roman" w:hAnsi="Times New Roman"/>
          <w:sz w:val="22"/>
          <w:szCs w:val="22"/>
          <w:color w:val="auto"/>
        </w:rPr>
        <w:t>14.9.4 ([*] Licensed Degrader Target Set Exclusivity) at such time for use in the Field (such product a “</w:t>
      </w:r>
      <w:r>
        <w:rPr>
          <w:rFonts w:ascii="Times New Roman" w:cs="Times New Roman" w:eastAsia="Times New Roman" w:hAnsi="Times New Roman"/>
          <w:sz w:val="22"/>
          <w:szCs w:val="22"/>
          <w:b w:val="1"/>
          <w:bCs w:val="1"/>
          <w:color w:val="auto"/>
        </w:rPr>
        <w:t>Competing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then Nurix will not be in breach of Section 14.9 (Exclusivity) as a result of such Change of Control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continuation of such activities by such Acquiring Entities thereafter;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Nurix, its Affiliates and such Acquiring Entities Segregate such Competing Product.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MATTERS</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15.1.1 </w:t>
      </w:r>
      <w:r>
        <w:rPr>
          <w:rFonts w:ascii="Times New Roman" w:cs="Times New Roman" w:eastAsia="Times New Roman" w:hAnsi="Times New Roman"/>
          <w:sz w:val="22"/>
          <w:szCs w:val="22"/>
          <w:u w:val="single" w:color="auto"/>
          <w:color w:val="auto"/>
        </w:rPr>
        <w:t>Background IP</w:t>
      </w:r>
      <w:r>
        <w:rPr>
          <w:rFonts w:ascii="Times New Roman" w:cs="Times New Roman" w:eastAsia="Times New Roman" w:hAnsi="Times New Roman"/>
          <w:sz w:val="22"/>
          <w:szCs w:val="22"/>
          <w:color w:val="auto"/>
        </w:rPr>
        <w:t>. As between the Parties, each Party will retain ownership (including all prosecution, maintenance, defense and enforcement rights) of all Patents, Know-How and other intellectual property rights that are existing and owned or Controlled by such Party prior to the Effective Date or are otherwise developed or obtained independently by such Party and outside the scope of conducting the Joint Research Plans or the Research, Development, Manufacture, or Commercialization of Collaboration Degraders, Collaboration Degrader-Antibody Conjugates, or Licensed Products contemplated by this Agreement (with respect to such Party, its “</w:t>
      </w:r>
      <w:r>
        <w:rPr>
          <w:rFonts w:ascii="Times New Roman" w:cs="Times New Roman" w:eastAsia="Times New Roman" w:hAnsi="Times New Roman"/>
          <w:sz w:val="22"/>
          <w:szCs w:val="22"/>
          <w:b w:val="1"/>
          <w:bCs w:val="1"/>
          <w:color w:val="auto"/>
        </w:rPr>
        <w:t>Background IP</w:t>
      </w:r>
      <w:r>
        <w:rPr>
          <w:rFonts w:ascii="Times New Roman" w:cs="Times New Roman" w:eastAsia="Times New Roman" w:hAnsi="Times New Roman"/>
          <w:sz w:val="22"/>
          <w:szCs w:val="22"/>
          <w:color w:val="auto"/>
        </w:rPr>
        <w:t>”). For clarity, Background IP that is solely owned or Controlled by Seagen will be “</w:t>
      </w:r>
      <w:r>
        <w:rPr>
          <w:rFonts w:ascii="Times New Roman" w:cs="Times New Roman" w:eastAsia="Times New Roman" w:hAnsi="Times New Roman"/>
          <w:sz w:val="22"/>
          <w:szCs w:val="22"/>
          <w:b w:val="1"/>
          <w:bCs w:val="1"/>
          <w:color w:val="auto"/>
        </w:rPr>
        <w:t>Seagen Background IP</w:t>
      </w:r>
      <w:r>
        <w:rPr>
          <w:rFonts w:ascii="Times New Roman" w:cs="Times New Roman" w:eastAsia="Times New Roman" w:hAnsi="Times New Roman"/>
          <w:sz w:val="22"/>
          <w:szCs w:val="22"/>
          <w:color w:val="auto"/>
        </w:rPr>
        <w:t>.” Background IP that is solely owned or Controlled by Nurix will be “</w:t>
      </w:r>
      <w:r>
        <w:rPr>
          <w:rFonts w:ascii="Times New Roman" w:cs="Times New Roman" w:eastAsia="Times New Roman" w:hAnsi="Times New Roman"/>
          <w:sz w:val="22"/>
          <w:szCs w:val="22"/>
          <w:b w:val="1"/>
          <w:bCs w:val="1"/>
          <w:color w:val="auto"/>
        </w:rPr>
        <w:t>Nurix Background IP</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color w:val="auto"/>
        </w:rPr>
        <w:t xml:space="preserve">15.1.2 </w:t>
      </w:r>
      <w:r>
        <w:rPr>
          <w:rFonts w:ascii="Times New Roman" w:cs="Times New Roman" w:eastAsia="Times New Roman" w:hAnsi="Times New Roman"/>
          <w:sz w:val="21"/>
          <w:szCs w:val="21"/>
          <w:u w:val="single" w:color="auto"/>
          <w:color w:val="auto"/>
        </w:rPr>
        <w:t>Foreground IP</w:t>
      </w:r>
      <w:r>
        <w:rPr>
          <w:rFonts w:ascii="Times New Roman" w:cs="Times New Roman" w:eastAsia="Times New Roman" w:hAnsi="Times New Roman"/>
          <w:sz w:val="21"/>
          <w:szCs w:val="21"/>
          <w:color w:val="auto"/>
        </w:rPr>
        <w:t>. As between the Parties, with respect to any and all data, results, discoveries, improvements, or Inventions (whether or not patentable) conceived, made, created, or reduced to practice solely by or on behalf of either Party or jointly by the Parties during the Term of this Agreement and in the course of conducting the Joint Research Plans or the Research, Development, Manufacturing, or Commercialization of Collaboration Degraders, Collaboration Degrader-Antibody Conjugates, or Licensed Products contemplated by this Agreement (together with all intellectual property rights therein, including all Patents related thereto, the “</w:t>
      </w:r>
      <w:r>
        <w:rPr>
          <w:rFonts w:ascii="Times New Roman" w:cs="Times New Roman" w:eastAsia="Times New Roman" w:hAnsi="Times New Roman"/>
          <w:sz w:val="21"/>
          <w:szCs w:val="21"/>
          <w:b w:val="1"/>
          <w:bCs w:val="1"/>
          <w:color w:val="auto"/>
        </w:rPr>
        <w:t>Foreground IP</w:t>
      </w:r>
      <w:r>
        <w:rPr>
          <w:rFonts w:ascii="Times New Roman" w:cs="Times New Roman" w:eastAsia="Times New Roman" w:hAnsi="Times New Roman"/>
          <w:sz w:val="21"/>
          <w:szCs w:val="21"/>
          <w:color w:val="auto"/>
        </w:rPr>
        <w:t xml:space="preserve">”), any Foreground IP made, created conceived of or reduced to practice (a) solely by a Party’s or any of its Affiliates’ employees, independent contractors or consultants will be owned by such Party, or (b) jointly by each Party’s (or any of its Affiliates’) employees, independent contractors or consultants will be jointly owned by the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notwithstanding anything to the contrary in clauses (a) or (b) above and irrespective of inventorship: (x) Seagen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solely own any and all Foreground Antibody/Conjugation IP; and (y) Nurix will solely own any and all Foreground DEL IP and Foreground Degrader IP. Subject to the terms and conditions of this Agreement, including those in Article 14 (License Grant; Exclusivity), either Party will be able to freely Exploit the Joint Foreground IP without accounting to the other Party. Foreground IP that is solely owned by Seagen under this Section 15.1.2 (Foreground IP) will be “</w:t>
      </w:r>
      <w:r>
        <w:rPr>
          <w:rFonts w:ascii="Times New Roman" w:cs="Times New Roman" w:eastAsia="Times New Roman" w:hAnsi="Times New Roman"/>
          <w:sz w:val="21"/>
          <w:szCs w:val="21"/>
          <w:b w:val="1"/>
          <w:bCs w:val="1"/>
          <w:color w:val="auto"/>
        </w:rPr>
        <w:t>Seagen Foreground IP</w:t>
      </w:r>
      <w:r>
        <w:rPr>
          <w:rFonts w:ascii="Times New Roman" w:cs="Times New Roman" w:eastAsia="Times New Roman" w:hAnsi="Times New Roman"/>
          <w:sz w:val="21"/>
          <w:szCs w:val="21"/>
          <w:color w:val="auto"/>
        </w:rPr>
        <w:t>,” and Patents included in the Seagen Foreground IP will be “</w:t>
      </w:r>
      <w:r>
        <w:rPr>
          <w:rFonts w:ascii="Times New Roman" w:cs="Times New Roman" w:eastAsia="Times New Roman" w:hAnsi="Times New Roman"/>
          <w:sz w:val="21"/>
          <w:szCs w:val="21"/>
          <w:b w:val="1"/>
          <w:bCs w:val="1"/>
          <w:color w:val="auto"/>
        </w:rPr>
        <w:t>Seagen Foreground Patents</w:t>
      </w:r>
      <w:r>
        <w:rPr>
          <w:rFonts w:ascii="Times New Roman" w:cs="Times New Roman" w:eastAsia="Times New Roman" w:hAnsi="Times New Roman"/>
          <w:sz w:val="21"/>
          <w:szCs w:val="21"/>
          <w:color w:val="auto"/>
        </w:rPr>
        <w:t>.” Foreground IP that is solely owned by Nurix under this Section 15.1.2 (Foreground IP) will be “</w:t>
      </w:r>
      <w:r>
        <w:rPr>
          <w:rFonts w:ascii="Times New Roman" w:cs="Times New Roman" w:eastAsia="Times New Roman" w:hAnsi="Times New Roman"/>
          <w:sz w:val="21"/>
          <w:szCs w:val="21"/>
          <w:b w:val="1"/>
          <w:bCs w:val="1"/>
          <w:color w:val="auto"/>
        </w:rPr>
        <w:t>Nurix Foreground IP</w:t>
      </w:r>
      <w:r>
        <w:rPr>
          <w:rFonts w:ascii="Times New Roman" w:cs="Times New Roman" w:eastAsia="Times New Roman" w:hAnsi="Times New Roman"/>
          <w:sz w:val="21"/>
          <w:szCs w:val="21"/>
          <w:color w:val="auto"/>
        </w:rPr>
        <w:t>,” and Patents included in the Nurix Foreground IP shall be “</w:t>
      </w:r>
      <w:r>
        <w:rPr>
          <w:rFonts w:ascii="Times New Roman" w:cs="Times New Roman" w:eastAsia="Times New Roman" w:hAnsi="Times New Roman"/>
          <w:sz w:val="21"/>
          <w:szCs w:val="21"/>
          <w:b w:val="1"/>
          <w:bCs w:val="1"/>
          <w:color w:val="auto"/>
        </w:rPr>
        <w:t>Nurix Foreground Patents</w:t>
      </w:r>
      <w:r>
        <w:rPr>
          <w:rFonts w:ascii="Times New Roman" w:cs="Times New Roman" w:eastAsia="Times New Roman" w:hAnsi="Times New Roman"/>
          <w:sz w:val="21"/>
          <w:szCs w:val="21"/>
          <w:color w:val="auto"/>
        </w:rPr>
        <w:t>.” Foreground IP that is jointly owned by the Parties under this Section 15.1.2 (Foreground IP) will be “</w:t>
      </w:r>
      <w:r>
        <w:rPr>
          <w:rFonts w:ascii="Times New Roman" w:cs="Times New Roman" w:eastAsia="Times New Roman" w:hAnsi="Times New Roman"/>
          <w:sz w:val="21"/>
          <w:szCs w:val="21"/>
          <w:b w:val="1"/>
          <w:bCs w:val="1"/>
          <w:color w:val="auto"/>
        </w:rPr>
        <w:t>Joint Foreground IP</w:t>
      </w:r>
      <w:r>
        <w:rPr>
          <w:rFonts w:ascii="Times New Roman" w:cs="Times New Roman" w:eastAsia="Times New Roman" w:hAnsi="Times New Roman"/>
          <w:sz w:val="21"/>
          <w:szCs w:val="21"/>
          <w:color w:val="auto"/>
        </w:rPr>
        <w:t>,” and Patents included in the Joint Foreground IP will be “</w:t>
      </w:r>
      <w:r>
        <w:rPr>
          <w:rFonts w:ascii="Times New Roman" w:cs="Times New Roman" w:eastAsia="Times New Roman" w:hAnsi="Times New Roman"/>
          <w:sz w:val="21"/>
          <w:szCs w:val="21"/>
          <w:b w:val="1"/>
          <w:bCs w:val="1"/>
          <w:color w:val="auto"/>
        </w:rPr>
        <w:t>Joint Foreground Patents</w:t>
      </w:r>
      <w:r>
        <w:rPr>
          <w:rFonts w:ascii="Times New Roman" w:cs="Times New Roman" w:eastAsia="Times New Roman" w:hAnsi="Times New Roman"/>
          <w:sz w:val="21"/>
          <w:szCs w:val="21"/>
          <w:color w:val="auto"/>
        </w:rPr>
        <w:t>.” All determinations of inventorship under this Agreement will be made in accordance with U.S. patent law. For clarity, ownership of Foreground IP that primarily relates to (i) attachment moieties, generally, or (ii) without limiting the definition of “Foreground DEL IP” hereunder, any process or method of attaching attachment moieties to chemical entities, generally, shall follow inventorship, as determined in accordance with this Section 15.1.2 (Foreground IP), and such Foreground IP shall not be considered Foreground DEL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236" w:name="page237"/>
    <w:bookmarkEnd w:id="236"/>
    <w:p>
      <w:pPr>
        <w:jc w:val="both"/>
        <w:spacing w:after="0" w:line="225" w:lineRule="auto"/>
        <w:rPr>
          <w:sz w:val="20"/>
          <w:szCs w:val="20"/>
          <w:color w:val="auto"/>
        </w:rPr>
      </w:pPr>
      <w:r>
        <w:rPr>
          <w:rFonts w:ascii="Times New Roman" w:cs="Times New Roman" w:eastAsia="Times New Roman" w:hAnsi="Times New Roman"/>
          <w:sz w:val="22"/>
          <w:szCs w:val="22"/>
          <w:color w:val="auto"/>
        </w:rPr>
        <w:t>Foreground Degrader IP or Foreground Antibody/Conjugation IP hereunder. Notwithstanding any of the rights allocated in this Section 15.1.2 (Foreground IP), Seagen Foreground IP and Joint Foreground IP will be subject to the Nurix rights and other terms and conditions set forth in Section 14.3 (Reversion Licenses).</w:t>
      </w:r>
    </w:p>
    <w:p>
      <w:pPr>
        <w:spacing w:after="0" w:line="15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15.1.3 </w:t>
      </w:r>
      <w:r>
        <w:rPr>
          <w:rFonts w:ascii="Times New Roman" w:cs="Times New Roman" w:eastAsia="Times New Roman" w:hAnsi="Times New Roman"/>
          <w:sz w:val="21"/>
          <w:szCs w:val="21"/>
          <w:u w:val="single" w:color="auto"/>
          <w:color w:val="auto"/>
        </w:rPr>
        <w:t>Invention Assignments</w:t>
      </w:r>
      <w:r>
        <w:rPr>
          <w:rFonts w:ascii="Times New Roman" w:cs="Times New Roman" w:eastAsia="Times New Roman" w:hAnsi="Times New Roman"/>
          <w:sz w:val="21"/>
          <w:szCs w:val="21"/>
          <w:color w:val="auto"/>
        </w:rPr>
        <w:t>. Each Party shall cause all employees and contractors who perform activities for such Party or its Affiliate under this Agreement to be under an obligation to assign their rights in any Inventions, Know-How and works of authorship resulting therefrom to such Party or its Affiliate. At the written request of the Party controlling the relevant Prosecution and Maintenance, enforcement or defense activities with respect to a Patent under this Agreement in accordance with this Article 15 (Intellectual Property Matters), the other Party shall cause its employees and contractors who are inventors on any such Patent to cooperate and provide assistance to its employer or its Affiliate in relevant intellectual property-related matters, including by executing all appropriate documents, cooperating in discovery and, if legally required to continue any such enforcement activities, joining as a party to any Action or providing a power of attorney solely for such purpose.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b w:val="1"/>
          <w:bCs w:val="1"/>
          <w:color w:val="auto"/>
        </w:rPr>
        <w:t>Prosecution and Maintenance of Foreground IP</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15.2.1 </w:t>
      </w:r>
      <w:r>
        <w:rPr>
          <w:rFonts w:ascii="Times New Roman" w:cs="Times New Roman" w:eastAsia="Times New Roman" w:hAnsi="Times New Roman"/>
          <w:sz w:val="22"/>
          <w:szCs w:val="22"/>
          <w:u w:val="single" w:color="auto"/>
          <w:color w:val="auto"/>
        </w:rPr>
        <w:t>Before Exercise of Degrader License Option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1292"/>
        <w:spacing w:after="0" w:line="227" w:lineRule="auto"/>
        <w:tabs>
          <w:tab w:leader="none" w:pos="260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 Collaboration Degrader Target Set-by-Collaboration Degrader Target Set basis, during the applicable Degrader License Option Period: (i) the Parties shall, through the JPC, share jointly responsibility and the cost and expense for the Prosecution and Maintenance of any and all Joint Foreground Patents; (ii) Seagen shall control the Prosecution and Maintenance of any and all Seagen Foreground Patents at Seagen’s sole cost and expense; and (iii) Nurix shall control the Prosecution and Maintenance of any and all Nurix Foreground Patents at Nurix’s sole cost and expense.</w:t>
      </w:r>
    </w:p>
    <w:p>
      <w:pPr>
        <w:spacing w:after="0" w:line="153" w:lineRule="exact"/>
        <w:rPr>
          <w:rFonts w:ascii="Times New Roman" w:cs="Times New Roman" w:eastAsia="Times New Roman" w:hAnsi="Times New Roman"/>
          <w:sz w:val="21"/>
          <w:szCs w:val="21"/>
          <w:color w:val="auto"/>
        </w:rPr>
      </w:pPr>
    </w:p>
    <w:p>
      <w:pPr>
        <w:jc w:val="both"/>
        <w:ind w:left="660" w:firstLine="1292"/>
        <w:spacing w:after="0" w:line="211" w:lineRule="auto"/>
        <w:tabs>
          <w:tab w:leader="none" w:pos="259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Section 15.2.1(a), prior to an applicable Degrader License Effective Date the Parties shall discuss and coordinate in good faith via the JPC regarding the filing of and filing strategies for all Foreground Patents that [*]. In the event that the Parties are unable to agree on any such filing through the JPC, such matter shall be referred to the JSC for resolution pursuant to Section 10.6.2 (JSC Decisions);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JSC cannot reach consensus on any such matter, the matter shall be referred to the Executive Officers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resolution in accordance with Section 10.6.2 (JSC Decisions), and if the Executive Officers do not reach agreement on such matter within thirty (30) days after such matter is first referred to the Executive Officers, neither Party may file any such Patent or Patent application prior to the applicable Degrader License Effective Date without the mutual written agreement of both Parties, and such matter shall not be subject to resolution pursuant to Sections 20.6.2 (Dispute Escalation) or 20.6.3 (Arbitration).</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15.2.2 </w:t>
      </w:r>
      <w:r>
        <w:rPr>
          <w:rFonts w:ascii="Times New Roman" w:cs="Times New Roman" w:eastAsia="Times New Roman" w:hAnsi="Times New Roman"/>
          <w:sz w:val="22"/>
          <w:szCs w:val="22"/>
          <w:u w:val="single" w:color="auto"/>
          <w:color w:val="auto"/>
        </w:rPr>
        <w:t>After Exercise of Degrader License Option</w:t>
      </w:r>
      <w:r>
        <w:rPr>
          <w:rFonts w:ascii="Times New Roman" w:cs="Times New Roman" w:eastAsia="Times New Roman" w:hAnsi="Times New Roman"/>
          <w:sz w:val="22"/>
          <w:szCs w:val="22"/>
          <w:color w:val="auto"/>
        </w:rPr>
        <w:t>. On a Licensed Degrader Target Set-by-Licensed Degrader Target Set basis, after the Degrader License Effective Date with respect to Seagen’s exercise (if any) of the applicable Degrader License Option:</w:t>
      </w:r>
    </w:p>
    <w:p>
      <w:pPr>
        <w:spacing w:after="0" w:line="151" w:lineRule="exact"/>
        <w:rPr>
          <w:sz w:val="20"/>
          <w:szCs w:val="20"/>
          <w:color w:val="auto"/>
        </w:rPr>
      </w:pPr>
    </w:p>
    <w:p>
      <w:pPr>
        <w:ind w:left="2600" w:hanging="648"/>
        <w:spacing w:after="0"/>
        <w:tabs>
          <w:tab w:leader="none" w:pos="26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Seagen shall have the sole right, at its sole cost and expense, to Prosecute and Maintain any and all</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Product Patents;</w:t>
      </w:r>
    </w:p>
    <w:p>
      <w:pPr>
        <w:spacing w:after="0" w:line="155" w:lineRule="exact"/>
        <w:rPr>
          <w:rFonts w:ascii="Times New Roman" w:cs="Times New Roman" w:eastAsia="Times New Roman" w:hAnsi="Times New Roman"/>
          <w:sz w:val="21"/>
          <w:szCs w:val="21"/>
          <w:color w:val="auto"/>
        </w:rPr>
      </w:pPr>
    </w:p>
    <w:p>
      <w:pPr>
        <w:ind w:left="660" w:firstLine="1292"/>
        <w:spacing w:after="0" w:line="236" w:lineRule="auto"/>
        <w:tabs>
          <w:tab w:leader="none" w:pos="259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15.2.2(a), Seagen shall have the first right, at its sole cost and expense, to Prosecute and Maintain any and all Joint Foreground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5" w:right="339" w:bottom="1440" w:gutter="0" w:footer="0" w:header="0"/>
        </w:sectPr>
      </w:pPr>
    </w:p>
    <w:bookmarkStart w:id="237" w:name="page238"/>
    <w:bookmarkEnd w:id="237"/>
    <w:p>
      <w:pPr>
        <w:jc w:val="both"/>
        <w:ind w:left="660" w:firstLine="1292"/>
        <w:spacing w:after="0" w:line="213" w:lineRule="auto"/>
        <w:tabs>
          <w:tab w:leader="none" w:pos="260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15.2.2(a), each Party shall have the sole right, at its sole cost and expense, to Prosecute and Maintain any and all Foreground Patents that are solely owned by such Party in accordance with Section 15.1.2 (Foreground IP);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Seagen shall have the first right (subject to the remainder of this Section 15.2.2), at its sole cost and expense, to Prosecute and Maintain any and all (i) Degrader Target Binder Patents and (ii) Nurix Foreground Patents that Cover a Licensed Degrader or a Licensed Degrader-Antibody Conjugate and that are not (A) Product Patents, or (B) Patents included in the Foreground Antibody/Conjugation IP (each Patent described in clauses (i) and (ii) of this subsection (c), a “</w:t>
      </w:r>
      <w:r>
        <w:rPr>
          <w:rFonts w:ascii="Times New Roman" w:cs="Times New Roman" w:eastAsia="Times New Roman" w:hAnsi="Times New Roman"/>
          <w:sz w:val="22"/>
          <w:szCs w:val="22"/>
          <w:b w:val="1"/>
          <w:bCs w:val="1"/>
          <w:color w:val="auto"/>
        </w:rPr>
        <w:t>Seagen Prosecution Step-In Patent</w:t>
      </w:r>
      <w:r>
        <w:rPr>
          <w:rFonts w:ascii="Times New Roman" w:cs="Times New Roman" w:eastAsia="Times New Roman" w:hAnsi="Times New Roman"/>
          <w:sz w:val="22"/>
          <w:szCs w:val="22"/>
          <w:color w:val="auto"/>
        </w:rPr>
        <w:t>”); and</w:t>
      </w:r>
    </w:p>
    <w:p>
      <w:pPr>
        <w:spacing w:after="0" w:line="152"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in each case of subsections (b) and (c) above, the non-prosecuting Party shall have the right,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through the JPC, to review and comment on the Prosecution and Maintenance by the prosecuting Party of such Joint Foreground Patents or Seagen Prosecution Step-In Patents, as the case may be, and the prosecuting Party shall, and shall direct its patent counsel to, provide the non-prosecuting Party, through the JPC, with copies of all substantive filings and responses reasonably promptly upon filing with or receipt from the applicable patent office, as applicable, and in reasonably sufficient time for the non-prosecuting Party to exercise such review and comment right, and shall consider in good faith the reasonable comments and requests of the non-prosecuting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prosecuting Party will have no obligation to consider any comments provided by the non-prosecuting Party if the time required for consideration of such comments would result in (A) not meeting a deadline imposed by the applicable patent office or paying any extension fee(s) to extend such deadline, or (B) a loss of rights with respect to the applicable Patents; and in the event the prosecuting Party decides to abandon a Joint Foreground Patent or Seagen Prosecution Step-In Patent, as the case may be, the prosecuting Party shall notify the non-prosecuting Party, through the JPC, of any such decision, which notice shall be provided a reasonable amount of time prior to any filing or payment due date, or any other due date that requires action, in connection with such Patent to enable the non-prosecuting Party, at its sole discretion and expense, to file or to continue Prosecution and Maintenance of such Patent. In the event the non-prosecuting Party decides to file or to continue the Prosecution and Maintenance of such Patent, the initially prosecuting Party shall have no further right to Prosecute and Maintain such Patent, or to review and comment with respect thereto.</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15.2.3 </w:t>
      </w:r>
      <w:r>
        <w:rPr>
          <w:rFonts w:ascii="Times New Roman" w:cs="Times New Roman" w:eastAsia="Times New Roman" w:hAnsi="Times New Roman"/>
          <w:sz w:val="22"/>
          <w:szCs w:val="22"/>
          <w:u w:val="single" w:color="auto"/>
          <w:color w:val="auto"/>
        </w:rPr>
        <w:t>Cooperation Regarding Certain Prosecution and Maintenance</w:t>
      </w:r>
      <w:r>
        <w:rPr>
          <w:rFonts w:ascii="Times New Roman" w:cs="Times New Roman" w:eastAsia="Times New Roman" w:hAnsi="Times New Roman"/>
          <w:sz w:val="22"/>
          <w:szCs w:val="22"/>
          <w:color w:val="auto"/>
        </w:rPr>
        <w:t>. As between the Parties, in the event that each Party owns or Controls an invention or intellectual property rights (other than Joint Foreground IP) primarily relating to a specific attachment moiety, and the relevant Nurix invention or intellectual property rights primarily relate to such attachment moiety as attached to a Proteasome Protein Binder or Degrader Spacer, the Parties will reasonably cooperate on a case-by-case basis, through the JPC, to enable one another to Prosecute and Maintain separate Patent filings with respect to such inventions or intellectual property rights while minimizing any loss of rights to either Party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coordinating the timing of filing for such filings such that neither Party’s filing is prior art to the other Party’s filings).</w:t>
      </w:r>
    </w:p>
    <w:p>
      <w:pPr>
        <w:spacing w:after="0" w:line="15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b w:val="1"/>
          <w:bCs w:val="1"/>
          <w:color w:val="auto"/>
        </w:rPr>
        <w:t>Enforcement or Defense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15.3.1 </w:t>
      </w: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Each Party will promptly notify the other Party of any infringement, misappropriation or other violation by a Third Party of any Nurix Patent, Seagen Foreground Patent, Product Patent, or Joint Foreground Patent, in the Territory of which it becomes aware, including any declaratory judgment or similar Action alleging invalidity, unenforceability or non-infringement with respect to any such Patent (collectively,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5" w:right="339" w:bottom="1440" w:gutter="0" w:footer="0" w:header="0"/>
        </w:sectPr>
      </w:pPr>
    </w:p>
    <w:bookmarkStart w:id="238" w:name="page239"/>
    <w:bookmarkEnd w:id="238"/>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15.3.2 </w:t>
      </w:r>
      <w:r>
        <w:rPr>
          <w:rFonts w:ascii="Times New Roman" w:cs="Times New Roman" w:eastAsia="Times New Roman" w:hAnsi="Times New Roman"/>
          <w:sz w:val="22"/>
          <w:szCs w:val="22"/>
          <w:u w:val="single" w:color="auto"/>
          <w:color w:val="auto"/>
        </w:rPr>
        <w:t>Right to Enforce or Defend Before Exercise of Degrader License Option</w:t>
      </w:r>
      <w:r>
        <w:rPr>
          <w:rFonts w:ascii="Times New Roman" w:cs="Times New Roman" w:eastAsia="Times New Roman" w:hAnsi="Times New Roman"/>
          <w:sz w:val="22"/>
          <w:szCs w:val="22"/>
          <w:color w:val="auto"/>
        </w:rPr>
        <w:t>. On a Collaboration Degrader Target Set-by-Collaboration Degrader Target Set basis, during the applicable Degrader License Option Period, the Parties shall, through the JPC, jointly control and bring, and shall share equally the costs and expenses related to, any enforcement or defense Action (and settlements thereof) as the JPC deems appropriate in connection with any Infringement of any Patent included in the Joint Foreground IP at a cost and expense to be equally shared between the Parties. Seagen shall control any enforcement or defense Action in connection with any Infringement of any Seagen Foreground Patent at Seagen’s sole cost and expense. Nurix shall control any enforcement or defense Action in connection with any Infringement of any Nurix Foreground Patent at Nurix’s sole cost and expense.</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15.3.3 </w:t>
      </w:r>
      <w:r>
        <w:rPr>
          <w:rFonts w:ascii="Times New Roman" w:cs="Times New Roman" w:eastAsia="Times New Roman" w:hAnsi="Times New Roman"/>
          <w:sz w:val="22"/>
          <w:szCs w:val="22"/>
          <w:u w:val="single" w:color="auto"/>
          <w:color w:val="auto"/>
        </w:rPr>
        <w:t>Right to Enforce or Defend After Exercise of Degrader License Option</w:t>
      </w:r>
      <w:r>
        <w:rPr>
          <w:rFonts w:ascii="Times New Roman" w:cs="Times New Roman" w:eastAsia="Times New Roman" w:hAnsi="Times New Roman"/>
          <w:sz w:val="22"/>
          <w:szCs w:val="22"/>
          <w:color w:val="auto"/>
        </w:rPr>
        <w:t>. On a Licensed Degrader Target Set-by-Licensed Degrader Target Set basis, after the Degrader License Effective Date with respect to Seagen’s exercise (if any) of the applicable Degrader License Option:</w:t>
      </w:r>
    </w:p>
    <w:p>
      <w:pPr>
        <w:spacing w:after="0" w:line="153" w:lineRule="exact"/>
        <w:rPr>
          <w:sz w:val="20"/>
          <w:szCs w:val="20"/>
          <w:color w:val="auto"/>
        </w:rPr>
      </w:pPr>
    </w:p>
    <w:p>
      <w:pPr>
        <w:jc w:val="both"/>
        <w:ind w:left="660" w:firstLine="1292"/>
        <w:spacing w:after="0" w:line="220" w:lineRule="auto"/>
        <w:tabs>
          <w:tab w:leader="none" w:pos="260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Seagen shall have the sole right, at its sole cost and expense, but not the obligation, to bring and control any enforcement or defense Action (and settlements thereof) as it deems appropriate, including in connection with any Infringement, with respect to any and all Product Patents. Nurix will have the right to be represented in any such enforcement Action by counsel of its own choice at Nurix’s sole cost and expense;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15.3.3(a), Seagen shall have the first right, at its sole cost and expense, to bring and control any enforcement or defense Action (and settlements thereof) as it deems appropriate, including in connection with any Infringement, with respect to any and all Patents included in the Joint Foreground IP;</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60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15.3.3(a), each Party shall have the sole right, at its sole cost and expense, but not the obligation, to bring and control any enforcement or defense Action as it deems appropriate, including in connection with any Infringement, with respect to any and all Foreground Patents that are solely owned by such Party in accordance with Section 15.1.2 (Foreground IP);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Seagen shall have the sole right, at its sole cost and expense, but not the obligation, to bring and control any enforcement or defense Action as it deems appropriate, including in connection with any Infringement, with respect to any and all Seagen Prosecution Step-In Patents;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Nurix shall have the right to review and comment on the enforcement and defense Actions by Seagen of such Seagen Prosecution Step-In Patents, and Seagen shall, and shall direct its counsel to, provide Nurix, through the JPC, with copies of all filings and responses reasonably promptly upon filing or receipt as applicable, and in sufficient time for Nurix to exercise such review and comment right, and shall consider in good faith the reasonable comments and requests of Nurix which are timely received by Seagen; and</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and expense of the Party that controls any Action under this Section 15.3.3 (Right to Enforce or Defend After Exercise of Degrader License Option) (the “</w:t>
      </w:r>
      <w:r>
        <w:rPr>
          <w:rFonts w:ascii="Times New Roman" w:cs="Times New Roman" w:eastAsia="Times New Roman" w:hAnsi="Times New Roman"/>
          <w:sz w:val="22"/>
          <w:szCs w:val="22"/>
          <w:b w:val="1"/>
          <w:bCs w:val="1"/>
          <w:color w:val="auto"/>
        </w:rPr>
        <w:t>Enforcing Party</w:t>
      </w:r>
      <w:r>
        <w:rPr>
          <w:rFonts w:ascii="Times New Roman" w:cs="Times New Roman" w:eastAsia="Times New Roman" w:hAnsi="Times New Roman"/>
          <w:sz w:val="22"/>
          <w:szCs w:val="22"/>
          <w:color w:val="auto"/>
        </w:rPr>
        <w:t>”) the other Party (the “</w:t>
      </w:r>
      <w:r>
        <w:rPr>
          <w:rFonts w:ascii="Times New Roman" w:cs="Times New Roman" w:eastAsia="Times New Roman" w:hAnsi="Times New Roman"/>
          <w:sz w:val="22"/>
          <w:szCs w:val="22"/>
          <w:b w:val="1"/>
          <w:bCs w:val="1"/>
          <w:color w:val="auto"/>
        </w:rPr>
        <w:t>Non-Enforcing Party</w:t>
      </w:r>
      <w:r>
        <w:rPr>
          <w:rFonts w:ascii="Times New Roman" w:cs="Times New Roman" w:eastAsia="Times New Roman" w:hAnsi="Times New Roman"/>
          <w:sz w:val="22"/>
          <w:szCs w:val="22"/>
          <w:color w:val="auto"/>
        </w:rPr>
        <w:t>”) will join as a party to the Action if required and provide reasonable assistance in connection with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including by executing reasonably appropriate documents and cooperating in discovery. The Enforcing Party will in no event settle or otherwise compromise any legal Action by admitting that any Product Patent is invalid or unenforceable, in each case without first obtaining the prior written consent of the Non-Enforcing Party, which consent will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5" w:right="339" w:bottom="1440" w:gutter="0" w:footer="0" w:header="0"/>
        </w:sectPr>
      </w:pPr>
    </w:p>
    <w:bookmarkStart w:id="239" w:name="page240"/>
    <w:bookmarkEnd w:id="239"/>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b w:val="1"/>
          <w:bCs w:val="1"/>
          <w:color w:val="auto"/>
        </w:rPr>
        <w:t>Defense of Third Party Infringement Claims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15.4.1 </w:t>
      </w: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Each Party will promptly notify the other Party of any claim alleging that the Research, Development, Manufacture or Commercialization of any Collaboration Degrader, Collaboration Degrader-Antibody Conjugate, Licensed Degrader, Licensed Degrader-Antibody Conjugate, or Licensed Products in the Territory infringes, misappropriates or otherwise violates any Patents, Know-How or other intellectual property rights of any Third Party (“</w:t>
      </w:r>
      <w:r>
        <w:rPr>
          <w:rFonts w:ascii="Times New Roman" w:cs="Times New Roman" w:eastAsia="Times New Roman" w:hAnsi="Times New Roman"/>
          <w:sz w:val="22"/>
          <w:szCs w:val="22"/>
          <w:b w:val="1"/>
          <w:bCs w:val="1"/>
          <w:color w:val="auto"/>
        </w:rPr>
        <w:t>Third Party Infringement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15.4.2 </w:t>
      </w:r>
      <w:r>
        <w:rPr>
          <w:rFonts w:ascii="Times New Roman" w:cs="Times New Roman" w:eastAsia="Times New Roman" w:hAnsi="Times New Roman"/>
          <w:sz w:val="22"/>
          <w:szCs w:val="22"/>
          <w:u w:val="single" w:color="auto"/>
          <w:color w:val="auto"/>
        </w:rPr>
        <w:t>Right to Defend Before Exercise of Degrader License Option</w:t>
      </w:r>
      <w:r>
        <w:rPr>
          <w:rFonts w:ascii="Times New Roman" w:cs="Times New Roman" w:eastAsia="Times New Roman" w:hAnsi="Times New Roman"/>
          <w:sz w:val="22"/>
          <w:szCs w:val="22"/>
          <w:color w:val="auto"/>
        </w:rPr>
        <w:t>. On a Collaboration Degrader Target Set-by-Collaboration Degrader Target Set basis, during the applicable Degrader License Option Period, the Parties shall, through the JPC, share jointly responsibility and the costs and expenses to defend, or take other Actions (including to settle), with respect to any Third Party Infringement Claim relating to any Collaboration Degrader or Collaboration Degrader-Antibody Conjugate Directed To the applicable Collaboration Degrader Target Set.</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15.4.3 </w:t>
      </w:r>
      <w:r>
        <w:rPr>
          <w:rFonts w:ascii="Times New Roman" w:cs="Times New Roman" w:eastAsia="Times New Roman" w:hAnsi="Times New Roman"/>
          <w:sz w:val="22"/>
          <w:szCs w:val="22"/>
          <w:u w:val="single" w:color="auto"/>
          <w:color w:val="auto"/>
        </w:rPr>
        <w:t>Right to Defend After Exercise of Degrader License Option</w:t>
      </w:r>
      <w:r>
        <w:rPr>
          <w:rFonts w:ascii="Times New Roman" w:cs="Times New Roman" w:eastAsia="Times New Roman" w:hAnsi="Times New Roman"/>
          <w:sz w:val="22"/>
          <w:szCs w:val="22"/>
          <w:color w:val="auto"/>
        </w:rPr>
        <w:t>. On a Licensed Degrader Target Set-by-Licensed Degrader Target Set basis, after the Degrader License Effective Date with respect to Seagen’s exercise (if any) of the applicable Degrader License Option, Seagen will have the sole right, at its sole cost and expense, but not the obligation, to defend, and take other Actions (including settle) with respect to any Third Party Infringement Claim relating to any Licensed Product at its sole discretion, cost and expense, and Nurix will have the right to be represented in any such Action by counsel of its own choice at Nurix’s sole cost and expense provided that in no event will Seagen settle or otherwise compromise any such Third Party Infringement Claim by admitting that any Product Patent, Seagen Prosecution Step-In Patent, or Joint Foreground Patent is invalid or unenforceable, in each case, without first obtaining the prior written consent of Nurix, which consent will not be unreasonably withheld, conditioned, or delayed.</w:t>
      </w:r>
    </w:p>
    <w:p>
      <w:pPr>
        <w:spacing w:after="0" w:line="154"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b w:val="1"/>
          <w:bCs w:val="1"/>
          <w:color w:val="auto"/>
        </w:rPr>
        <w:t>Recovery</w:t>
      </w:r>
      <w:r>
        <w:rPr>
          <w:rFonts w:ascii="Times New Roman" w:cs="Times New Roman" w:eastAsia="Times New Roman" w:hAnsi="Times New Roman"/>
          <w:sz w:val="21"/>
          <w:szCs w:val="21"/>
          <w:color w:val="auto"/>
        </w:rPr>
        <w:t>. Subject to the terms and conditions of an applicable Profit-Share Product Agreement (if executed):</w:t>
      </w:r>
    </w:p>
    <w:p>
      <w:pPr>
        <w:spacing w:after="0" w:line="18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15.5.1 </w:t>
      </w:r>
      <w:r>
        <w:rPr>
          <w:rFonts w:ascii="Times New Roman" w:cs="Times New Roman" w:eastAsia="Times New Roman" w:hAnsi="Times New Roman"/>
          <w:sz w:val="22"/>
          <w:szCs w:val="22"/>
          <w:u w:val="single" w:color="auto"/>
          <w:color w:val="auto"/>
        </w:rPr>
        <w:t>Enforcement Actions</w:t>
      </w:r>
      <w:r>
        <w:rPr>
          <w:rFonts w:ascii="Times New Roman" w:cs="Times New Roman" w:eastAsia="Times New Roman" w:hAnsi="Times New Roman"/>
          <w:sz w:val="22"/>
          <w:szCs w:val="22"/>
          <w:color w:val="auto"/>
        </w:rPr>
        <w:t>. Any recovery (including any settlement) received as a result of any Action under Section 15.3 (Enforcement or Defense) will be allocated in the following order: (a) to reimburse the Enforcing Party (if the enforcement was not done jointly) for the costs and expenses (including attorneys’ and professional fees) that the Enforcing Party incurred in connection with such Action, to the extent not previously reimbursed; (b) to reimburse the Non-Enforcing Party to the extent not already reimbursed, where it joins an Action as provided under Section 15.3.3(d), for the costs and expenses (including attorneys’ and professional fees) that such Party incurred in connection with such Action, to the extent not previously reimbursed; and (c) any recoveries in excess of such costs and expenses shall be [*].</w:t>
      </w:r>
    </w:p>
    <w:p>
      <w:pPr>
        <w:spacing w:after="0" w:line="156"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15.5.2 </w:t>
      </w:r>
      <w:r>
        <w:rPr>
          <w:rFonts w:ascii="Times New Roman" w:cs="Times New Roman" w:eastAsia="Times New Roman" w:hAnsi="Times New Roman"/>
          <w:sz w:val="22"/>
          <w:szCs w:val="22"/>
          <w:u w:val="single" w:color="auto"/>
          <w:color w:val="auto"/>
        </w:rPr>
        <w:t>Defense Actions</w:t>
      </w:r>
      <w:r>
        <w:rPr>
          <w:rFonts w:ascii="Times New Roman" w:cs="Times New Roman" w:eastAsia="Times New Roman" w:hAnsi="Times New Roman"/>
          <w:sz w:val="22"/>
          <w:szCs w:val="22"/>
          <w:color w:val="auto"/>
        </w:rPr>
        <w:t>. Any recovery (including any settlement) received as a result of any Action under Section 15.4 (Defense of Third Party Infringement Claims) will be allocated in the following order: (a) to reimburse the defending Party (if the defense was not done jointly) for the costs and expenses (including attorneys’ and professional fees) that the defending Party incurred in connection with such Action, to the extent not previously reimbursed; (b) to reimburse the non-defending Party to the extent not already reimbursed, where it joins such defense as provided under Section 15.3.3(d); and (c) any recoveries in excess of such costs and expenses shall be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1" w:right="339" w:bottom="1440" w:gutter="0" w:footer="0" w:header="0"/>
        </w:sectPr>
      </w:pPr>
    </w:p>
    <w:bookmarkStart w:id="240" w:name="page241"/>
    <w:bookmarkEnd w:id="240"/>
    <w:p>
      <w:pPr>
        <w:ind w:left="5160"/>
        <w:spacing w:after="0"/>
        <w:rPr>
          <w:sz w:val="20"/>
          <w:szCs w:val="20"/>
          <w:color w:val="auto"/>
        </w:rPr>
      </w:pPr>
      <w:r>
        <w:rPr>
          <w:rFonts w:ascii="Times New Roman" w:cs="Times New Roman" w:eastAsia="Times New Roman" w:hAnsi="Times New Roman"/>
          <w:sz w:val="22"/>
          <w:szCs w:val="22"/>
          <w:b w:val="1"/>
          <w:bCs w:val="1"/>
          <w:color w:val="auto"/>
        </w:rPr>
        <w:t>ARTICLE 16</w:t>
      </w:r>
    </w:p>
    <w:p>
      <w:pPr>
        <w:ind w:left="4600"/>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color w:val="auto"/>
        </w:rPr>
        <w:t>Nondisclosure and Non-Use</w:t>
      </w:r>
      <w:r>
        <w:rPr>
          <w:rFonts w:ascii="Times New Roman" w:cs="Times New Roman" w:eastAsia="Times New Roman" w:hAnsi="Times New Roman"/>
          <w:sz w:val="21"/>
          <w:szCs w:val="21"/>
          <w:color w:val="auto"/>
        </w:rPr>
        <w:t>. Each Party agrees that a Party (the “</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which receives the Confidential Information of the other Party (the “</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xml:space="preserve">”) pursuant to this Agreement or any Ancillary Agreement shall: (a) maintain in confidence such Confidential Information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of the Disclosing Party, except for disclosures expressly permitted pursuant to this Article 16 (Confidentiality); and (c) not use such Confidential Information for any purpose except those expressly permitted under this Agreement or any Ancillary Agreement. The obligations of confidentiality, non-disclosure and non-use under this Section 16.1 (Nondisclosure and Non-Use) will be in full force and effect from the Effective Date until [*] years following the Term for any Confidential Information that is not identified by either Party as a trade secret, and for all such Confidential Information that is identified by either Party as a trade secret, in perpetuity. Upon the expiration or termination of this Agreement and at the request of the Disclosing Party, the Receiving Party will return or destroy the Confidential Information of the Disclosing Party, promptly (but in any case within [*] after the Disclosing Party’s request);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Party may retain: (i) Confidential Information of the Disclosing Party as necessary to exercise rights and licenses which expressly survive such termination or expiration pursuant to this Agreement; (ii) access to all other Confidential Information in archives solely for the purpose of establishing the contents thereof or in accordance with Applicable Law; and (iii) Confidential Information contained in any electronically stored backup files or other media created by or on behalf of such Party in accordance with its standard policies in the ordinary course of business.</w:t>
      </w:r>
    </w:p>
    <w:p>
      <w:pPr>
        <w:spacing w:after="0" w:line="15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Exceptions</w:t>
      </w:r>
      <w:r>
        <w:rPr>
          <w:rFonts w:ascii="Times New Roman" w:cs="Times New Roman" w:eastAsia="Times New Roman" w:hAnsi="Times New Roman"/>
          <w:sz w:val="22"/>
          <w:szCs w:val="22"/>
          <w:color w:val="auto"/>
        </w:rPr>
        <w:t>. Section 16.1 (Nondisclosure and Non-Use) will not apply with respect to the following information of the Disclosing Party:</w:t>
      </w:r>
    </w:p>
    <w:p>
      <w:pPr>
        <w:spacing w:after="0" w:line="150" w:lineRule="exact"/>
        <w:rPr>
          <w:sz w:val="20"/>
          <w:szCs w:val="20"/>
          <w:color w:val="auto"/>
        </w:rPr>
      </w:pPr>
    </w:p>
    <w:p>
      <w:pPr>
        <w:jc w:val="both"/>
        <w:ind w:left="660" w:firstLine="1292"/>
        <w:spacing w:after="0" w:line="225" w:lineRule="auto"/>
        <w:tabs>
          <w:tab w:leader="none" w:pos="260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was known to the Receiving Party or any of its Affiliates, as evidenced by written records, without any obligation to the Disclosing Party to keep it confidential or restrict its use, prior to disclosure by the Disclosing Party;</w:t>
      </w:r>
    </w:p>
    <w:p>
      <w:pPr>
        <w:spacing w:after="0" w:line="152" w:lineRule="exact"/>
        <w:rPr>
          <w:rFonts w:ascii="Times New Roman" w:cs="Times New Roman" w:eastAsia="Times New Roman" w:hAnsi="Times New Roman"/>
          <w:sz w:val="22"/>
          <w:szCs w:val="22"/>
          <w:color w:val="auto"/>
        </w:rPr>
      </w:pPr>
    </w:p>
    <w:p>
      <w:pPr>
        <w:jc w:val="both"/>
        <w:ind w:left="660" w:right="20" w:firstLine="1292"/>
        <w:spacing w:after="0" w:line="225" w:lineRule="auto"/>
        <w:tabs>
          <w:tab w:leader="none" w:pos="259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is subsequently disclosed to the Receiving Party or any of its Affiliates by a Third Party lawfully in possession thereof and without any obligation to the Disclosing Party to keep it confidential or restrict its use;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is published by a Third Party or otherwise becomes publicly available or enters the public domain, either before or after it is disclosed to the Receiving Party, without any breach by the Receiving Party of its obligations hereunder; or</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is independently developed by or for the Receiving Party or any of its Affiliates, as evidenced by written records, without reference to or reliance upon the Disclosing Party’s Confidential Information.</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Any combination of features or disclosures will not be deemed to fall within the foregoing exclusions merely because individual features or disclosures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82" w:right="339" w:bottom="1440" w:gutter="0" w:footer="0" w:header="0"/>
        </w:sectPr>
      </w:pPr>
    </w:p>
    <w:bookmarkStart w:id="241" w:name="page242"/>
    <w:bookmarkEnd w:id="241"/>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b w:val="1"/>
          <w:bCs w:val="1"/>
          <w:color w:val="auto"/>
        </w:rPr>
        <w:t>Authorized Disclosure</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16.3.1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Notwithstanding Section 16.1 (Nondisclosure and Non-Use), the Receiving Party may disclose</w:t>
      </w:r>
    </w:p>
    <w:p>
      <w:pPr>
        <w:spacing w:after="0"/>
        <w:rPr>
          <w:sz w:val="20"/>
          <w:szCs w:val="20"/>
          <w:color w:val="auto"/>
        </w:rPr>
      </w:pPr>
      <w:r>
        <w:rPr>
          <w:rFonts w:ascii="Times New Roman" w:cs="Times New Roman" w:eastAsia="Times New Roman" w:hAnsi="Times New Roman"/>
          <w:sz w:val="22"/>
          <w:szCs w:val="22"/>
          <w:color w:val="auto"/>
        </w:rPr>
        <w:t>Confidential Information belonging to the Disclosing Party in the following instances:</w:t>
      </w:r>
    </w:p>
    <w:p>
      <w:pPr>
        <w:spacing w:after="0" w:line="155" w:lineRule="exact"/>
        <w:rPr>
          <w:sz w:val="20"/>
          <w:szCs w:val="20"/>
          <w:color w:val="auto"/>
        </w:rPr>
      </w:pPr>
    </w:p>
    <w:p>
      <w:pPr>
        <w:jc w:val="both"/>
        <w:ind w:left="660" w:firstLine="1292"/>
        <w:spacing w:after="0" w:line="225" w:lineRule="auto"/>
        <w:tabs>
          <w:tab w:leader="none" w:pos="260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and in accordance with Section 16.6 (Securities Filings; Disclosure under Applicable Law), to the U.S. Securities and Exchange Commission or any national securities exchange in any jurisdiction in the Territory (each, a “</w:t>
      </w:r>
      <w:r>
        <w:rPr>
          <w:rFonts w:ascii="Times New Roman" w:cs="Times New Roman" w:eastAsia="Times New Roman" w:hAnsi="Times New Roman"/>
          <w:sz w:val="22"/>
          <w:szCs w:val="22"/>
          <w:b w:val="1"/>
          <w:bCs w:val="1"/>
          <w:color w:val="auto"/>
        </w:rPr>
        <w:t>Securities Regulator</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1" w:lineRule="auto"/>
        <w:tabs>
          <w:tab w:leader="none" w:pos="259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response to a valid order of a court of competent jurisdiction or other Governmental Authority or Regulatory Authority or, if in the reasonable opinion of the Receiving Party’s legal counsel, such disclosure is otherwise required by Applicable Law (other than to a Securities Regulator);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to the extent legally permissible the Receiving Party will first give written notice to the Disclosing Party and give the Disclosing Party a reasonable opportunity to quash such order or to obtain a protective order or confidential treatment requiring that the Confidential Information and documents that are the subject of such order or requirement be held in confidence by such court or agency or, if disclosed, be used only for the purposes for which the order was issued and redacted in accordance with the Disclosing Party’s instruction;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Confidential Information disclosed in response to such court or governmental order or Applicable Law will be limited to that information which is legally required to be disclosed in response to such court or governmental order or Applicable Law;</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Party, to the extent necessary or reasonably useful to exercise its rights to Prosecute and Maintain, enforce and defend any and all Patents for which it has such right under Article 15 (Intellectual Property Matters);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practicable, such Party will provide the other Party with at least [*] prior written notice of any such disclosure and take reasonable and lawful actions to avoid or minimize the degree of disclosure;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Party, to a Regulatory Authority, as necessary or reasonably useful in connection with any filing, submission or communication with respect to any Licensed Product (or any Licensed Degrader or Licensed Degrader-Antibody Conjugate contained therein) Collaboration Degrader, Collaboration Degrader-Antibody Conjugate, or, following the execution and delivery by each Party of a Reversion Product License Agreement, Reversion Product;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reasonable measures will be taken by such Party to obtain confidential treatment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to the extent such protection is available;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Seagen, to the extent necessary or reasonably useful to research, Develop, Manufacture, Commercialize or otherwise Exploit Licensed Products (or any Licensed Degrader or Licensed Degrader-Antibody Conjugate contained therein), Collaboration Degraders, or Collaboration Degrader-Antibody Conjugates, or to otherwise exercise the rights and licenses granted to it under this Agreement, including under Article 14 (License Grant; Exclusivity);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60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(i) to any of its officers, employees, consultants, agents or Affiliates who need to know such Confidential Information to perform on behalf of such Party under this Agreement, (ii) in the case of Seagen, to any actual or potential collaborators, partners, licensees, Sublicensees, contractors, subcontractors, agents and representatives in connection with the Research, Development, Manufacture,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1" w:right="339" w:bottom="1440" w:gutter="0" w:footer="0" w:header="0"/>
        </w:sectPr>
      </w:pPr>
    </w:p>
    <w:bookmarkStart w:id="242" w:name="page243"/>
    <w:bookmarkEnd w:id="242"/>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 xml:space="preserve">Commercialization or other Exploitation of Licensed Products or otherwise to the extent necessary or reasonably useful for Seagen, its Affiliates or Sublicensees to exercise its or their rights or to perform its or their obligations hereunder, (iii) in the case of either Party, to such Party’s actual or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potential acquirers, investors, or lenders on a strictly need to know basis for the sole purpose of evaluating or carrying out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investment in or acquisition of such Party or its Affiliate; and (iv) in the case of Nurix,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each such recipient (under clauses (i)-(iv)) is bound by obligations of confidentiality, non-disclosure and non-use substantially equivalent to the obligations set forth in this Article 16 (Confidentiality), except for a shorter duration, if customary, to maintain the confidentiality thereof and not to use such Confidential Information except as expressly permitted by customary terms thereunder; and</w:t>
      </w:r>
    </w:p>
    <w:p>
      <w:pPr>
        <w:spacing w:after="0" w:line="152" w:lineRule="exact"/>
        <w:rPr>
          <w:sz w:val="20"/>
          <w:szCs w:val="20"/>
          <w:color w:val="auto"/>
        </w:rPr>
      </w:pPr>
    </w:p>
    <w:p>
      <w:pPr>
        <w:jc w:val="both"/>
        <w:ind w:left="660" w:firstLine="1292"/>
        <w:spacing w:after="0" w:line="216" w:lineRule="auto"/>
        <w:tabs>
          <w:tab w:leader="none" w:pos="259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disclosure to its advisors (including attorneys, financial advisors and accountants);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such recipient is bound by obligations of confidentiality, non-disclosure and non-use substantially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equivalent to the obligations set forth in this Article 16 (Confidentiality) except for a shorter duration, if customary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case of advisors bound by professional obligations of confidentiality and non-use, no agreement will be required), to maintain the confidentiality thereof and not to use such Confidential Information except as expressly permitted;</w:t>
      </w:r>
    </w:p>
    <w:p>
      <w:pPr>
        <w:spacing w:after="0" w:line="146"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each of the above situations in this Section 16.3.1 (Disclosure), the Receiving Party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remain responsible for any failure by any Person who receives Confidential Information from such Receiving Party pursuant to this Section 16.3.1 (Disclosure) to treat such Confidential Information as required under this Article 16 (Confidentiality).</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16.3.2 </w:t>
      </w:r>
      <w:r>
        <w:rPr>
          <w:rFonts w:ascii="Times New Roman" w:cs="Times New Roman" w:eastAsia="Times New Roman" w:hAnsi="Times New Roman"/>
          <w:sz w:val="22"/>
          <w:szCs w:val="22"/>
          <w:u w:val="single" w:color="auto"/>
          <w:color w:val="auto"/>
        </w:rPr>
        <w:t>Terms of Disclosure</w:t>
      </w:r>
      <w:r>
        <w:rPr>
          <w:rFonts w:ascii="Times New Roman" w:cs="Times New Roman" w:eastAsia="Times New Roman" w:hAnsi="Times New Roman"/>
          <w:sz w:val="22"/>
          <w:szCs w:val="22"/>
          <w:color w:val="auto"/>
        </w:rPr>
        <w:t>. If and whenever any Confidential Information is disclosed in accordance with this Section 16.3 (Authorized Disclosure), such disclosure will not cause any such information to cease to be Confidential Information, except to the extent that such disclosure results in a public disclosure of such information other than by breach of this Agreement or any Ancillary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color w:val="auto"/>
        </w:rPr>
        <w:t>Residual Knowledge</w:t>
      </w:r>
      <w:r>
        <w:rPr>
          <w:rFonts w:ascii="Times New Roman" w:cs="Times New Roman" w:eastAsia="Times New Roman" w:hAnsi="Times New Roman"/>
          <w:sz w:val="22"/>
          <w:szCs w:val="22"/>
          <w:color w:val="auto"/>
        </w:rPr>
        <w:t xml:space="preserve">. Notwithstanding anything to the contrary contained in this Agreement or any Ancillary Agreement and subject to Section 14.9 (Exclusivity), nothing shall restrict any Party from using Residual Knowledge for any purpose;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neither Party will specifically disclose any Residual Knowledge to any Third Party.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b w:val="1"/>
          <w:bCs w:val="1"/>
          <w:color w:val="auto"/>
        </w:rPr>
        <w:t>Terms of this Agreement</w:t>
      </w:r>
      <w:r>
        <w:rPr>
          <w:rFonts w:ascii="Times New Roman" w:cs="Times New Roman" w:eastAsia="Times New Roman" w:hAnsi="Times New Roman"/>
          <w:sz w:val="22"/>
          <w:szCs w:val="22"/>
          <w:color w:val="auto"/>
        </w:rPr>
        <w:t xml:space="preserve">. The Parties agree that this Agreement and the Ancillary Agreements and the terms hereof will be deemed to be Confidential Information of both Nurix and Seagen, and each Party agrees not to disclose this Agreement or any Ancillary Agreement or any terms hereof or thereof without obtaining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each Party may disclose this Agreement or any terms hereof in accordance with the provisions of Section 16.3 (Authorized Disclosure), or Section 16.6 (Securities Filings; Disclosure under Applicable Law), as applicable.</w:t>
      </w:r>
    </w:p>
    <w:p>
      <w:pPr>
        <w:spacing w:after="0" w:line="14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16.6 </w:t>
      </w:r>
      <w:r>
        <w:rPr>
          <w:rFonts w:ascii="Times New Roman" w:cs="Times New Roman" w:eastAsia="Times New Roman" w:hAnsi="Times New Roman"/>
          <w:sz w:val="21"/>
          <w:szCs w:val="21"/>
          <w:b w:val="1"/>
          <w:bCs w:val="1"/>
          <w:color w:val="auto"/>
        </w:rPr>
        <w:t>Securities Filings; Disclosure under Applicable Law</w:t>
      </w:r>
      <w:r>
        <w:rPr>
          <w:rFonts w:ascii="Times New Roman" w:cs="Times New Roman" w:eastAsia="Times New Roman" w:hAnsi="Times New Roman"/>
          <w:sz w:val="21"/>
          <w:szCs w:val="21"/>
          <w:color w:val="auto"/>
        </w:rPr>
        <w:t>. Each Party acknowledges and agrees that the other Party may submit this Agreement to, or file this Agreement with, the Securities Regulators or to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confidential treatment request for this Agreement and shall incorporate reasonable comments from the other Party to the extent legally permissible. Notwithstanding the foregoing, if a Party is required by any Securities Regulator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5" w:right="339" w:bottom="1440" w:gutter="0" w:footer="0" w:header="0"/>
        </w:sectPr>
      </w:pPr>
    </w:p>
    <w:bookmarkStart w:id="243" w:name="page244"/>
    <w:bookmarkEnd w:id="243"/>
    <w:p>
      <w:pPr>
        <w:jc w:val="both"/>
        <w:spacing w:after="0" w:line="210" w:lineRule="auto"/>
        <w:rPr>
          <w:sz w:val="20"/>
          <w:szCs w:val="20"/>
          <w:color w:val="auto"/>
        </w:rPr>
      </w:pPr>
      <w:r>
        <w:rPr>
          <w:rFonts w:ascii="Times New Roman" w:cs="Times New Roman" w:eastAsia="Times New Roman" w:hAnsi="Times New Roman"/>
          <w:sz w:val="22"/>
          <w:szCs w:val="22"/>
          <w:color w:val="auto"/>
        </w:rPr>
        <w:t>other Person as may be required by Applicable Law to make a disclosure of the terms of this Agreement in a filing or other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copies of such disclosure to comment upon and request confidential treatment for such disclosure, then such Party will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Section 16.6 (Securities Filings; Disclosure under Applicable Law) and the other Party provides comments in accordance with this Section 16.6 (Securities Filings; Disclosure under Applicable Law), the Party seeking to make such disclosure or its counsel, as the case may be, will use good faith efforts to incorporate such comments.</w:t>
      </w:r>
    </w:p>
    <w:p>
      <w:pPr>
        <w:spacing w:after="0" w:line="153"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b w:val="1"/>
          <w:bCs w:val="1"/>
          <w:color w:val="auto"/>
        </w:rPr>
        <w:t>Publicity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16.7.1 </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Nurix will have the right to issue a press release in the form set forth in Schedule 16.7.1, which Nurix shall issue within five (5) Business Days after the Effective Date.</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16.7.2 </w:t>
      </w:r>
      <w:r>
        <w:rPr>
          <w:rFonts w:ascii="Times New Roman" w:cs="Times New Roman" w:eastAsia="Times New Roman" w:hAnsi="Times New Roman"/>
          <w:sz w:val="22"/>
          <w:szCs w:val="22"/>
          <w:u w:val="single" w:color="auto"/>
          <w:color w:val="auto"/>
        </w:rPr>
        <w:t>Nurix Rights</w:t>
      </w:r>
      <w:r>
        <w:rPr>
          <w:rFonts w:ascii="Times New Roman" w:cs="Times New Roman" w:eastAsia="Times New Roman" w:hAnsi="Times New Roman"/>
          <w:sz w:val="22"/>
          <w:szCs w:val="22"/>
          <w:color w:val="auto"/>
        </w:rPr>
        <w:t xml:space="preserve">. Nurix will have the right to issue any press release or other public statement disclosing each exercise of a Degrader License Option and the payment of each Milestone Payment or Sales Milestone Payment;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Nurix must first obtain the prior written consent of Seagen (which shall not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any such press release or other public statement does not include the Confidential Information of Seagen.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Except as permitted under this Section 16.7 (Publicity) or Article 16 (Confidentiality), Nurix will not make any other press release or other public statement disclosing this Agreement or the activities hereunder without Seagen’s prior written consent. The contents of any press release or other public statement that has been reviewed and approved by Seagen may be re-released by Nurix in exactly the same language as previously approved by Seagen without first obtaining Seagen’s prior written consent in accordance with this Section 16.7 (Publicity).</w:t>
      </w:r>
    </w:p>
    <w:p>
      <w:pPr>
        <w:spacing w:after="0" w:line="154"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16.8 </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 Before the Degrader License Effective Date for any Collaboration Degrader Target Set, neither Party will publish, publicly present or otherwise publicly disclose any paper, publication, oral presentation, abstract, poster, manuscript or other presentation relating to any activity or other matter under this Agreement (each, a “</w:t>
      </w:r>
      <w:r>
        <w:rPr>
          <w:rFonts w:ascii="Times New Roman" w:cs="Times New Roman" w:eastAsia="Times New Roman" w:hAnsi="Times New Roman"/>
          <w:sz w:val="22"/>
          <w:szCs w:val="22"/>
          <w:b w:val="1"/>
          <w:bCs w:val="1"/>
          <w:color w:val="auto"/>
        </w:rPr>
        <w:t>Publication</w:t>
      </w:r>
      <w:r>
        <w:rPr>
          <w:rFonts w:ascii="Times New Roman" w:cs="Times New Roman" w:eastAsia="Times New Roman" w:hAnsi="Times New Roman"/>
          <w:sz w:val="22"/>
          <w:szCs w:val="22"/>
          <w:color w:val="auto"/>
        </w:rPr>
        <w:t>”) relating to the applicable Collaboration Degrader Target Set, without the other Party’s prior written consent. Following the applicable Degrader License Effective Date, Seagen shall be responsible for and control all Publications relating to the applicable Licensed Degrader Target Set and solely to the extent permitted by the prior written consent of Seagen, Nurix shall have the right to make and disclose any such permitted Publications. To the extent a Party has a right pursuant to this Section 16.8 (Publications) to make a Publication, then the publishing Party (the “</w:t>
      </w:r>
      <w:r>
        <w:rPr>
          <w:rFonts w:ascii="Times New Roman" w:cs="Times New Roman" w:eastAsia="Times New Roman" w:hAnsi="Times New Roman"/>
          <w:sz w:val="22"/>
          <w:szCs w:val="22"/>
          <w:b w:val="1"/>
          <w:bCs w:val="1"/>
          <w:color w:val="auto"/>
        </w:rPr>
        <w:t>Publishing Party</w:t>
      </w:r>
      <w:r>
        <w:rPr>
          <w:rFonts w:ascii="Times New Roman" w:cs="Times New Roman" w:eastAsia="Times New Roman" w:hAnsi="Times New Roman"/>
          <w:sz w:val="22"/>
          <w:szCs w:val="22"/>
          <w:color w:val="auto"/>
        </w:rPr>
        <w:t>”) shall provide the other Party (a “</w:t>
      </w:r>
      <w:r>
        <w:rPr>
          <w:rFonts w:ascii="Times New Roman" w:cs="Times New Roman" w:eastAsia="Times New Roman" w:hAnsi="Times New Roman"/>
          <w:sz w:val="22"/>
          <w:szCs w:val="22"/>
          <w:b w:val="1"/>
          <w:bCs w:val="1"/>
          <w:color w:val="auto"/>
        </w:rPr>
        <w:t>Reviewing Party</w:t>
      </w:r>
      <w:r>
        <w:rPr>
          <w:rFonts w:ascii="Times New Roman" w:cs="Times New Roman" w:eastAsia="Times New Roman" w:hAnsi="Times New Roman"/>
          <w:sz w:val="22"/>
          <w:szCs w:val="22"/>
          <w:color w:val="auto"/>
        </w:rPr>
        <w:t>”) an opportunity to review such Publication to determine whether such Publication contains the Confidential Information of the Reviewing Party. The Publishing Party will deliver to the Reviewing Party a copy of any such proposed Publication or an outline of the proposed oral disclosure, together with any slides or other materials to be provided in connection with such oral disclosure (if any), at least [*] days prior to submission for publication or presentation for review by the Reviewing Party. The Reviewing Party will have the right, in its sole discretion, to: (a) require the removal of its Confidential Information from any such Publication by the Publishing Party or (b) request a reasonable delay in publication or presentation in order to protect patentable information. If the Reviewing Party requests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5" w:right="339" w:bottom="1440" w:gutter="0" w:footer="0" w:header="0"/>
        </w:sectPr>
      </w:pPr>
    </w:p>
    <w:bookmarkStart w:id="244" w:name="page245"/>
    <w:bookmarkEnd w:id="244"/>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delay, the Publishing Party will delay submission or presentation for a period of [*] days after its provision of the copy of the proposed Publication to enable patent applications protecting the Reviewing Party’s rights in such information.</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16.9 </w:t>
      </w:r>
      <w:r>
        <w:rPr>
          <w:rFonts w:ascii="Times New Roman" w:cs="Times New Roman" w:eastAsia="Times New Roman" w:hAnsi="Times New Roman"/>
          <w:sz w:val="22"/>
          <w:szCs w:val="22"/>
          <w:b w:val="1"/>
          <w:bCs w:val="1"/>
          <w:color w:val="auto"/>
        </w:rPr>
        <w:t>Use of Names</w:t>
      </w:r>
      <w:r>
        <w:rPr>
          <w:rFonts w:ascii="Times New Roman" w:cs="Times New Roman" w:eastAsia="Times New Roman" w:hAnsi="Times New Roman"/>
          <w:sz w:val="22"/>
          <w:szCs w:val="22"/>
          <w:color w:val="auto"/>
        </w:rPr>
        <w:t xml:space="preserve">. Except as otherwise expressly set forth herein, neither Party (or any of its respective Affiliates) will use any corporate name, trademark,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consent will not be required (a) to the extent use thereof may be required by Applicable Law, including the rules of any securities exchange or market on which a Party’s or its Affiliate’s securities are listed or traded, and (b) for use of the other Party’s name and company logo, in accordance with written specifications and standards to be provided by the other Party, solely to identify the other Party as a collaborator on such Party’s website and in public presentations. If Seagen at any time determines that the use of Seagen’s name and company logo for such purpose does not comply with such specifications and standards provided by Seagen and so notifies Nurix, then Nurix shall cease using Seagen’s name and company logo in such unapproved manner as soon as reasonably possible. Each Party shall retain all rights, title and interests in and to all such corporate names, trademarks, trade names and logos of such Party and its Affiliates.</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16.10 </w:t>
      </w:r>
      <w:r>
        <w:rPr>
          <w:rFonts w:ascii="Times New Roman" w:cs="Times New Roman" w:eastAsia="Times New Roman" w:hAnsi="Times New Roman"/>
          <w:sz w:val="22"/>
          <w:szCs w:val="22"/>
          <w:b w:val="1"/>
          <w:bCs w:val="1"/>
          <w:color w:val="auto"/>
        </w:rPr>
        <w:t>Clinical Trials Registry</w:t>
      </w:r>
      <w:r>
        <w:rPr>
          <w:rFonts w:ascii="Times New Roman" w:cs="Times New Roman" w:eastAsia="Times New Roman" w:hAnsi="Times New Roman"/>
          <w:sz w:val="22"/>
          <w:szCs w:val="22"/>
          <w:color w:val="auto"/>
        </w:rPr>
        <w:t>. For clarity, Seagen, its Affiliates and its designees will have the right to publish registry information and summaries of data and results from any Clinical Trials conducted in connection with Licensed Products, on its Clinical Trials registry or on a government-sponsored database, such as www.clinicaltrials.gov, without first obtaining the prior consent of Nurix. The Parties will reasonably cooperate if required or reasonably requested in writing by Seagen in order to facilitate any such publication by Seagen, any of its Affiliates or any of its designees.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17</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CLOSING CONDITIONS; COVENANTS</w:t>
      </w:r>
    </w:p>
    <w:p>
      <w:pPr>
        <w:spacing w:after="0" w:line="151"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color w:val="auto"/>
        </w:rPr>
        <w:t>Representations and Warranties of Each Party</w:t>
      </w:r>
      <w:r>
        <w:rPr>
          <w:rFonts w:ascii="Times New Roman" w:cs="Times New Roman" w:eastAsia="Times New Roman" w:hAnsi="Times New Roman"/>
          <w:sz w:val="22"/>
          <w:szCs w:val="22"/>
          <w:color w:val="auto"/>
        </w:rPr>
        <w:t>. Each Party hereby represents and warrants to the other Party, as of Effective Date, that:</w:t>
      </w:r>
    </w:p>
    <w:p>
      <w:pPr>
        <w:spacing w:after="0" w:line="150" w:lineRule="exact"/>
        <w:rPr>
          <w:sz w:val="20"/>
          <w:szCs w:val="20"/>
          <w:color w:val="auto"/>
        </w:rPr>
      </w:pPr>
    </w:p>
    <w:p>
      <w:pPr>
        <w:jc w:val="both"/>
        <w:ind w:left="660" w:firstLine="1292"/>
        <w:spacing w:after="0" w:line="220" w:lineRule="auto"/>
        <w:tabs>
          <w:tab w:leader="none" w:pos="260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is duly organized, validly existing and in good standing under the Applicable Law of the jurisdiction of its formation and has full corporate power and authority and the legal right to own and operate its property and assets and to carry on its business as it is now being conducted and as contemplated in this Agreement, including the full right to grant the licenses and sublicenses granted by it hereunder;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has the corporate power and authority and the legal right to enter into this Agreement and perform its obligations hereunder, and has taken all necessary corporate action on its part to authorize the execution and delivery of this Agreement and the performance of its obligations hereunder;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and delivered on behalf of such Party and constitutes a legal, valid and binding obligation, enforceable against it in accordance with its terms, except to the extent that enforcement of the rights and remedies created hereby is subject to: (a) bankruptcy, insolvency, reorganization, moratorium and other similar laws of general application affecting the rights and remedies of creditors; or (b) laws governing specific performance, injunctive relief and other equitable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245" w:name="page246"/>
    <w:bookmarkEnd w:id="245"/>
    <w:p>
      <w:pPr>
        <w:jc w:val="both"/>
        <w:ind w:left="660" w:firstLine="1292"/>
        <w:spacing w:after="0" w:line="215" w:lineRule="auto"/>
        <w:tabs>
          <w:tab w:leader="none" w:pos="259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by such Party does not breach, violate, or conflict with any agreement or any provision thereof (including any confidentiality or non-competition obligation, any exclusivity obligation, or any provisions with respect to the ownership, prosecution and enforcement of intellectual property rights), or any instrument or understanding, oral or written, to which such Party (or any of its Affiliates) is a party or by which such Party (or any of its Affiliates) is bound, nor violate any Applicable Law of any Governmental Authority having jurisdiction over such Party (or any of its Affiliates);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60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 authorization, consent, approval, license, exemption of or filing or registration with any court or governmental department, commission, board, bureau, agency or instrumentality, domestic or foreign, under any Applicable Law currently in effect, is or will be necessary for, or in connection with, any of the transactions contemplated by this Agreement, or for the performance by it of its obligations under this Agreement, except as may be required to conduct Clinical Trials or to seek or obtain Regulatory Approvals or applicable Regulatory Materials, or to Manufacture or Commercialize any Licensed Product(s);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obtained all necessary authorizations, consents and approvals of any Third Party that is required to be obtained by it for, or in connection with, any of the transactions contemplated by this Agreement, or for the performance by it of its obligations under this Agreement, except as may be required to conduct Clinical Trials or to seek or obtain Regulatory Approvals or applicable Regulatory Materials, or to Manufacture or Commercialize any Licensed Product(s);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59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it nor any of its Affiliates (i) has been debarred or is subject to debarment pursuant to Section 306 of the FFDCA or analogous provisions of Applicable Law outside the United States or listed on any excluded list; (ii) has used in any capacity, in connection with the activities to be performed under this Agreement, any individual or entity that has been debarred pursuant to Section 306 of the FFDCA or analogous provisions of Applicable Law outside the United States, or that is the subject of a conviction described in such Section or analogous provisions of Applicable Law outside the United States; (iii) has been listed by any Governmental Authority as ineligible to participate in any government healthcare program or government procurement or non-procurement program, or is excluded, debarred, or suspended from participating in any such program; or (iv) has been convicted of a criminal offense related to the provision of healthcare items or services. Each Party agrees to inform the other Party in writing promptly if such Party or any individual or entity performing activities under this Agreement on behalf of such Party becomes subject to any of the foregoing.</w:t>
      </w:r>
    </w:p>
    <w:p>
      <w:pPr>
        <w:spacing w:after="0" w:line="15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color w:val="auto"/>
        </w:rPr>
        <w:t>Representations and Warranties of Nurix</w:t>
      </w:r>
      <w:r>
        <w:rPr>
          <w:rFonts w:ascii="Times New Roman" w:cs="Times New Roman" w:eastAsia="Times New Roman" w:hAnsi="Times New Roman"/>
          <w:sz w:val="22"/>
          <w:szCs w:val="22"/>
          <w:color w:val="auto"/>
        </w:rPr>
        <w:t>. Nurix hereby represents and warrants to Seagen as of the Effective Date that:</w:t>
      </w:r>
    </w:p>
    <w:p>
      <w:pPr>
        <w:spacing w:after="0" w:line="150" w:lineRule="exact"/>
        <w:rPr>
          <w:sz w:val="20"/>
          <w:szCs w:val="20"/>
          <w:color w:val="auto"/>
        </w:rPr>
      </w:pPr>
    </w:p>
    <w:p>
      <w:pPr>
        <w:jc w:val="both"/>
        <w:ind w:left="660" w:firstLine="1292"/>
        <w:spacing w:after="0" w:line="217" w:lineRule="auto"/>
        <w:tabs>
          <w:tab w:leader="none" w:pos="260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17.2(a) sets forth a complete and accurate list of all the Nurix Patents existing as of the Effective Date that are (i) necessary or reasonably useful for the Joint Research Plans for the Initial Degrader Target Sets or (ii) necessary or reasonably useful to Research, Develop, Manufacture, Commercialize or otherwise Exploit Licensed Products that contain any Collaboration Degrader Directed To the Initial Degrader Target Sets (including as part of any Licensed Degrader-Antibody Conjugates) in the Field in the Territory.</w:t>
      </w:r>
    </w:p>
    <w:p>
      <w:pPr>
        <w:spacing w:after="0" w:line="152" w:lineRule="exact"/>
        <w:rPr>
          <w:rFonts w:ascii="Times New Roman" w:cs="Times New Roman" w:eastAsia="Times New Roman" w:hAnsi="Times New Roman"/>
          <w:sz w:val="22"/>
          <w:szCs w:val="22"/>
          <w:color w:val="auto"/>
        </w:rPr>
      </w:pPr>
    </w:p>
    <w:p>
      <w:pPr>
        <w:jc w:val="both"/>
        <w:ind w:left="660" w:right="20" w:firstLine="1292"/>
        <w:spacing w:after="0" w:line="225" w:lineRule="auto"/>
        <w:tabs>
          <w:tab w:leader="none" w:pos="259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is the sole and exclusive owner of the Nurix IP free and clear of all liens and encumbrances that would adversely affect the rights to Seagen hereunder in any material respect. Nurix has the full right and authority to grant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5" w:right="339" w:bottom="1440" w:gutter="0" w:footer="0" w:header="0"/>
        </w:sectPr>
      </w:pPr>
    </w:p>
    <w:bookmarkStart w:id="246" w:name="page247"/>
    <w:bookmarkEnd w:id="246"/>
    <w:p>
      <w:pPr>
        <w:jc w:val="both"/>
        <w:ind w:left="4"/>
        <w:spacing w:after="0" w:line="225" w:lineRule="auto"/>
        <w:rPr>
          <w:sz w:val="20"/>
          <w:szCs w:val="20"/>
          <w:color w:val="auto"/>
        </w:rPr>
      </w:pPr>
      <w:r>
        <w:rPr>
          <w:rFonts w:ascii="Times New Roman" w:cs="Times New Roman" w:eastAsia="Times New Roman" w:hAnsi="Times New Roman"/>
          <w:sz w:val="22"/>
          <w:szCs w:val="22"/>
          <w:color w:val="auto"/>
        </w:rPr>
        <w:t>rights and licenses granted to Seagen hereunder, and neither Nurix nor its Affiliates have granted any right or license, or committed to grant any right or license, to any Third Party relating to any of the Nurix IP in a manner that would conflict with or limit the scope of any of the options, rights or licenses granted to Seagen hereunder.</w:t>
      </w:r>
    </w:p>
    <w:p>
      <w:pPr>
        <w:spacing w:after="0" w:line="153" w:lineRule="exact"/>
        <w:rPr>
          <w:sz w:val="20"/>
          <w:szCs w:val="20"/>
          <w:color w:val="auto"/>
        </w:rPr>
      </w:pPr>
    </w:p>
    <w:p>
      <w:pPr>
        <w:jc w:val="both"/>
        <w:ind w:left="4" w:firstLine="1292"/>
        <w:spacing w:after="0" w:line="219" w:lineRule="auto"/>
        <w:tabs>
          <w:tab w:leader="none" w:pos="194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Nurix has complied in all respects with all Applicable Law with respect to the Prosecution and Maintenance of the Nurix Patents. No dispute regarding inventorship or ownership has been alleged or threatened with respect to any Nurix Patents. There is no pending or threatened adverse Action (including any interference, </w:t>
      </w:r>
      <w:r>
        <w:rPr>
          <w:rFonts w:ascii="Times New Roman" w:cs="Times New Roman" w:eastAsia="Times New Roman" w:hAnsi="Times New Roman"/>
          <w:sz w:val="21"/>
          <w:szCs w:val="21"/>
          <w:i w:val="1"/>
          <w:iCs w:val="1"/>
          <w:color w:val="auto"/>
        </w:rPr>
        <w:t>inter partes</w:t>
      </w:r>
      <w:r>
        <w:rPr>
          <w:rFonts w:ascii="Times New Roman" w:cs="Times New Roman" w:eastAsia="Times New Roman" w:hAnsi="Times New Roman"/>
          <w:sz w:val="21"/>
          <w:szCs w:val="21"/>
          <w:color w:val="auto"/>
        </w:rPr>
        <w:t xml:space="preserve"> review, post-grant review, re-examination, opposition, or inventorship or ownership challenge, in each case, in or before any patent office or other Governmental Authority) against Nurix in relation to any Nurix Patents. All Nurix Patents are:</w:t>
      </w:r>
    </w:p>
    <w:p>
      <w:pPr>
        <w:spacing w:after="0" w:line="2" w:lineRule="exact"/>
        <w:rPr>
          <w:rFonts w:ascii="Times New Roman" w:cs="Times New Roman" w:eastAsia="Times New Roman" w:hAnsi="Times New Roman"/>
          <w:sz w:val="21"/>
          <w:szCs w:val="21"/>
          <w:color w:val="auto"/>
        </w:rPr>
      </w:pPr>
    </w:p>
    <w:p>
      <w:pPr>
        <w:jc w:val="both"/>
        <w:ind w:left="4" w:hanging="4"/>
        <w:spacing w:after="0" w:line="211" w:lineRule="auto"/>
        <w:tabs>
          <w:tab w:leader="none" w:pos="28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subsisting and, to Nurix’s knowledge, not invalid or unenforceable, in whole or in part, (ii) in the case of pending applications, being diligently prosecuted in the respective patent offices in accordance with Applicable Law and Nurix has presented all relevant references, documents and information of which it and the inventors are aware to the relevant patent examiner at the relevant patent office and (iii) Prosecuted and Maintained properly and correctly (including by identifying every inventor of the claims thereof as determined in accordance with the laws of the jurisdiction in which such Patent is issued or pending) and all applicable fees have been paid by the due date for payment.</w:t>
      </w:r>
    </w:p>
    <w:p>
      <w:pPr>
        <w:spacing w:after="0" w:line="153" w:lineRule="exact"/>
        <w:rPr>
          <w:rFonts w:ascii="Times New Roman" w:cs="Times New Roman" w:eastAsia="Times New Roman" w:hAnsi="Times New Roman"/>
          <w:sz w:val="22"/>
          <w:szCs w:val="22"/>
          <w:color w:val="auto"/>
        </w:rPr>
      </w:pPr>
    </w:p>
    <w:p>
      <w:pPr>
        <w:jc w:val="both"/>
        <w:ind w:left="4" w:firstLine="1292"/>
        <w:spacing w:after="0" w:line="210" w:lineRule="auto"/>
        <w:tabs>
          <w:tab w:leader="none" w:pos="194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has not misappropriated any Know-How of a Third Party or, to Nurix’s knowledge, infringed any Patents of a Third Party in connection with developing the Nurix IP. Neither Nurix nor its Affiliates have received any written notice or to Nurix’s knowledge, any threat of any claim or litigation that any Patent or Know-How (including any trade secret right) Controlled by a Third Party would be infringed, misappropriated or otherwise violated by the performance of the activities hereunder or by the Development, Manufacture, Commercialization or Exploitation of the Licensed Products in accordance with this Agreement. Neither (i) the Nurix Materials supplied by Nurix to Seagen hereunder, nor (ii) the use and practice of the Nurix IP as contemplated hereunder would misappropriate or, to Nurix’s knowledge, infringe any intellectual property rights of any Third Party. To Nurix’s knowledge, there are no activities by Third Parties within the Territory that would constitute misappropriation of Nurix Know-How or infringement of Nurix Patents. Neither Nurix nor its Affiliates have received any written notice or to Nurix’s knowledge, any threat, of a claim or litigation made by any Person against Nurix or its Affiliates that alleges that any Nurix Patent is invalid or unenforceable.</w:t>
      </w:r>
    </w:p>
    <w:p>
      <w:pPr>
        <w:spacing w:after="0" w:line="151"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945"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and its Affiliates have obtained from all individuals who participated in any respect in the invention or authorship of any Nurix IP effective written assignments of all ownership rights of such individuals in such Nurix IP, as applicable. To Nurix’s knowledge, no Person who claims to be an inventor of an invention claimed in a Nurix Patent is not identified as an inventor of such invention in the filed patent documents for such Nurix Patent.</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13" w:lineRule="auto"/>
        <w:tabs>
          <w:tab w:leader="none" w:pos="194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inventions claimed or covered by the Nurix Patents (i) were not conceived, discovered, developed or otherwise made in connection with any research activities funded, in whole or in part, by the federal government of the United States (or any agency thereof) or the government of any other country; (ii) are not a “subject invention” as that term is described in 35 U.S.C. §201(e); (iii) are not otherwise subject to the provisions of the Patent and Trademark Law Amendments Act of 1980, as amended, codified at 35 U.S.C. §§200-212, as amended, or any regulations promulgated pursuant thereto, including in 37 C.F.R. Part 401; and (iv) are not the subject of any licenses, options or other rights of any Governmental Authority, within or outside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0584"/>
          </w:cols>
          <w:pgMar w:left="976" w:top="1395" w:right="339" w:bottom="1440" w:gutter="0" w:footer="0" w:header="0"/>
        </w:sectPr>
      </w:pPr>
    </w:p>
    <w:bookmarkStart w:id="247" w:name="page248"/>
    <w:bookmarkEnd w:id="247"/>
    <w:p>
      <w:pPr>
        <w:ind w:left="660"/>
        <w:spacing w:after="0" w:line="236" w:lineRule="auto"/>
        <w:rPr>
          <w:sz w:val="20"/>
          <w:szCs w:val="20"/>
          <w:color w:val="auto"/>
        </w:rPr>
      </w:pPr>
      <w:r>
        <w:rPr>
          <w:rFonts w:ascii="Times New Roman" w:cs="Times New Roman" w:eastAsia="Times New Roman" w:hAnsi="Times New Roman"/>
          <w:sz w:val="22"/>
          <w:szCs w:val="22"/>
          <w:color w:val="auto"/>
        </w:rPr>
        <w:t>States; in the case of clauses (ii) or (iii), or similar obligations or restrictions under the Applicable Law of any other country.</w:t>
      </w:r>
    </w:p>
    <w:p>
      <w:pPr>
        <w:spacing w:after="0" w:line="150" w:lineRule="exact"/>
        <w:rPr>
          <w:sz w:val="20"/>
          <w:szCs w:val="20"/>
          <w:color w:val="auto"/>
        </w:rPr>
      </w:pPr>
    </w:p>
    <w:p>
      <w:pPr>
        <w:jc w:val="both"/>
        <w:ind w:left="660" w:firstLine="1292"/>
        <w:spacing w:after="0" w:line="211" w:lineRule="auto"/>
        <w:tabs>
          <w:tab w:leader="none" w:pos="259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exclusivity provisions or any other restrictions in any agreement between Nurix or its Affiliates, on the one hand, and any Third Party, on the other hand, that would limit (i) Nurix’s ability to (A) perform its obligations under this Agreement, or (B) grant such rights and licenses as granted under this Agreement to Seagen, or (ii) to Nurix’s knowledge, Seagen’s ability to Research, Develop, Manufacture, Commercialize or otherwise Exploit the Licensed Products as contemplated by this Agreement. Neither Nurix nor any of its Affiliates are delinquent in any payment obligations to any Third Party, or engaged in any dispute with any Third Party, that would limit (x) Nurix’s ability to (A) perform its obligations under this Agreement, or (B) grant such rights and licenses as granted under this Agreement to Seagen or (y) to Nurix’s knowledge, Seagen’s ability to Research, Develop, Manufacture, Commercialize or otherwise Exploit the Licensed Products as contemplated by this Agreement.</w:t>
      </w:r>
    </w:p>
    <w:p>
      <w:pPr>
        <w:spacing w:after="0" w:line="158"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claims, judgments, settlements, litigations, suits, actions, disputes, arbitration, judicial, or legal, administrative or other proceedings, or governmental investigations pending or, to the knowledge of Nurix, threatened against Nurix or its Affiliates which could reasonably be expected to adversely affect or restrict the ability of Nurix to consummate or perform the transactions contemplated under this Agreement.</w:t>
      </w:r>
    </w:p>
    <w:p>
      <w:pPr>
        <w:spacing w:after="0" w:line="13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2"/>
          <w:szCs w:val="22"/>
          <w:b w:val="1"/>
          <w:bCs w:val="1"/>
          <w:color w:val="auto"/>
        </w:rPr>
        <w:t>Representations and Warranties of Seagen</w:t>
      </w:r>
      <w:r>
        <w:rPr>
          <w:rFonts w:ascii="Times New Roman" w:cs="Times New Roman" w:eastAsia="Times New Roman" w:hAnsi="Times New Roman"/>
          <w:sz w:val="22"/>
          <w:szCs w:val="22"/>
          <w:color w:val="auto"/>
        </w:rPr>
        <w:t>. Seagen hereby represents and warrants to Nurix, as of the</w:t>
      </w:r>
    </w:p>
    <w:p>
      <w:pPr>
        <w:spacing w:after="0"/>
        <w:rPr>
          <w:sz w:val="20"/>
          <w:szCs w:val="20"/>
          <w:color w:val="auto"/>
        </w:rPr>
      </w:pPr>
      <w:r>
        <w:rPr>
          <w:rFonts w:ascii="Times New Roman" w:cs="Times New Roman" w:eastAsia="Times New Roman" w:hAnsi="Times New Roman"/>
          <w:sz w:val="22"/>
          <w:szCs w:val="22"/>
          <w:color w:val="auto"/>
        </w:rPr>
        <w:t>Effective Date, that:</w:t>
      </w:r>
    </w:p>
    <w:p>
      <w:pPr>
        <w:spacing w:after="0" w:line="155" w:lineRule="exact"/>
        <w:rPr>
          <w:sz w:val="20"/>
          <w:szCs w:val="20"/>
          <w:color w:val="auto"/>
        </w:rPr>
      </w:pPr>
    </w:p>
    <w:p>
      <w:pPr>
        <w:jc w:val="both"/>
        <w:ind w:left="660" w:firstLine="1292"/>
        <w:spacing w:after="0" w:line="225" w:lineRule="auto"/>
        <w:tabs>
          <w:tab w:leader="none" w:pos="260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 the Seagen Materials supplied by Seagen to Nurix hereunder, nor (ii) the use and practice of the Seagen IP as contemplated hereunder would, to Seagen’s knowledge, misappropriate or infringe any intellectual property rights of any Third Party.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7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claims, judgments, settlements, litigations, suits, actions, disputes, arbitration, judicial, or legal, administrative, or other proceedings or governmental investigations pending or, to the actual knowledge of Seagen, threatened against Seagen which would reasonably be expected to adversely affect or restrict the ability of Seagen to consummate or perform the transaction contemplated under this Agreement.</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b w:val="1"/>
          <w:bCs w:val="1"/>
          <w:color w:val="auto"/>
        </w:rPr>
        <w:t>Covenants</w:t>
      </w:r>
      <w:r>
        <w:rPr>
          <w:rFonts w:ascii="Times New Roman" w:cs="Times New Roman" w:eastAsia="Times New Roman" w:hAnsi="Times New Roman"/>
          <w:sz w:val="22"/>
          <w:szCs w:val="22"/>
          <w:color w:val="auto"/>
        </w:rPr>
        <w:t>. Each Party hereby covenants to the other Party that during the Term: (a) such Party and its Affiliates will perform its activities pursuant to this Agreement in compliance (and will ensure compliance by any of its subcontractors) with all Applicable Law, including, to the extent applicable, FCPA, GCP, GLP and GMP and in accordance with good scientific, clinical and manufacturing practices and applicable industry ethical codes; (b) will not employ, or otherwise use in any capacity, the services of any Person suspended, proposed for debarment or debarred under United States law, including under 21 U.S.C. § 335a, or any foreign equivalent thereof, with respect to the performance of activities hereunder; (c) such Party will not enter into any agreement, contract, commitment or other arrangement that could reasonably be expected to conflict with the rights granted to the other Party hereunder or otherwise prevent the other Party from exercising the rights granted to it hereunder; (d) such Party will not misappropriate any trade secret of a Third Party in connection with the performance of its activities hereunder; and (e) such Party will maintain all permits, licenses, registrations and other forms of authorizations and approvals from any Governmental Authority, necessary or required to be obtained or maintained by such Party in order for such Party to execute and deliver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395"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color w:val="auto"/>
        </w:rPr>
        <w:t>and to perform its obligations hereunder and thereunder in a manner which complies with all Applicable Law.</w:t>
      </w:r>
    </w:p>
    <w:p>
      <w:pPr>
        <w:spacing w:after="0" w:line="175"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b w:val="1"/>
          <w:bCs w:val="1"/>
          <w:color w:val="auto"/>
        </w:rPr>
        <w:t>Disclaimer</w:t>
      </w:r>
      <w:r>
        <w:rPr>
          <w:rFonts w:ascii="Times New Roman" w:cs="Times New Roman" w:eastAsia="Times New Roman" w:hAnsi="Times New Roman"/>
          <w:sz w:val="22"/>
          <w:szCs w:val="22"/>
          <w:color w:val="auto"/>
        </w:rPr>
        <w:t>. 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 WITHOUT LIMITING THE FOREGOING, THE PARTIES AGREE THAT THE MILESTONE EVENTS AND NET SALES LEVELS SET FORTH IN THIS AGREEMENT OR THAT HAVE OTHERWISE BEEN DISCUSSED BY THE PARTIES ARE MERELY INTENDED TO DEFINE THE MILESTONE PAYMENTS AND ROYALTY OBLIGATIONS IF SUCH MILESTONE EVENTS OR NET SALES LEVELS ARE ACHIEVED. NEITHER PARTY MAKES ANY REPRESENTATION OR WARRANTY, EITHER EXPRESS OR IMPLIED, THAT IT WILL BE ABLE TO SUCCESSFULLY ADVANCE ANY DEGRADER PRODUCT OR DEVELOP, ACHIEVE REGULATORY APPROVAL FOR, MANUFACTURE OR COMMERCIALIZE ANY LICENSED PRODUCT OR, IF COMMERCIALIZED, THAT ANY PARTICULAR SALES LEVEL OR PROFIT OF SUCH LICENSED PRODUCT WILL BE ACHIEVED.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18</w:t>
      </w: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w:t>
      </w:r>
    </w:p>
    <w:p>
      <w:pPr>
        <w:spacing w:after="0" w:line="151"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18.1.1 </w:t>
      </w:r>
      <w:r>
        <w:rPr>
          <w:rFonts w:ascii="Times New Roman" w:cs="Times New Roman" w:eastAsia="Times New Roman" w:hAnsi="Times New Roman"/>
          <w:sz w:val="22"/>
          <w:szCs w:val="22"/>
          <w:u w:val="single" w:color="auto"/>
          <w:color w:val="auto"/>
        </w:rPr>
        <w:t>Indemnification by Seagen</w:t>
      </w:r>
      <w:r>
        <w:rPr>
          <w:rFonts w:ascii="Times New Roman" w:cs="Times New Roman" w:eastAsia="Times New Roman" w:hAnsi="Times New Roman"/>
          <w:sz w:val="22"/>
          <w:szCs w:val="22"/>
          <w:color w:val="auto"/>
        </w:rPr>
        <w:t>. Seagen will indemnify, defend and hold harmless Nurix, its Affiliates and its and their respective directors, officers, employees, agents, successors and assigns (each, a “</w:t>
      </w:r>
      <w:r>
        <w:rPr>
          <w:rFonts w:ascii="Times New Roman" w:cs="Times New Roman" w:eastAsia="Times New Roman" w:hAnsi="Times New Roman"/>
          <w:sz w:val="22"/>
          <w:szCs w:val="22"/>
          <w:b w:val="1"/>
          <w:bCs w:val="1"/>
          <w:color w:val="auto"/>
        </w:rPr>
        <w:t>Nurix Indemnitee</w:t>
      </w:r>
      <w:r>
        <w:rPr>
          <w:rFonts w:ascii="Times New Roman" w:cs="Times New Roman" w:eastAsia="Times New Roman" w:hAnsi="Times New Roman"/>
          <w:sz w:val="22"/>
          <w:szCs w:val="22"/>
          <w:color w:val="auto"/>
        </w:rPr>
        <w:t>”) from and against any and all Damages to the extent arising out of or relating to, directly or indirectly, any Third Party Claim based upon:</w:t>
      </w:r>
    </w:p>
    <w:p>
      <w:pPr>
        <w:spacing w:after="0" w:line="153" w:lineRule="exact"/>
        <w:rPr>
          <w:sz w:val="20"/>
          <w:szCs w:val="20"/>
          <w:color w:val="auto"/>
        </w:rPr>
      </w:pPr>
    </w:p>
    <w:p>
      <w:pPr>
        <w:ind w:left="2600" w:hanging="648"/>
        <w:spacing w:after="0"/>
        <w:tabs>
          <w:tab w:leader="none" w:pos="26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Research activities conducted by Seagen or its Affiliates or contractors under this Agreement;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Manufacture or Commercialization of Licensed Products in the Field in the Territory by Seagen, its Affiliates or its Sublicensees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the event Nurix exercises its Profit-Share Option and the Parties enter into a Profit-Share Product Agreement with respect to a Profit-Share Product, the relevant Profit-Share Product Agreement will control with respect to any Third Party Claim based on the Development, Manufacture or Commercialization of Profit-Share Products);</w:t>
      </w:r>
    </w:p>
    <w:p>
      <w:pPr>
        <w:spacing w:after="0" w:line="152" w:lineRule="exact"/>
        <w:rPr>
          <w:rFonts w:ascii="Times New Roman" w:cs="Times New Roman" w:eastAsia="Times New Roman" w:hAnsi="Times New Roman"/>
          <w:sz w:val="22"/>
          <w:szCs w:val="22"/>
          <w:color w:val="auto"/>
        </w:rPr>
      </w:pPr>
    </w:p>
    <w:p>
      <w:pPr>
        <w:jc w:val="both"/>
        <w:ind w:left="660" w:right="20" w:firstLine="1292"/>
        <w:spacing w:after="0" w:line="225" w:lineRule="auto"/>
        <w:tabs>
          <w:tab w:leader="none" w:pos="260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Seagen or its Affiliates or its or their respective directors, officers, employees or agents, in connection with Seagen’s performance of its obligations under this Agreement or any Ancillary Agreement; or</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Seagen of any of its representations, warranties, covenants, agreements or obligations under this Agreement or any Ancillary Agreement;</w:t>
      </w:r>
    </w:p>
    <w:p>
      <w:pPr>
        <w:spacing w:after="0" w:line="1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each case ((a)-(d)), such indemnity will not apply to the extent Nurix has an indemnification obligation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18.1.2 (Indemnification by Nurix) for such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95" w:right="339" w:bottom="1440" w:gutter="0" w:footer="0" w:header="0"/>
        </w:sectPr>
      </w:pPr>
    </w:p>
    <w:bookmarkStart w:id="249" w:name="page250"/>
    <w:bookmarkEnd w:id="249"/>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18.1.2 </w:t>
      </w:r>
      <w:r>
        <w:rPr>
          <w:rFonts w:ascii="Times New Roman" w:cs="Times New Roman" w:eastAsia="Times New Roman" w:hAnsi="Times New Roman"/>
          <w:sz w:val="22"/>
          <w:szCs w:val="22"/>
          <w:u w:val="single" w:color="auto"/>
          <w:color w:val="auto"/>
        </w:rPr>
        <w:t>Indemnification by Nurix</w:t>
      </w:r>
      <w:r>
        <w:rPr>
          <w:rFonts w:ascii="Times New Roman" w:cs="Times New Roman" w:eastAsia="Times New Roman" w:hAnsi="Times New Roman"/>
          <w:sz w:val="22"/>
          <w:szCs w:val="22"/>
          <w:color w:val="auto"/>
        </w:rPr>
        <w:t>. Nurix will indemnify, defend and hold harmless Seagen, its Affiliates and its and their respective directors, officers, employees, agents, successors, assigns and Sublicensees (each, a “</w:t>
      </w:r>
      <w:r>
        <w:rPr>
          <w:rFonts w:ascii="Times New Roman" w:cs="Times New Roman" w:eastAsia="Times New Roman" w:hAnsi="Times New Roman"/>
          <w:sz w:val="22"/>
          <w:szCs w:val="22"/>
          <w:b w:val="1"/>
          <w:bCs w:val="1"/>
          <w:color w:val="auto"/>
        </w:rPr>
        <w:t>Seagen Indemnitee</w:t>
      </w:r>
      <w:r>
        <w:rPr>
          <w:rFonts w:ascii="Times New Roman" w:cs="Times New Roman" w:eastAsia="Times New Roman" w:hAnsi="Times New Roman"/>
          <w:sz w:val="22"/>
          <w:szCs w:val="22"/>
          <w:color w:val="auto"/>
        </w:rPr>
        <w:t>”), from and against any and all Damages to the extent arising out of or relating to, directly or indirectly, any Third Party Claim based upon:</w:t>
      </w:r>
    </w:p>
    <w:p>
      <w:pPr>
        <w:spacing w:after="0" w:line="152" w:lineRule="exact"/>
        <w:rPr>
          <w:sz w:val="20"/>
          <w:szCs w:val="20"/>
          <w:color w:val="auto"/>
        </w:rPr>
      </w:pPr>
    </w:p>
    <w:p>
      <w:pPr>
        <w:ind w:left="2600" w:hanging="648"/>
        <w:spacing w:after="0"/>
        <w:tabs>
          <w:tab w:leader="none" w:pos="26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Research activities conducted by Nurix or its Affiliates or contractors under this Agreement;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of Nurix or its Affiliates or its or their respective directors, officers, employees or agents, in connection with Nurix’s performance of its obligations under this Agreement or any Ancillary Agreement; or</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Nurix of any of its representations, warranties, covenants, agreements or obligations under this Agreement or any Ancillary Agreement;</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each case ((a)-(c)), such indemnity will not apply to the extent Seagen has an indemnification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 pursuant to Section 18.1.1 (Indemnification by Seagen) for such Damages.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b w:val="1"/>
          <w:bCs w:val="1"/>
          <w:color w:val="auto"/>
        </w:rPr>
        <w:t>Indemnification Procedure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18.2.1 </w:t>
      </w:r>
      <w:r>
        <w:rPr>
          <w:rFonts w:ascii="Times New Roman" w:cs="Times New Roman" w:eastAsia="Times New Roman" w:hAnsi="Times New Roman"/>
          <w:sz w:val="22"/>
          <w:szCs w:val="22"/>
          <w:u w:val="single" w:color="auto"/>
          <w:color w:val="auto"/>
        </w:rPr>
        <w:t>Indemnification Notice</w:t>
      </w:r>
      <w:r>
        <w:rPr>
          <w:rFonts w:ascii="Times New Roman" w:cs="Times New Roman" w:eastAsia="Times New Roman" w:hAnsi="Times New Roman"/>
          <w:sz w:val="22"/>
          <w:szCs w:val="22"/>
          <w:color w:val="auto"/>
        </w:rPr>
        <w:t>. If a Nurix Indemnitee or Seagen Indemnitee is seeking indemnification under Section 18.1.1 (Indemnification by Seagen) or Section 18.1.2 (Indemnification by Nurix), as applicable (the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Nurix or Seagen, as applicable, will inform the other Party (the “</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 of the claim giving rise to the obligation to indemnify pursuant to Section 18.1.1 (Indemnification by Seagen) or Section 18.1.2 (Indemnification by Nurix), as applicable, as soon as reasonably practicable after receiving notice of the claim (an “</w:t>
      </w:r>
      <w:r>
        <w:rPr>
          <w:rFonts w:ascii="Times New Roman" w:cs="Times New Roman" w:eastAsia="Times New Roman" w:hAnsi="Times New Roman"/>
          <w:sz w:val="22"/>
          <w:szCs w:val="22"/>
          <w:b w:val="1"/>
          <w:bCs w:val="1"/>
          <w:color w:val="auto"/>
        </w:rPr>
        <w:t>Indemnification Claim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delay or failure to provide such notice will not constitute a waiver or release of, or otherwise limit, the Indemnitor’s obligation to indemnify under Section 18.1.1 (Indemnification by Seagen) or Section 18.1.2 (Indemnification by Nurix), as applicable, except to the extent that such delay or failure materially prejudices the Indemnitor’s ability to defend against the relevant claims.</w:t>
      </w:r>
    </w:p>
    <w:p>
      <w:pPr>
        <w:spacing w:after="0" w:line="15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18.2.2 </w:t>
      </w:r>
      <w:r>
        <w:rPr>
          <w:rFonts w:ascii="Times New Roman" w:cs="Times New Roman" w:eastAsia="Times New Roman" w:hAnsi="Times New Roman"/>
          <w:sz w:val="22"/>
          <w:szCs w:val="22"/>
          <w:u w:val="single" w:color="auto"/>
          <w:color w:val="auto"/>
        </w:rPr>
        <w:t>Control of Defense</w:t>
      </w:r>
      <w:r>
        <w:rPr>
          <w:rFonts w:ascii="Times New Roman" w:cs="Times New Roman" w:eastAsia="Times New Roman" w:hAnsi="Times New Roman"/>
          <w:sz w:val="22"/>
          <w:szCs w:val="22"/>
          <w:color w:val="auto"/>
        </w:rPr>
        <w:t>. The Indemnitor will have the right, upon written notice given to the Indemnitee and the non-indemnifying Party within [*] days after receipt of the Indemnification Claim Notice, to assume the defense of any such claim for which the Indemnitee is seeking indemnification pursuant to Section 18.1.1 (Indemnification by Seagen) or Section 18.1.2 (Indemnification by Nurix), as applicable. The non-indemnifying Party will cause the Indemnitee to cooperate with the Indemnitor and the Indemnitor’s insurer as the Indemnitor may reasonably request, and at the Indemnitor’s cost and expense. The Indemnitee will have the right to participate, at its own expense and with counsel of its choice, in the defense of any claim or suit that has been assumed by the Indemnitor.</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18.2.3 </w:t>
      </w:r>
      <w:r>
        <w:rPr>
          <w:rFonts w:ascii="Times New Roman" w:cs="Times New Roman" w:eastAsia="Times New Roman" w:hAnsi="Times New Roman"/>
          <w:sz w:val="22"/>
          <w:szCs w:val="22"/>
          <w:u w:val="single" w:color="auto"/>
          <w:color w:val="auto"/>
        </w:rPr>
        <w:t>Settlements; No Presumption of Liability</w:t>
      </w:r>
      <w:r>
        <w:rPr>
          <w:rFonts w:ascii="Times New Roman" w:cs="Times New Roman" w:eastAsia="Times New Roman" w:hAnsi="Times New Roman"/>
          <w:sz w:val="22"/>
          <w:szCs w:val="22"/>
          <w:color w:val="auto"/>
        </w:rPr>
        <w:t xml:space="preserve">. The Indemnitor will not settle any claim without first obtaining the prior written consent of the non-indemnifying Party, not to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Indemnitor shall have the right to settle claims that are exclusively for money damages without such prior written consent so long as the settlement does not impose any liability or admit any fault on behalf of the Indemnitee. The assumption of the defense of a claim by the Indemnitor will not be construed as an acknowledgment that the Indemnitor is liable to indemnify the Indemnitee in respect of the claim, nor will it constitute a waiver by the Indemnitor of any defenses it may assert against the Indemnitee’s claim for indemnification. In the event that it is ultimately determined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5" w:right="339" w:bottom="1440" w:gutter="0" w:footer="0" w:header="0"/>
        </w:sectPr>
      </w:pPr>
    </w:p>
    <w:bookmarkStart w:id="250" w:name="page251"/>
    <w:bookmarkEnd w:id="250"/>
    <w:p>
      <w:pPr>
        <w:jc w:val="both"/>
        <w:spacing w:after="0" w:line="225" w:lineRule="auto"/>
        <w:rPr>
          <w:sz w:val="20"/>
          <w:szCs w:val="20"/>
          <w:color w:val="auto"/>
        </w:rPr>
      </w:pPr>
      <w:r>
        <w:rPr>
          <w:rFonts w:ascii="Times New Roman" w:cs="Times New Roman" w:eastAsia="Times New Roman" w:hAnsi="Times New Roman"/>
          <w:sz w:val="22"/>
          <w:szCs w:val="22"/>
          <w:color w:val="auto"/>
        </w:rPr>
        <w:t>Indemnitor is not obligated to indemnify, defend or hold harmless the Indemnitee from and against the claim, the non-indemnifying Party will reimburse the Indemnitor for any and all costs and expenses (including attorneys’ fees and costs of suit) and any Damages incurred by the Indemnitor in its defense of the claim.</w:t>
      </w:r>
    </w:p>
    <w:p>
      <w:pPr>
        <w:spacing w:after="0" w:line="15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18.2.4 </w:t>
      </w:r>
      <w:r>
        <w:rPr>
          <w:rFonts w:ascii="Times New Roman" w:cs="Times New Roman" w:eastAsia="Times New Roman" w:hAnsi="Times New Roman"/>
          <w:sz w:val="22"/>
          <w:szCs w:val="22"/>
          <w:u w:val="single" w:color="auto"/>
          <w:color w:val="auto"/>
        </w:rPr>
        <w:t>Separate Defenses; Cooperation</w:t>
      </w:r>
      <w:r>
        <w:rPr>
          <w:rFonts w:ascii="Times New Roman" w:cs="Times New Roman" w:eastAsia="Times New Roman" w:hAnsi="Times New Roman"/>
          <w:sz w:val="22"/>
          <w:szCs w:val="22"/>
          <w:color w:val="auto"/>
        </w:rPr>
        <w:t>. If the Parties cannot agree as to the application of Section 18.1.1 (Indemnification by Seagen) or Section 18.1.2 (Indemnification by Nurix), as applicable, to any claim, pending the resolution of the Dispute pursuant to Section 20.6 (Choice of Law; Dispute Resolution; Jurisdiction), the Parties may conduct separate defenses of such claims, with each Party retaining the right to claim indemnification from the other Party in accordance with Section 18.1.1 (Indemnification by Seagen) or Section 18.1.2 (Indemnification by Nurix), as applicable, upon resolution of the underlying claim. In each case, the non-indemnifying Party will cause each applicable Indemnitee to reasonably cooperate with the Indemnitor and make available to the Indemnitor all pertinent information under the control of the Indemnitee, which information will be subject to Article 16 (Confidentiality).</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During the Term and for a period of [*] years thereafter, each Party will have and maintain in full force and effect, at its own expense, insurance coverage (with a Third Party insurance company with a current AM Best rating of A- or equivalent or higher, or through a commercially reasonable program of self-insurance) to include:</w:t>
      </w:r>
    </w:p>
    <w:p>
      <w:pPr>
        <w:spacing w:after="0" w:line="150" w:lineRule="exact"/>
        <w:rPr>
          <w:sz w:val="20"/>
          <w:szCs w:val="20"/>
          <w:color w:val="auto"/>
        </w:rPr>
      </w:pPr>
    </w:p>
    <w:p>
      <w:pPr>
        <w:jc w:val="both"/>
        <w:ind w:left="660" w:firstLine="1292"/>
        <w:spacing w:after="0" w:line="225" w:lineRule="auto"/>
        <w:tabs>
          <w:tab w:leader="none" w:pos="260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(including product liability coverage and completed operations liability coverage and covering bodily injury and property damage) with limits of liability not less than [*] per occurrence and [*] in the aggregate;</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workers’ compensation insurance in compliance with Applicable Law (including the local law requirements of the state or jurisdiction in which the work is to be performed);</w:t>
      </w:r>
    </w:p>
    <w:p>
      <w:pPr>
        <w:spacing w:after="0" w:line="14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Employer’s liability insurance with limits of liability not less than [*] per occurrence and [*] in the</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aggregate; and</w:t>
      </w:r>
    </w:p>
    <w:p>
      <w:pPr>
        <w:spacing w:after="0" w:line="155" w:lineRule="exact"/>
        <w:rPr>
          <w:rFonts w:ascii="Times New Roman" w:cs="Times New Roman" w:eastAsia="Times New Roman" w:hAnsi="Times New Roman"/>
          <w:sz w:val="21"/>
          <w:szCs w:val="21"/>
          <w:color w:val="auto"/>
        </w:rPr>
      </w:pPr>
    </w:p>
    <w:p>
      <w:pPr>
        <w:ind w:left="660" w:firstLine="1292"/>
        <w:spacing w:after="0" w:line="236" w:lineRule="auto"/>
        <w:tabs>
          <w:tab w:leader="none" w:pos="259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Umbrella/excess liability insurance providing additional limits above the commercial general liability insurance policy with limits of liability not less than [*] per occurrence and [*] in the aggregate.</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For the avoidance of doubt, none of the coverage under this section shall serve to limit or expand the Parties’ indemnification obligations or other liability under this Agreement. As reasonably requested by the other Party (such request not more than once per Calendar Year), and to the extent applicable, a Party shall furnish one (1) or more certificates of insurance evidencing that the coverage required by this Section 18.3 (Insurance) is in full force and effect in compliance with the provisions of this Section 18.3 (Insurance). Each such certificate shall state the relevant policy number(s), date(s) of expiration and required limits of coverage.</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b w:val="1"/>
          <w:bCs w:val="1"/>
          <w:color w:val="auto"/>
        </w:rPr>
        <w:t>Limitation of Liability</w:t>
      </w:r>
      <w:r>
        <w:rPr>
          <w:rFonts w:ascii="Times New Roman" w:cs="Times New Roman" w:eastAsia="Times New Roman" w:hAnsi="Times New Roman"/>
          <w:sz w:val="22"/>
          <w:szCs w:val="22"/>
          <w:color w:val="auto"/>
        </w:rPr>
        <w:t>. NEITHER NURIX NOR SEAGEN, NOR ANY OF THEIR RESPECTIVE AFFILIATES, WILL BE LIABLE TO THE OTHER PARTY OR ITS AFFILIATES UNDER OR IN CONNECTION WITH THIS AGREEMENT OR ANY ANCILLARY AGREEMENT FOR ANY INDIRECT, INCIDENTAL, CONSEQUENTIAL, SPECIAL, PUNITIVE OR EXEMPLARY DAMAGES (INCLUDING LOST PROFITS OR LOST REVENUES), WHETHER LIABILITY IS ASSERTED IN CONTRACT, TORT (INCLUDING NEGLIGENCE AND STRICT PRODUCT LIABILITY), INDEMNITY, CONTRIBUTION OR OTHERWISE, AND IRRESPECTIVE OF WHETHER THAT PARTY OR ANY REPRESENTATIVE OF THAT PARTY HAS BEEN ADVISED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5" w:right="339" w:bottom="1440" w:gutter="0" w:footer="0" w:header="0"/>
        </w:sectPr>
      </w:pPr>
    </w:p>
    <w:bookmarkStart w:id="251" w:name="page252"/>
    <w:bookmarkEnd w:id="251"/>
    <w:p>
      <w:pPr>
        <w:jc w:val="both"/>
        <w:spacing w:after="0" w:line="222" w:lineRule="auto"/>
        <w:rPr>
          <w:sz w:val="20"/>
          <w:szCs w:val="20"/>
          <w:color w:val="auto"/>
        </w:rPr>
      </w:pPr>
      <w:r>
        <w:rPr>
          <w:rFonts w:ascii="Times New Roman" w:cs="Times New Roman" w:eastAsia="Times New Roman" w:hAnsi="Times New Roman"/>
          <w:sz w:val="21"/>
          <w:szCs w:val="21"/>
          <w:color w:val="auto"/>
        </w:rPr>
        <w:t>OTHERWISE MIGHT HAVE ANTICIPATED THE POSSIBILITY OF, ANY SUCH LOSS OR DAMAGE. NOTWITHSTANDING THE FOREGOING, NOTHING IN THIS SECTION 18.4 (LIMITATION OF LIABILITY) IS INTENDED TO OR WILL LIMIT OR RESTRICT: (A) THE INDEMNIFICATION RIGHTS OR OBLIGATIONS OF ANY PARTY UNDER SECTION 18.1.1 (INDEMNIFICATION BY SEAGEN) OR SECTION 18.1.2 (INDEMNIFICATION BY NURIX), AS APPLICABLE, IN CONNECTION WITH A CLAIM FOR SUCH LOSSES OR DAMAGES BY A THIRD PARTY; (B) THE LIABILITY OF A PARTY FOR BREACH OF ITS EXCLUSIVITY OBLIGATIONS UNDER SECTION 14.9 (EXCLUSIVITY); (C) DAMAGES AVAILABLE FOR A PARTY’S GROSS NEGLIGENCE, INTENTIONAL MISCONDUCT OR FRAUD; OR (D) LIABILITY OF EITHER PARTY FOR BREACH OF ARTICLE 16 (CONFIDENTIALITY).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19</w:t>
      </w: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5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b w:val="1"/>
          <w:bCs w:val="1"/>
          <w:color w:val="auto"/>
        </w:rPr>
        <w:t>Term; Expiration</w:t>
      </w:r>
      <w:r>
        <w:rPr>
          <w:rFonts w:ascii="Times New Roman" w:cs="Times New Roman" w:eastAsia="Times New Roman" w:hAnsi="Times New Roman"/>
          <w:sz w:val="22"/>
          <w:szCs w:val="22"/>
          <w:color w:val="auto"/>
        </w:rPr>
        <w:t>. The term of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will begin on the Effective Date and expire upon the first to occur of (a) the expiration of the last-to-expire Degrader License Option Period under this Agreement if no Degrader License Option has been exercised prior to such expiration, or (b) the expiration of the last-to-expire Royalty Term under this Agreement (or as otherwise provided in a relevant Nurix Opt-In Agreement, if applicable), in each case, unless earlier terminated in accordance with this Article 19 (Term and Termination). For clarity, if a Degrader License Option is exercised in accordance with this Agreement, the Term shall continue following such exercise until the commencement and expiration of all applicable Royalty Terms, subject to the foregoing clause (b), regardless of whether any Royalty Term has commenced or is ongoing as of the date of such exercise or any determination of the Term hereunder.</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19.2.1 </w:t>
      </w:r>
      <w:r>
        <w:rPr>
          <w:rFonts w:ascii="Times New Roman" w:cs="Times New Roman" w:eastAsia="Times New Roman" w:hAnsi="Times New Roman"/>
          <w:sz w:val="22"/>
          <w:szCs w:val="22"/>
          <w:u w:val="single" w:color="auto"/>
          <w:color w:val="auto"/>
        </w:rPr>
        <w:t>Termination for Material Breach</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60" w:firstLine="1292"/>
        <w:spacing w:after="0" w:line="221" w:lineRule="auto"/>
        <w:tabs>
          <w:tab w:leader="none" w:pos="260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Material Breach</w:t>
      </w:r>
      <w:r>
        <w:rPr>
          <w:rFonts w:ascii="Times New Roman" w:cs="Times New Roman" w:eastAsia="Times New Roman" w:hAnsi="Times New Roman"/>
          <w:sz w:val="21"/>
          <w:szCs w:val="21"/>
          <w:color w:val="auto"/>
        </w:rPr>
        <w:t>. This Agreement may be terminated (i) in its entirety for a material breach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Party that (A) fundamentally frustrates the value and essential purpose of the transactions contemplated by this Agreement and (B) affects this Agreement in its entirety, or (ii) in part, on a Collaboration Degrader Target Set-by-Collaboration Degrader Target Set basis or a Licensed Degrader Target Set-by-Licensed Degrader Target Set basis, as applicable, for a material breach by the other Party with respect to and affecting such Collaboration Degrader Target Set or Licensed Degrader Target Set, as applicable, in each case ((i) and (ii)), upon written notice to the breaching Party if the breaching Party has not cured such material breach within [*] if for breach of a payment obligation under this Agreement or [*] for all other breaches, in each case, after the date of written notice to the breaching Party of such breach (which notice will describe such material breach in reasonable detail and will state the non-breaching Party’s intention to terminate this Agreement, in its entirety or in part) (such [*] or [*] period, as applicable,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left="660" w:firstLine="1292"/>
        <w:spacing w:after="0" w:line="216" w:lineRule="auto"/>
        <w:tabs>
          <w:tab w:leader="none" w:pos="259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Disagreement as to Material Breach</w:t>
      </w:r>
      <w:r>
        <w:rPr>
          <w:rFonts w:ascii="Times New Roman" w:cs="Times New Roman" w:eastAsia="Times New Roman" w:hAnsi="Times New Roman"/>
          <w:sz w:val="22"/>
          <w:szCs w:val="22"/>
          <w:color w:val="auto"/>
        </w:rPr>
        <w:t>. Notwithstanding Section 19.2.1(a) (Material Breach),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Parties in good faith disagree as to whether there has been a material breach of this Agreement or a cure of any such breach, then: (i) the Party that disputes whether there has been a material breach or cure may contest the allegation by referring such matter, within the applicable Cure Period in the event of a Dispute regarding whether there has been a material breach or within [*] following the expiration of the appliable Cure Period in the event of a Dispute regarding whether there has been a cure of any such breach, for resolution in accordance with Section 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5" w:right="339" w:bottom="1440" w:gutter="0" w:footer="0" w:header="0"/>
        </w:sectPr>
      </w:pPr>
    </w:p>
    <w:bookmarkStart w:id="252" w:name="page253"/>
    <w:bookmarkEnd w:id="252"/>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(Choice of Law; Dispute Resolution; Jurisdiction); (ii) if a Party disputes such material breach or cure as described in clause (i) above, then the relevant Cure Period and the Parties’ rights to terminate this Agreement will be tolled from the date on which the Party that disputes the existence of such material breach or cure notifies the other Party of such Dispute through final resolution of such Dispute in accordance with Section 20.6 (Choice of Law; Dispute Resolution; Jurisdiction) (or, if earlier, until abandonment of the Dispute by the disputing Party); and (iii) subject to the foregoing (including tolling of the Parties’ rights to terminate this Agreement) and Section 19.4 (Surviving Provisions), during the pendency of such Dispute, all other terms and conditions of this Agreement and the Ancillary Agreements will remain in effect and the Parties will continue to perform all of their respective obligations hereunder and thereunder.</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19.2.2 </w:t>
      </w:r>
      <w:r>
        <w:rPr>
          <w:rFonts w:ascii="Times New Roman" w:cs="Times New Roman" w:eastAsia="Times New Roman" w:hAnsi="Times New Roman"/>
          <w:sz w:val="22"/>
          <w:szCs w:val="22"/>
          <w:u w:val="single" w:color="auto"/>
          <w:color w:val="auto"/>
        </w:rPr>
        <w:t>Termination at Will</w:t>
      </w:r>
      <w:r>
        <w:rPr>
          <w:rFonts w:ascii="Times New Roman" w:cs="Times New Roman" w:eastAsia="Times New Roman" w:hAnsi="Times New Roman"/>
          <w:sz w:val="22"/>
          <w:szCs w:val="22"/>
          <w:color w:val="auto"/>
        </w:rPr>
        <w:t>. Seagen may terminate this Agreement at will, in Seagen’s sole discretion (a) on a Collaboration Degrader Target Set-by-Collaboration Degrader Target Set basis prior to the Degrader License Effective Date for a Collaboration Degrader Target Set, upon delivery of [*] written notice to Nurix; and (b) on a Licensed Degrader Target Set-by-Licensed Degrader Target Set basis after the Degrader License Effective Date for a Licensed Degrader Target Set, upon delivery of [*] written notice to Nurix. Without limiting the foregoing, Seagen may terminate this Agreement at will, in Seagen’s sole discretion, in this Agreement’s entirety: (i) prior to the Degrader License Effective Date for any Collaboration Degrader Target Set, upon delivery of [*] prior written notice to Nurix; and (ii) after the Degrader License Effective Date for any Licensed Degrader Target Set, upon delivery of [*] prior written notice to Nurix.</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19.2.3 </w:t>
      </w:r>
      <w:r>
        <w:rPr>
          <w:rFonts w:ascii="Times New Roman" w:cs="Times New Roman" w:eastAsia="Times New Roman" w:hAnsi="Times New Roman"/>
          <w:sz w:val="22"/>
          <w:szCs w:val="22"/>
          <w:u w:val="single" w:color="auto"/>
          <w:color w:val="auto"/>
        </w:rPr>
        <w:t>Termination for Outside Date</w:t>
      </w:r>
      <w:r>
        <w:rPr>
          <w:rFonts w:ascii="Times New Roman" w:cs="Times New Roman" w:eastAsia="Times New Roman" w:hAnsi="Times New Roman"/>
          <w:sz w:val="22"/>
          <w:szCs w:val="22"/>
          <w:color w:val="auto"/>
        </w:rPr>
        <w:t>. Either Party may terminate this Agreement, on a Collaboration Degrader Target Set-by-Collaboration Degrader Target Set basis, if and to the extent permitted in accordance with Section 5.4.3 (Outside Date).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19.2.4 </w:t>
      </w:r>
      <w:r>
        <w:rPr>
          <w:rFonts w:ascii="Times New Roman" w:cs="Times New Roman" w:eastAsia="Times New Roman" w:hAnsi="Times New Roman"/>
          <w:sz w:val="22"/>
          <w:szCs w:val="22"/>
          <w:u w:val="single" w:color="auto"/>
          <w:color w:val="auto"/>
        </w:rPr>
        <w:t>Termination for Bankruptcy</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60" w:firstLine="1292"/>
        <w:spacing w:after="0" w:line="212" w:lineRule="auto"/>
        <w:tabs>
          <w:tab w:leader="none" w:pos="260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Right</w:t>
      </w:r>
      <w:r>
        <w:rPr>
          <w:rFonts w:ascii="Times New Roman" w:cs="Times New Roman" w:eastAsia="Times New Roman" w:hAnsi="Times New Roman"/>
          <w:sz w:val="22"/>
          <w:szCs w:val="22"/>
          <w:color w:val="auto"/>
        </w:rPr>
        <w:t>. In the event that either Party (i) commences a voluntary case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Bankruptcy Code or any similar bankruptcy or insolvency law foreign or domestic, (ii) makes an assignment for the benefit of, or an arrangement or composition generally with, its creditors, (iii) appoints an examiner or of a receiver or trustee over all or substantially all of its property or suffers the appointment of such party that is not discharged within [*] after such filing or appointment, (iv) proposes or is a party to any dissolution, liquidation or winding up of such Party, (v) has an involuntary petition filed against it under the Bankruptcy Code or any similar bankruptcy or insolvency law that is not discharged or dismissed within [*] of the filing thereof, or (vi) admits in writing its inability generally to meet its obligations as they fall due in the ordinary course, then the other Party may terminate this Agreement in its entirety effective immediately upon written notice to such Party.</w:t>
      </w:r>
    </w:p>
    <w:p>
      <w:pPr>
        <w:spacing w:after="0" w:line="148" w:lineRule="exact"/>
        <w:rPr>
          <w:rFonts w:ascii="Times New Roman" w:cs="Times New Roman" w:eastAsia="Times New Roman" w:hAnsi="Times New Roman"/>
          <w:sz w:val="22"/>
          <w:szCs w:val="22"/>
          <w:color w:val="auto"/>
        </w:rPr>
      </w:pPr>
    </w:p>
    <w:p>
      <w:pPr>
        <w:jc w:val="both"/>
        <w:ind w:left="660" w:firstLine="1292"/>
        <w:spacing w:after="0" w:line="223" w:lineRule="auto"/>
        <w:tabs>
          <w:tab w:leader="none" w:pos="259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Section 365(n) Rights</w:t>
      </w:r>
      <w:r>
        <w:rPr>
          <w:rFonts w:ascii="Times New Roman" w:cs="Times New Roman" w:eastAsia="Times New Roman" w:hAnsi="Times New Roman"/>
          <w:sz w:val="21"/>
          <w:szCs w:val="21"/>
          <w:color w:val="auto"/>
        </w:rPr>
        <w:t>. For purposes of Section 365(n) of the Bankruptcy Code and any similar law,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foreign or domestic, all rights and licenses granted under or pursuant to any Section of this Agreement are rights to “intellectual property” (as defined in Section 101(35A) of the Bankruptcy Code). The Parties agree that the licensee of such rights under this Agreement will retain and may fully exercise all of its protections, rights and elections under the Bankruptcy Code and any similar laws in any other country. Each Party hereby acknowledges that copies of research data, laboratory samples, product samples and inventory, formulas, laboratory notes and notebooks, pre-clinical research data and results, tangible Know-How and rights of reference, in each case, that relate to such intellectual property, constitute “embodiments” of such intellectual property pursuant to Section 365(n) of the Bankruptcy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95" w:right="339" w:bottom="1440" w:gutter="0" w:footer="0" w:header="0"/>
        </w:sectPr>
      </w:pPr>
    </w:p>
    <w:bookmarkStart w:id="253" w:name="page254"/>
    <w:bookmarkEnd w:id="253"/>
    <w:p>
      <w:pPr>
        <w:jc w:val="both"/>
        <w:ind w:left="660"/>
        <w:spacing w:after="0" w:line="208" w:lineRule="auto"/>
        <w:rPr>
          <w:sz w:val="20"/>
          <w:szCs w:val="20"/>
          <w:color w:val="auto"/>
        </w:rPr>
      </w:pPr>
      <w:r>
        <w:rPr>
          <w:rFonts w:ascii="Times New Roman" w:cs="Times New Roman" w:eastAsia="Times New Roman" w:hAnsi="Times New Roman"/>
          <w:sz w:val="22"/>
          <w:szCs w:val="22"/>
          <w:color w:val="auto"/>
        </w:rPr>
        <w:t>Parties agree that in the event of the commencement of a case by or against a Party under the Bankruptcy Code, then the other Party will be entitled to a complete duplicate of (or complete access to, as appropriate) any intellectual property licensed to such other Party and all embodiments of such intellectual property, and the same, if not already in the other Party’s possession, will be (i) promptly delivered to the other Party, unless and until this Agreement or any license of rights to intellectual property hereunder is rejected, and (ii) if not delivered under clause (i), upon the other Party’s written request therefor, following (A) the rejection of this Agreement or any license of rights to intellectual property hereunder, and (B) such other Party’s election to retain its rights under Section 365(n)(1)(B) of the Bankruptcy Code. The provisions of this Section 19.2.4(b) (Section 365(n) Rights) are without prejudice to any rights the non-bankrupt Party may have arising under the Bankruptcy Code, laws of other jurisdictions governing insolvency and bankruptcy or other Applicable Law. The Parties agree that they intend the following rights to extend to the maximum extent permitted by law, including for purposes of the Bankruptcy Code and any similar laws in any other country: (x) the right of access of the licensee to any intellectual property (including all embodiments thereof) of (i) the licensor, or (ii) any Third Party with whom the licensor contracts to perform an obligation of such licensor under this Agreement which is necessary for the Development, Manufacture or Commercialization of a Licensed Product; (y) the right of licensee to contract directly with any Third Party described in (x)(ii) to complete the contracted work and (z) the right of licensee to cure any breach of or default under any such agreement with a Third Party and set off the costs thereof against amounts payable to such licensor under this Agreement.</w:t>
      </w:r>
    </w:p>
    <w:p>
      <w:pPr>
        <w:spacing w:after="0" w:line="161" w:lineRule="exact"/>
        <w:rPr>
          <w:sz w:val="20"/>
          <w:szCs w:val="20"/>
          <w:color w:val="auto"/>
        </w:rPr>
      </w:pPr>
    </w:p>
    <w:p>
      <w:pPr>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19.2.5 </w:t>
      </w:r>
      <w:r>
        <w:rPr>
          <w:rFonts w:ascii="Times New Roman" w:cs="Times New Roman" w:eastAsia="Times New Roman" w:hAnsi="Times New Roman"/>
          <w:sz w:val="22"/>
          <w:szCs w:val="22"/>
          <w:u w:val="single" w:color="auto"/>
          <w:color w:val="auto"/>
        </w:rPr>
        <w:t>Termination for Material Safety Matters</w:t>
      </w:r>
      <w:r>
        <w:rPr>
          <w:rFonts w:ascii="Times New Roman" w:cs="Times New Roman" w:eastAsia="Times New Roman" w:hAnsi="Times New Roman"/>
          <w:sz w:val="22"/>
          <w:szCs w:val="22"/>
          <w:color w:val="auto"/>
        </w:rPr>
        <w:t>. Seagen will have the right to terminate this Agreement (and all Ancillary Agreements) in its entirety or in part on a Licensed Degrader Target Set-by-Licensed Degrader Target Set basis upon</w:t>
      </w:r>
    </w:p>
    <w:p>
      <w:pPr>
        <w:spacing w:after="0" w:line="1" w:lineRule="exact"/>
        <w:rPr>
          <w:sz w:val="20"/>
          <w:szCs w:val="20"/>
          <w:color w:val="auto"/>
        </w:rPr>
      </w:pPr>
    </w:p>
    <w:p>
      <w:pPr>
        <w:jc w:val="both"/>
        <w:ind w:firstLine="8"/>
        <w:spacing w:after="0" w:line="214" w:lineRule="auto"/>
        <w:tabs>
          <w:tab w:leader="none" w:pos="30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written notice to Nurix, if the Seagen Safety Review Committee has recommended, in accordance with Seagen’s internal operating procedures consistently applied across its own pharmaceutical products, cessation of Development or Commercialization of [*]. Seagen shall include in its notice of termination a summary of the Seagen Safety Review Committee’s concerns.</w:t>
      </w:r>
    </w:p>
    <w:p>
      <w:pPr>
        <w:spacing w:after="0" w:line="150"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b w:val="1"/>
          <w:bCs w:val="1"/>
          <w:color w:val="auto"/>
        </w:rPr>
        <w:t>Effects of Expiration and Termination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19.3.1 </w:t>
      </w:r>
      <w:r>
        <w:rPr>
          <w:rFonts w:ascii="Times New Roman" w:cs="Times New Roman" w:eastAsia="Times New Roman" w:hAnsi="Times New Roman"/>
          <w:sz w:val="22"/>
          <w:szCs w:val="22"/>
          <w:u w:val="single" w:color="auto"/>
          <w:color w:val="auto"/>
        </w:rPr>
        <w:t>Termination with respect to Collaboration Degrader Target Sets</w:t>
      </w:r>
      <w:r>
        <w:rPr>
          <w:rFonts w:ascii="Times New Roman" w:cs="Times New Roman" w:eastAsia="Times New Roman" w:hAnsi="Times New Roman"/>
          <w:sz w:val="22"/>
          <w:szCs w:val="22"/>
          <w:color w:val="auto"/>
        </w:rPr>
        <w:t>. Upon termination of this Agreement with respect to a Collaboration Degrader Target Set (including as a result of termination of this Agreement in its entirety): (i) by Seagen, in accordance with Section 19.2.2 (Termination at Will); or (ii) by Nurix, in accordance with Section 19.2.1 (Termination for Material Breach) or Section 19.2.4 (Termination for Bankruptcy); or (iii) by either Party, in accordance with Section 19.2.3 (Termination for Outside Date), such Collaboration Degrader Target Set and all of its Subsets shall become Former Collaboration Degrader Target Sets, and:</w:t>
      </w:r>
    </w:p>
    <w:p>
      <w:pPr>
        <w:spacing w:after="0" w:line="152" w:lineRule="exact"/>
        <w:rPr>
          <w:sz w:val="20"/>
          <w:szCs w:val="20"/>
          <w:color w:val="auto"/>
        </w:rPr>
      </w:pPr>
    </w:p>
    <w:p>
      <w:pPr>
        <w:jc w:val="both"/>
        <w:ind w:left="660" w:firstLine="1292"/>
        <w:spacing w:after="0" w:line="220" w:lineRule="auto"/>
        <w:tabs>
          <w:tab w:leader="none" w:pos="260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grant by Nurix to Seagen as further described in Section 14.1 (Research Licenses) with respect to such Former Collaboration Degrader Target Sets shall immediately terminate and Seagen will not have any rights to use or exercise any rights under the Nurix IP with respect to any Collaboration Degraders or Collaboration Degrader-Antibody Conjugates Directed To such Former Collaboration Degrader Target Sets;</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Nurix’s exclusivity obligations described in Section 14.9.1 (Collaboration Degrader Target Set Exclusivity) shall no longer apply to such Former Collaboration Degrader Target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395" w:right="339" w:bottom="1440" w:gutter="0" w:footer="0" w:header="0"/>
        </w:sectPr>
      </w:pPr>
    </w:p>
    <w:bookmarkStart w:id="254" w:name="page255"/>
    <w:bookmarkEnd w:id="254"/>
    <w:p>
      <w:pPr>
        <w:jc w:val="both"/>
        <w:ind w:left="660" w:firstLine="1292"/>
        <w:spacing w:after="0" w:line="220" w:lineRule="auto"/>
        <w:tabs>
          <w:tab w:leader="none" w:pos="260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grant by Seagen to Nurix as further described in Section 14.1 (Research Licenses) with respect to such Former Collaboration Degrader Target Sets shall immediately terminate and Nurix will not have any rights to use or exercise any rights under the Seagen IP with respect to any Collaboration Degraders or Collaboration Degrader-Antibody Conjugates Directed To such Former Collaboration Degrader Target Sets;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and its Affiliates may research, Develop, Manufacture, Commercialize, or otherwise Exploit Degraders that are Directed To such Former Collaboration Degrader Target Sets including as set forth in Section 14.8.1 (No Restriction on Former Degrader Targets);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Seagen will have no further obligations under this Agreement with respect to Researching, Developing, Manufacturing or Commercializing any Collaboration Degraders or Collaboration Degrader-Antibody Conjugates that are Directed To such Former Collaboration Degrader Target Sets;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will have no further obligations under this Agreement with respect to performing the Joint Research Plan or Research activities for such Former Collaboration Degrader Target Sets.</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19.3.2 </w:t>
      </w:r>
      <w:r>
        <w:rPr>
          <w:rFonts w:ascii="Times New Roman" w:cs="Times New Roman" w:eastAsia="Times New Roman" w:hAnsi="Times New Roman"/>
          <w:sz w:val="22"/>
          <w:szCs w:val="22"/>
          <w:u w:val="single" w:color="auto"/>
          <w:color w:val="auto"/>
        </w:rPr>
        <w:t>Termination with respect to Licensed Degrader Target Sets</w:t>
      </w:r>
      <w:r>
        <w:rPr>
          <w:rFonts w:ascii="Times New Roman" w:cs="Times New Roman" w:eastAsia="Times New Roman" w:hAnsi="Times New Roman"/>
          <w:sz w:val="22"/>
          <w:szCs w:val="22"/>
          <w:color w:val="auto"/>
        </w:rPr>
        <w:t>. Upon termination of this Agreement with respect to a Licensed Degrader Target Set that is not a Collaboration Degrader Target Set (including as a result of termination of this Agreement in its entirety): (i) by Seagen, in accordance with Section 19.2.2 (Termination at Will); or (ii) by Nurix, in accordance with Section 19.2.1 (Termination for Material Breach), or Section 19.2.4 (Termination for Bankruptcy), such Licensed Degrader Target Set and all of its Subsets (including any [*] Licensed Degrader Target Set that is a Subset thereof) shall become Former Licensed Degrader Target Sets, and:</w:t>
      </w:r>
    </w:p>
    <w:p>
      <w:pPr>
        <w:spacing w:after="0" w:line="152" w:lineRule="exact"/>
        <w:rPr>
          <w:sz w:val="20"/>
          <w:szCs w:val="20"/>
          <w:color w:val="auto"/>
        </w:rPr>
      </w:pPr>
    </w:p>
    <w:p>
      <w:pPr>
        <w:jc w:val="both"/>
        <w:ind w:left="660" w:firstLine="1292"/>
        <w:spacing w:after="0" w:line="220" w:lineRule="auto"/>
        <w:tabs>
          <w:tab w:leader="none" w:pos="260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grant by Nurix to Seagen as further described in Section 14.2 (Licensed Degrader License) with respect to such Former Licensed Degrader Target Sets shall immediately terminate and Seagen will not have any rights to use or exercise any rights under the Nurix IP with respect to any Licensed Degraders or Licensed Degrader-Antibody Conjugates Directed To such Former Licensed Degrader Target Sets;</w:t>
      </w:r>
    </w:p>
    <w:p>
      <w:pPr>
        <w:spacing w:after="0" w:line="152" w:lineRule="exact"/>
        <w:rPr>
          <w:rFonts w:ascii="Times New Roman" w:cs="Times New Roman" w:eastAsia="Times New Roman" w:hAnsi="Times New Roman"/>
          <w:sz w:val="22"/>
          <w:szCs w:val="22"/>
          <w:color w:val="auto"/>
        </w:rPr>
      </w:pPr>
    </w:p>
    <w:p>
      <w:pPr>
        <w:jc w:val="both"/>
        <w:ind w:left="660" w:right="20" w:firstLine="1292"/>
        <w:spacing w:after="0" w:line="225" w:lineRule="auto"/>
        <w:tabs>
          <w:tab w:leader="none" w:pos="259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Nurix’s exclusivity obligations described in Section 14.9.3 (Licensed Degrader Target Set Exclusivity) and Section 14.9.4 ([*] Licensed Degrader Target Set Exclusivity) shall no longer apply to such Former Licensed Degrader Target Sets;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and its Affiliates may research, Develop, Manufacture, Commercialize, or otherwise Exploit Degraders that are Directed To such Former Licensed Degrader Target Sets including as set forth in Section 14.8.1 (No Restriction on Former Degrader Targets);</w:t>
      </w:r>
    </w:p>
    <w:p>
      <w:pPr>
        <w:spacing w:after="0" w:line="15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applicable, the terms and conditions of Section 14.3 (Reversion Licenses) shall</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apply;</w:t>
      </w:r>
    </w:p>
    <w:p>
      <w:pPr>
        <w:spacing w:after="0" w:line="155" w:lineRule="exact"/>
        <w:rPr>
          <w:rFonts w:ascii="Times New Roman" w:cs="Times New Roman" w:eastAsia="Times New Roman" w:hAnsi="Times New Roman"/>
          <w:sz w:val="21"/>
          <w:szCs w:val="21"/>
          <w:color w:val="auto"/>
        </w:rPr>
      </w:pPr>
    </w:p>
    <w:p>
      <w:pPr>
        <w:jc w:val="both"/>
        <w:ind w:left="660" w:firstLine="1292"/>
        <w:spacing w:after="0" w:line="225" w:lineRule="auto"/>
        <w:tabs>
          <w:tab w:leader="none" w:pos="260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Seagen will have no further obligations under this Agreement with respect to Researching, Developing, Manufacturing or Commercializing any Licensed Degraders or Licensed Degrader-Antibody Conjugates Directed To such Former Licensed Degrader Target 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5" w:right="339" w:bottom="1440" w:gutter="0" w:footer="0" w:header="0"/>
        </w:sectPr>
      </w:pPr>
    </w:p>
    <w:bookmarkStart w:id="255" w:name="page256"/>
    <w:bookmarkEnd w:id="255"/>
    <w:p>
      <w:pPr>
        <w:ind w:left="660" w:firstLine="1292"/>
        <w:spacing w:after="0" w:line="236" w:lineRule="auto"/>
        <w:tabs>
          <w:tab w:leader="none" w:pos="260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Nurix will have no further obligations under this Agreement with respect to performing the Joint Research Plan or Research activities for such Former Licensed Degrader Target Sets.</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19.3.3 </w:t>
      </w:r>
      <w:r>
        <w:rPr>
          <w:rFonts w:ascii="Times New Roman" w:cs="Times New Roman" w:eastAsia="Times New Roman" w:hAnsi="Times New Roman"/>
          <w:sz w:val="22"/>
          <w:szCs w:val="22"/>
          <w:u w:val="single" w:color="auto"/>
          <w:color w:val="auto"/>
        </w:rPr>
        <w:t>Termination with Respect to Profit-Share Products</w:t>
      </w:r>
      <w:r>
        <w:rPr>
          <w:rFonts w:ascii="Times New Roman" w:cs="Times New Roman" w:eastAsia="Times New Roman" w:hAnsi="Times New Roman"/>
          <w:sz w:val="22"/>
          <w:szCs w:val="22"/>
          <w:color w:val="auto"/>
        </w:rPr>
        <w:t>. Without limiting Section 19.3.2 (Termination with respect to Licensed Degrader Target Sets), upon termination of this Agreement with respect to a Licensed Degrader Target Set (including as a result of termination of this Agreement in its entirety): (i) by Seagen, in accordance with Section 19.2.2 (Termination at Will); or (ii) by Nurix, in accordance with Section 19.2.1 (Termination for Material Breach), or Section 19.2.4 (Termination for Bankruptcy), then:</w:t>
      </w:r>
    </w:p>
    <w:p>
      <w:pPr>
        <w:spacing w:after="0" w:line="152" w:lineRule="exact"/>
        <w:rPr>
          <w:sz w:val="20"/>
          <w:szCs w:val="20"/>
          <w:color w:val="auto"/>
        </w:rPr>
      </w:pPr>
    </w:p>
    <w:p>
      <w:pPr>
        <w:jc w:val="both"/>
        <w:ind w:left="660" w:firstLine="1292"/>
        <w:spacing w:after="0" w:line="225" w:lineRule="auto"/>
        <w:tabs>
          <w:tab w:leader="none" w:pos="260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Nurix’s written request delivered to Seagen pursuant to Section 14.3.1 (Reversion Product License Agreement), the Parties shall enter into a Reversion Product License Agreement in accordance with Section 14.3.1 (Reversion Product License Agreement);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work together in good faith, as soon as reasonably practicable following the effective date of termination, to plan and implement an orderly wind-down or transition of all ongoing Research, Development, Manufacturing and Commercialization activities by or on behalf of the Parties with respect to any Profit-Share Product Directed To such Licensed Degrader Target Set, including the wind-down or transition of any ongoing Clinical Trials with respect to such Profit-Share Product, taking into account the protection of patient health and safety, and in accordance with any requirements under Applicable Law or from applicable Regulatory Authorities and applicable ethical standards.</w:t>
      </w:r>
    </w:p>
    <w:p>
      <w:pPr>
        <w:spacing w:after="0" w:line="156"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19.3.4 </w:t>
      </w:r>
      <w:r>
        <w:rPr>
          <w:rFonts w:ascii="Times New Roman" w:cs="Times New Roman" w:eastAsia="Times New Roman" w:hAnsi="Times New Roman"/>
          <w:sz w:val="22"/>
          <w:szCs w:val="22"/>
          <w:u w:val="single" w:color="auto"/>
          <w:color w:val="auto"/>
        </w:rPr>
        <w:t>Termination with Respect to Potential Reversion Products</w:t>
      </w:r>
      <w:r>
        <w:rPr>
          <w:rFonts w:ascii="Times New Roman" w:cs="Times New Roman" w:eastAsia="Times New Roman" w:hAnsi="Times New Roman"/>
          <w:sz w:val="22"/>
          <w:szCs w:val="22"/>
          <w:color w:val="auto"/>
        </w:rPr>
        <w:t>. Without limiting Section 19.3.2 (Termination with respect to Licensed Degrader Target Sets), upon termination of this Agreement with respect to a Licensed Degrader Target Set (including as a result of termination of this Agreement in its entirety): (i) by Seagen, in accordance with Section 19.2.2 (Termination at Will); or (ii) by Nurix, in accordance with Section 19.2.1 (Termination for Material Breach), or Section 19.2.4 (Termination for Bankruptcy), the following shall apply with respect to any Licensed Product that is a Potential Reversion Product Directed To such Licensed Degrader Target Set as of the effective date of termination:</w:t>
      </w:r>
    </w:p>
    <w:p>
      <w:pPr>
        <w:spacing w:after="0" w:line="152" w:lineRule="exact"/>
        <w:rPr>
          <w:sz w:val="20"/>
          <w:szCs w:val="20"/>
          <w:color w:val="auto"/>
        </w:rPr>
      </w:pPr>
    </w:p>
    <w:p>
      <w:pPr>
        <w:jc w:val="both"/>
        <w:ind w:left="660" w:firstLine="1292"/>
        <w:spacing w:after="0" w:line="220" w:lineRule="auto"/>
        <w:tabs>
          <w:tab w:leader="none" w:pos="260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Nurix’s written request delivered to Seagen pursuant to Section 14.3.2 (Potential Reversion Products), the Parties shall discuss in good faith the potential terms and conditions of an Other Reversion License Agreement with respect to the applicable Potential Reversion Product pursuant to Section 14.3.2 (Potential Reversion Products);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enter into an Other Reversion License Agreement with respect to the Potential Reversion Product, the Parties shall work together in good faith, as soon as reasonably practicable following the effective date of termination, to plan and implement an orderly wind-down or transition of all ongoing Research, Development, Manufacturing and Commercialization activities by or on behalf of the Parties with respect to the Potential Reversion Product, including the wind-down or transition of any ongoing Clinical Trials with respect to such Potential Reversion Product, taking into account the protection of patient health and safety, and in accordance with any requirements under Applicable Law or from applicable Regulatory Authorities and applicable ethical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5" w:right="339" w:bottom="1440" w:gutter="0" w:footer="0" w:header="0"/>
        </w:sectPr>
      </w:pPr>
    </w:p>
    <w:bookmarkStart w:id="256" w:name="page257"/>
    <w:bookmarkEnd w:id="256"/>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19.3.5 </w:t>
      </w:r>
      <w:r>
        <w:rPr>
          <w:rFonts w:ascii="Times New Roman" w:cs="Times New Roman" w:eastAsia="Times New Roman" w:hAnsi="Times New Roman"/>
          <w:sz w:val="22"/>
          <w:szCs w:val="22"/>
          <w:u w:val="single" w:color="auto"/>
          <w:color w:val="auto"/>
        </w:rPr>
        <w:t>Termination for Material Safety Matters</w:t>
      </w:r>
      <w:r>
        <w:rPr>
          <w:rFonts w:ascii="Times New Roman" w:cs="Times New Roman" w:eastAsia="Times New Roman" w:hAnsi="Times New Roman"/>
          <w:sz w:val="22"/>
          <w:szCs w:val="22"/>
          <w:color w:val="auto"/>
        </w:rPr>
        <w:t>. Upon termination of this Agreement pursuant to Section 19.2.5 (Termination for Material Safety Matters), the following provisions shall apply with respect to the terminated Degrader Target Set(s):</w:t>
      </w:r>
    </w:p>
    <w:p>
      <w:pPr>
        <w:spacing w:after="0" w:line="153" w:lineRule="exact"/>
        <w:rPr>
          <w:sz w:val="20"/>
          <w:szCs w:val="20"/>
          <w:color w:val="auto"/>
        </w:rPr>
      </w:pPr>
    </w:p>
    <w:p>
      <w:pPr>
        <w:jc w:val="both"/>
        <w:ind w:left="660" w:firstLine="1292"/>
        <w:spacing w:after="0" w:line="213" w:lineRule="auto"/>
        <w:tabs>
          <w:tab w:leader="none" w:pos="260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work together in good faith, as soon as reasonably practicable following the effective date of termination, to plan and implement an orderly wind-down of all ongoing Research, Development, Manufacturing and Commercialization activities by or on behalf of the Parties with respect to the terminated Degrader Target Set(s) and Licensed Products Directed To such terminated Degrader Target Set(s), including the wind-down of any ongoing Clinical Trials with respect to such Licensed Product(s), taking into account the protection of patient health and safety, and in accordance with any requirements under Applicable Law or from applicable Regulatory Authorities and applicable ethical standards;</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except for the activities contemplated by clause (a), following the effective date of termination (i) the licenses granted by each Party to the other Party with respect to the terminated Degrader Target Set(s) and Licensed Products Directed To such Degrader Target Set(s) shall terminate, and (ii) neither Party shall have the right to continue to conduct any research, Development, Manufacturing or Commercialization activities with respect to any Licensed Product(s) that are subject to such termination without the prior written consent of the other Party;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60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Seagen will have no further obligations under this Agreement with respect to researching, Developing, Manufacturing or Commercializing any Licensed Degraders or Licensed Degrader-Antibody Conjugates Directed To the terminated Degrader Target Set(s) except as set forth in this Section 19.3.5 (Termination for Material Safety Matters);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be responsible for its own costs incurred in the performance of wind-down activities contemplated by this Section 19.3.5 (Termination for Material Safety Matters).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 xml:space="preserve">19.3.6 </w:t>
      </w:r>
      <w:r>
        <w:rPr>
          <w:rFonts w:ascii="Times New Roman" w:cs="Times New Roman" w:eastAsia="Times New Roman" w:hAnsi="Times New Roman"/>
          <w:sz w:val="21"/>
          <w:szCs w:val="21"/>
          <w:u w:val="single" w:color="auto"/>
          <w:color w:val="auto"/>
        </w:rPr>
        <w:t>Certain Termination by Seagen</w:t>
      </w:r>
      <w:r>
        <w:rPr>
          <w:rFonts w:ascii="Times New Roman" w:cs="Times New Roman" w:eastAsia="Times New Roman" w:hAnsi="Times New Roman"/>
          <w:sz w:val="21"/>
          <w:szCs w:val="21"/>
          <w:color w:val="auto"/>
        </w:rPr>
        <w:t>. Upon termination of this Agreement with respect to a Collaboration Degrader Target Set or a Licensed Degrader Target Set (including as a result of termination of this Agreement in its entirety) by Seagen in accordance with Section 19.2.1 (Termination for Material Breach) or Section 19.2.4 (Termination for Bankruptcy):</w:t>
      </w:r>
    </w:p>
    <w:p>
      <w:pPr>
        <w:spacing w:after="0" w:line="152" w:lineRule="exact"/>
        <w:rPr>
          <w:sz w:val="20"/>
          <w:szCs w:val="20"/>
          <w:color w:val="auto"/>
        </w:rPr>
      </w:pPr>
    </w:p>
    <w:p>
      <w:pPr>
        <w:jc w:val="both"/>
        <w:ind w:left="660" w:firstLine="1292"/>
        <w:spacing w:after="0" w:line="225" w:lineRule="auto"/>
        <w:tabs>
          <w:tab w:leader="none" w:pos="260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Collaboration Degrader Target Set and all of its Subsets shall become Former Collaboration Degrader Target Sets and any such Licensed Degrader Target Set and all of its Subsets shall become Former Licensed Degrader Target Sets;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termination set forth in Section 19.3.1 (Termination with respect to Collaboration Degrader Target Sets) and Section 19.3.2 (Termination with respect to Licensed Degrader Target Sets) shall apply, as applicable.</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19.3.7 </w:t>
      </w:r>
      <w:r>
        <w:rPr>
          <w:rFonts w:ascii="Times New Roman" w:cs="Times New Roman" w:eastAsia="Times New Roman" w:hAnsi="Times New Roman"/>
          <w:sz w:val="22"/>
          <w:szCs w:val="22"/>
          <w:u w:val="single" w:color="auto"/>
          <w:color w:val="auto"/>
        </w:rPr>
        <w:t>Right to Maintain License</w:t>
      </w:r>
      <w:r>
        <w:rPr>
          <w:rFonts w:ascii="Times New Roman" w:cs="Times New Roman" w:eastAsia="Times New Roman" w:hAnsi="Times New Roman"/>
          <w:sz w:val="22"/>
          <w:szCs w:val="22"/>
          <w:color w:val="auto"/>
        </w:rPr>
        <w:t>. Notwithstanding anything to the contrary contained in this Agreement, if Seagen would have the right to terminate this Agreement in its entirety pursuant to Section 19.2.1(a)(i) with respect to a material breach by Nurix that is not cured during the applicable Cure Period, in lieu of such termination Seagen may elect to continue this Agreement in full force and effect, except that any amounts that become due to Nurix under this Agreement after the date of Seagen’s right to terminate shall be [*]. Seagen’s election of the remedy set forth in this Section 19.3.7 (Right to Maintain License) shall be without prejudice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5" w:right="339" w:bottom="1440" w:gutter="0" w:footer="0" w:header="0"/>
        </w:sectPr>
      </w:pPr>
    </w:p>
    <w:bookmarkStart w:id="257" w:name="page258"/>
    <w:bookmarkEnd w:id="257"/>
    <w:p>
      <w:pPr>
        <w:jc w:val="both"/>
        <w:spacing w:after="0" w:line="227" w:lineRule="auto"/>
        <w:rPr>
          <w:sz w:val="20"/>
          <w:szCs w:val="20"/>
          <w:color w:val="auto"/>
        </w:rPr>
      </w:pPr>
      <w:r>
        <w:rPr>
          <w:rFonts w:ascii="Times New Roman" w:cs="Times New Roman" w:eastAsia="Times New Roman" w:hAnsi="Times New Roman"/>
          <w:sz w:val="22"/>
          <w:szCs w:val="22"/>
          <w:color w:val="auto"/>
        </w:rPr>
        <w:t xml:space="preserve">any other remedies that Seagen may have under this Agreement or otherwise under Applicable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Seagen also pursues a claim for Damages arising from the applicable breach, then any resulting Damages award shall be reduced by the value of the remedies provided under this Section 19.3.7 (Right to Maintain License).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19.4</w:t>
      </w:r>
      <w:r>
        <w:rPr>
          <w:sz w:val="20"/>
          <w:szCs w:val="20"/>
          <w:color w:val="auto"/>
        </w:rPr>
        <w:tab/>
      </w:r>
      <w:r>
        <w:rPr>
          <w:rFonts w:ascii="Times New Roman" w:cs="Times New Roman" w:eastAsia="Times New Roman" w:hAnsi="Times New Roman"/>
          <w:sz w:val="21"/>
          <w:szCs w:val="21"/>
          <w:b w:val="1"/>
          <w:bCs w:val="1"/>
          <w:color w:val="auto"/>
        </w:rPr>
        <w:t>Surviving Provisions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color w:val="auto"/>
        </w:rPr>
        <w:t xml:space="preserve">19.4.1 </w:t>
      </w:r>
      <w:r>
        <w:rPr>
          <w:rFonts w:ascii="Times New Roman" w:cs="Times New Roman" w:eastAsia="Times New Roman" w:hAnsi="Times New Roman"/>
          <w:sz w:val="21"/>
          <w:szCs w:val="21"/>
          <w:u w:val="single" w:color="auto"/>
          <w:color w:val="auto"/>
        </w:rPr>
        <w:t>Accrued Rights; Remedies</w:t>
      </w:r>
      <w:r>
        <w:rPr>
          <w:rFonts w:ascii="Times New Roman" w:cs="Times New Roman" w:eastAsia="Times New Roman" w:hAnsi="Times New Roman"/>
          <w:sz w:val="21"/>
          <w:szCs w:val="21"/>
          <w:color w:val="auto"/>
        </w:rPr>
        <w:t>. The expiration or termination of this Agreement for any reason will be without prejudice to any rights that will have accrued to the benefit of any Party prior to such expiration or termination, and any and all Damages or remedies (whether at law or in equity) arising from any breach hereunder, each of which will survive expiration or termination of this Agreement. Such expiration or termination will not relieve any Party from obligations which are expressly indicated to survive expiration or termination of this Agreement. Except as otherwise expressly set forth in this Agreement, the termination provisions of this Article 19 (Term and Termination) are in addition to any other relief and remedies available to either Party under this Agreement, at law or in equity. Except as expressly stated herein with respect to the applicable Collaboration Degrader Target Set or Licensed Degrader Target Set, termination of this Agreement, in part, with respect to a Collaboration Degrader Target Set or a Licensed Degrader Target Set will have no effect on the terms and conditions of this Agreement or the rights and obligations of the Parties with respect to any other matter or Degrader Target Set.</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19.4.2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Without limiting the provisions of Section 19.4.1 (Accrued Rights; Remedies), the rights and obligations of the Parties set forth in the following Sections and Articles of this Agreement will survive (for the time periods set forth therein, as applicable) the expiration or termination of this Agreement in its entirety, in addition to those other terms and conditions that are expressly stated to survive termination or expiration of this Agreement: Article 1 (to the extent terms defined therein are used in or necessary to interpret other surviving provisions), Section 2.8 (Former Collaboration Degrader Target Sets), Section 2.9 (Former Licensed Degrader Target Sets), Section 4.6 (Seagen-Provided Property), Section 4.7 (Nurix-Provided Property), Section 4.9 (Records Retention), Section 4.10 (Research Costs) (first sentence only), Article 13 (Financial Terms) (solely with respect to any payment or obligation accrued prior to expiration or termination of this Agreement), Section 14.3 (Reversion Licenses), Section 14.6 (Retained Rights), Section 15.1 (Ownership), Section 15.5 (Recovery) (with respect to any Action initiated prior to expiration or termination of this Agreement), Article 16 (Confidentiality), Section 17.5 (Disclaimer), Article 18 (Indemnification; Insurance), Section 19.2.4(b) (Section 365(n) Rights), Section 19.3 (Effects of Expiration and Termination), Section 19.4 (Surviving Provisions) and Article 20 (Miscellaneous).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20</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one (1) or more of the terms or provisions of this Agreement is held by a court of competent jurisdiction to be void, invalid or unenforceable in any situation in any jurisdiction, such holding will not affect the validity or enforceability of the remaining terms and provisions hereof or the validity or enforceability of the void, invalid or unenforceable term(s) or provision(s) in any other situation or in any other jurisdiction, and the relevant term(s) or provision(s) will be considered severed from this Agreement solely for such situation and solely in such jurisdiction, unless the void, invalid or unenforceable term(s) or provision(s) are of such essential importance to this Agreement that it is to be reasonably assumed that the Parties would not have entered into this Agreement without the void, invalid or unenforceable term(s) or provision(s) being valid and enforceable in such situation and in such jurisdiction. If the final judgment of such court declares that any term or provision hereof is void, invalid or unenforceable, the Parties shall endeavor in good faith to: (a) reduce the scope, duration, area or applicability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391" w:right="339" w:bottom="1440" w:gutter="0" w:footer="0" w:header="0"/>
        </w:sectPr>
      </w:pPr>
    </w:p>
    <w:bookmarkStart w:id="258" w:name="page259"/>
    <w:bookmarkEnd w:id="258"/>
    <w:p>
      <w:pPr>
        <w:jc w:val="both"/>
        <w:spacing w:after="0" w:line="217" w:lineRule="auto"/>
        <w:rPr>
          <w:sz w:val="20"/>
          <w:szCs w:val="20"/>
          <w:color w:val="auto"/>
        </w:rPr>
      </w:pPr>
      <w:r>
        <w:rPr>
          <w:rFonts w:ascii="Times New Roman" w:cs="Times New Roman" w:eastAsia="Times New Roman" w:hAnsi="Times New Roman"/>
          <w:sz w:val="22"/>
          <w:szCs w:val="22"/>
          <w:color w:val="auto"/>
        </w:rPr>
        <w:t>the term or provision or to delete specific words or phrases to the minimum extent necessary to cause such term or provision as so reduced or amended to be valid and enforceable; and (b) replace any void, invalid or unenforceable term or provision with a valid and enforceable term or provision such that the objectives contemplated by the Parties when entering this Agreement may be realized to the extent practicable, in each case ((a) and (b)), pursuant to an amendment to this Agreement to be negotiated in good faith and mutually agreed in writing by the Parties.</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required or permitted to be given by this Agreement will be in writing and in English and will be deemed to have been duly given when (a) scanned and converted into a portable document format file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pdf file) and sent as an attachment to an e-mail message, where, when such message is received, a read receipt e-mail is received by the sender, or (b) the earlier of when received by the addressee or five (5) days after the date it was sent, if sent by registered or certified mail or by an internationally recognized overnight courier with tracking capabilities (in each case, prepaid and receipt requested), to the appropriate addresses or e-mail addresses set forth below (or to such other addresses if changed by notice so given):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Seagen: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Seagen Inc.</w:t>
      </w:r>
    </w:p>
    <w:p>
      <w:pPr>
        <w:ind w:left="1300"/>
        <w:spacing w:after="0" w:line="184" w:lineRule="auto"/>
        <w:rPr>
          <w:sz w:val="20"/>
          <w:szCs w:val="20"/>
          <w:color w:val="auto"/>
        </w:rPr>
      </w:pPr>
      <w:r>
        <w:rPr>
          <w:rFonts w:ascii="Times New Roman" w:cs="Times New Roman" w:eastAsia="Times New Roman" w:hAnsi="Times New Roman"/>
          <w:sz w:val="20"/>
          <w:szCs w:val="20"/>
          <w:color w:val="auto"/>
        </w:rPr>
        <w:t>21823 30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Drive SE</w:t>
      </w:r>
    </w:p>
    <w:p>
      <w:pPr>
        <w:ind w:left="1300"/>
        <w:spacing w:after="0" w:line="205" w:lineRule="auto"/>
        <w:rPr>
          <w:sz w:val="20"/>
          <w:szCs w:val="20"/>
          <w:color w:val="auto"/>
        </w:rPr>
      </w:pPr>
      <w:r>
        <w:rPr>
          <w:rFonts w:ascii="Times New Roman" w:cs="Times New Roman" w:eastAsia="Times New Roman" w:hAnsi="Times New Roman"/>
          <w:sz w:val="22"/>
          <w:szCs w:val="22"/>
          <w:color w:val="auto"/>
        </w:rPr>
        <w:t>Bothell, WA 98021</w:t>
      </w: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Goodwin Procter LLP</w:t>
      </w:r>
    </w:p>
    <w:p>
      <w:pPr>
        <w:ind w:left="1300"/>
        <w:spacing w:after="0" w:line="204" w:lineRule="auto"/>
        <w:rPr>
          <w:sz w:val="20"/>
          <w:szCs w:val="20"/>
          <w:color w:val="auto"/>
        </w:rPr>
      </w:pPr>
      <w:r>
        <w:rPr>
          <w:rFonts w:ascii="Times New Roman" w:cs="Times New Roman" w:eastAsia="Times New Roman" w:hAnsi="Times New Roman"/>
          <w:sz w:val="22"/>
          <w:szCs w:val="22"/>
          <w:color w:val="auto"/>
        </w:rPr>
        <w:t>1900 N Street, NW</w:t>
      </w:r>
    </w:p>
    <w:p>
      <w:pPr>
        <w:ind w:left="1300"/>
        <w:spacing w:after="0" w:line="205" w:lineRule="auto"/>
        <w:rPr>
          <w:sz w:val="20"/>
          <w:szCs w:val="20"/>
          <w:color w:val="auto"/>
        </w:rPr>
      </w:pPr>
      <w:r>
        <w:rPr>
          <w:rFonts w:ascii="Times New Roman" w:cs="Times New Roman" w:eastAsia="Times New Roman" w:hAnsi="Times New Roman"/>
          <w:sz w:val="22"/>
          <w:szCs w:val="22"/>
          <w:color w:val="auto"/>
        </w:rPr>
        <w:t>Washington, DC 20036</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Nurix:</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Nurix Therapeutics,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1700 Owens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Suite 205</w:t>
      </w:r>
    </w:p>
    <w:p>
      <w:pPr>
        <w:ind w:left="1300"/>
        <w:spacing w:after="0" w:line="205" w:lineRule="auto"/>
        <w:rPr>
          <w:sz w:val="20"/>
          <w:szCs w:val="20"/>
          <w:color w:val="auto"/>
        </w:rPr>
      </w:pPr>
      <w:r>
        <w:rPr>
          <w:rFonts w:ascii="Times New Roman" w:cs="Times New Roman" w:eastAsia="Times New Roman" w:hAnsi="Times New Roman"/>
          <w:sz w:val="22"/>
          <w:szCs w:val="22"/>
          <w:color w:val="auto"/>
        </w:rPr>
        <w:t>San Francisco, CA 94158</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Sidley Austin LLP</w:t>
      </w:r>
    </w:p>
    <w:p>
      <w:pPr>
        <w:ind w:left="1300"/>
        <w:spacing w:after="0" w:line="204" w:lineRule="auto"/>
        <w:rPr>
          <w:sz w:val="20"/>
          <w:szCs w:val="20"/>
          <w:color w:val="auto"/>
        </w:rPr>
      </w:pPr>
      <w:r>
        <w:rPr>
          <w:rFonts w:ascii="Times New Roman" w:cs="Times New Roman" w:eastAsia="Times New Roman" w:hAnsi="Times New Roman"/>
          <w:sz w:val="22"/>
          <w:szCs w:val="22"/>
          <w:color w:val="auto"/>
        </w:rPr>
        <w:t>555 California Street, Suite 2000</w:t>
      </w:r>
    </w:p>
    <w:p>
      <w:pPr>
        <w:ind w:left="1300"/>
        <w:spacing w:after="0" w:line="205" w:lineRule="auto"/>
        <w:rPr>
          <w:sz w:val="20"/>
          <w:szCs w:val="20"/>
          <w:color w:val="auto"/>
        </w:rPr>
      </w:pPr>
      <w:r>
        <w:rPr>
          <w:rFonts w:ascii="Times New Roman" w:cs="Times New Roman" w:eastAsia="Times New Roman" w:hAnsi="Times New Roman"/>
          <w:sz w:val="22"/>
          <w:szCs w:val="22"/>
          <w:color w:val="auto"/>
        </w:rPr>
        <w:t>San Francisco, CA 94104</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notice so received after 5:30 p.m. (in the time zone of the receiving Party) on a Business Day or so received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non-Business Day, in each case, will be deemed to have been received on the next Business Day. A Party may add, delete or change the person or address to which notices should be sent at any time upon written notice delivered to the other Party in accordance with this Section 20.2 (Notices). Notwithstanding anything to the contrary contained in this Agreement, this Section 20.2 (Notices) is not intended to govern day-to-day business</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395" w:right="339" w:bottom="1440" w:gutter="0" w:footer="0" w:header="0"/>
          <w:type w:val="continuous"/>
        </w:sectPr>
      </w:pPr>
    </w:p>
    <w:bookmarkStart w:id="259" w:name="page260"/>
    <w:bookmarkEnd w:id="259"/>
    <w:p>
      <w:pPr>
        <w:spacing w:after="0"/>
        <w:rPr>
          <w:sz w:val="20"/>
          <w:szCs w:val="20"/>
          <w:color w:val="auto"/>
        </w:rPr>
      </w:pPr>
      <w:r>
        <w:rPr>
          <w:rFonts w:ascii="Times New Roman" w:cs="Times New Roman" w:eastAsia="Times New Roman" w:hAnsi="Times New Roman"/>
          <w:sz w:val="21"/>
          <w:szCs w:val="21"/>
          <w:color w:val="auto"/>
        </w:rPr>
        <w:t>communications between the Parties in exercising their rights or performing their obligations under the terms of this Agreement.</w:t>
      </w:r>
    </w:p>
    <w:p>
      <w:pPr>
        <w:spacing w:after="0" w:line="187"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xml:space="preserve">. A Party will not be liable for delay or failure in the performance of any of its obligations hereunder or under any Ancillary Agreement to the extent such delay or failure is due to a cause beyond the reasonable control of such Party, including (in each case, to the extent beyond the non-performing Party’s reasonable control) acts of God, fires, earthquakes, acts of war, terrorism, civil unrest, hurricane or other natural disaster, embargoes, shortages, epidemics, quarantines, strikes, lockouts or other labor disturbances (whether involving the workforce of the non-performing Party or of any other Person), or acts, omissions or delays in acting by any Governmental Authority (except to the extent such omission or delay results from the breach by the non-performing Party of obligations under this Agreement or any Ancillary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affected Party promptly notifies the other Party in writing (but no later than thirty (30) days after such occurrence and stating the nature of the event, its anticipated duration and any action being taken to avoid or minimize the effect); (b) the affected Party uses its Commercially Reasonable Efforts to avoid or remove such causes of non-performance and to mitigate the effect of such occurrence, and otherwise continues performance of this Agreement and any Ancillary Agreements in accordance with the terms hereof and thereof; and (c) the suspension of performance by the affected Party will be of no greater scope and no longer duration than is necessary under the circumstances. When such circumstances arise, the Parties will negotiate in good faith any modifications of the terms of this Agreement or any Ancillary Agreement that may be necessary or appropriate in order to arrive at an equitable solution;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that the force majeure continues for more than ninety (90) days, the Party not affected by such force majeure will have the right, at its sole election and expense, and upon at least thirty (30) days’ prior written notice to the non-performing Party, and without limitation to any other right or remedy available to either Party, to assume and complete some or all of the activities that the non-performing Party is not performing as a result of such force majeure.</w:t>
      </w:r>
    </w:p>
    <w:p>
      <w:pPr>
        <w:spacing w:after="0" w:line="15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b w:val="1"/>
          <w:bCs w:val="1"/>
          <w:color w:val="auto"/>
        </w:rPr>
        <w:t>Assignment; Change of Control</w:t>
      </w:r>
      <w:r>
        <w:rPr>
          <w:rFonts w:ascii="Times New Roman" w:cs="Times New Roman" w:eastAsia="Times New Roman" w:hAnsi="Times New Roman"/>
          <w:sz w:val="22"/>
          <w:szCs w:val="22"/>
          <w:color w:val="auto"/>
        </w:rPr>
        <w:t xml:space="preserve">. Except as provided in this Section 20.4 (Assignment; Change of Control), this Agreement may not be assigned or transferred, whether by operation of law or otherwise, nor may any right or obligation hereunder be assigned or transferred, by either Party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(and notwithstanding anything in this Agreement to the contrary) either Party may, without such consent, assign or transfer this Agreement and its rights and obligations hereunder in whole or in part: (a) to its successor in interest in the transfer or sale of (i) all or substantially all of its assets or business or (ii) all or substantially all of its assets or business related to the subject matter of this Agreement; or (b) to its successor in interest in a merger or consolidation (or similar transaction) of the assigning or transferring Party, including any Change of Control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such Party will provide written notice to the other Party within thirty (30) days after the closing of any such transaction(s). Any (A) successor of either Party or (B) assignee of all of either Party’s rights under this Agreement that has also assumed all of such Party’s obligations hereunder in writing and notified the other Party of such assumption will, in each case (A) and (B), upon any such succession or assignment and assumption, as applicable, be deemed to be a “Party” to this Agreement as though named herein in substitution for such Party, whereupon such Party will cease to be a “Party” to this Agreement and will cease to have any rights or obligations hereunder. In addition, each Party will have the right, without the consent of the other Party, to assign any or all of its rights and delegate any or all of its obligations hereunder to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notwithstanding anything herein to the contrary, such Party will be jointly and severally liable with any such Affiliate assignee under this Agreement. Any attempted assignment not in accordance with this Section 20.4 (Assignment; Change of Control) will be void.</w:t>
      </w:r>
    </w:p>
    <w:p>
      <w:pPr>
        <w:spacing w:after="0" w:line="16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b w:val="1"/>
          <w:bCs w:val="1"/>
          <w:color w:val="auto"/>
        </w:rPr>
        <w:t>Waivers, Amendments and Modifications</w:t>
      </w:r>
      <w:r>
        <w:rPr>
          <w:rFonts w:ascii="Times New Roman" w:cs="Times New Roman" w:eastAsia="Times New Roman" w:hAnsi="Times New Roman"/>
          <w:sz w:val="22"/>
          <w:szCs w:val="22"/>
          <w:color w:val="auto"/>
        </w:rPr>
        <w:t>. The failure of any Party to insist on the performance of any obligation hereunder will not be deemed to be a waiver of such obligation. Waiver of any breach of any provision hereof will not be deemed to be a waiver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5" w:right="339" w:bottom="1440" w:gutter="0" w:footer="0" w:header="0"/>
        </w:sectPr>
      </w:pPr>
    </w:p>
    <w:bookmarkStart w:id="260" w:name="page261"/>
    <w:bookmarkEnd w:id="260"/>
    <w:p>
      <w:pPr>
        <w:jc w:val="both"/>
        <w:spacing w:after="0" w:line="220" w:lineRule="auto"/>
        <w:rPr>
          <w:sz w:val="20"/>
          <w:szCs w:val="20"/>
          <w:color w:val="auto"/>
        </w:rPr>
      </w:pPr>
      <w:r>
        <w:rPr>
          <w:rFonts w:ascii="Times New Roman" w:cs="Times New Roman" w:eastAsia="Times New Roman" w:hAnsi="Times New Roman"/>
          <w:sz w:val="22"/>
          <w:szCs w:val="22"/>
          <w:color w:val="auto"/>
        </w:rPr>
        <w:t>breach of such provision or any other provision on such occasion or any succeeding occasion. No waiver of any obligation under or provision of this Agreement will be effective unless it has been given in writing and signed by the Party giving such waiver, and no provision of this Agreement may be amended or modified other than by a written document signed by authorized representatives of each Party.</w:t>
      </w:r>
    </w:p>
    <w:p>
      <w:pPr>
        <w:spacing w:after="0" w:line="14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20.6</w:t>
      </w:r>
      <w:r>
        <w:rPr>
          <w:sz w:val="20"/>
          <w:szCs w:val="20"/>
          <w:color w:val="auto"/>
        </w:rPr>
        <w:tab/>
      </w:r>
      <w:r>
        <w:rPr>
          <w:rFonts w:ascii="Times New Roman" w:cs="Times New Roman" w:eastAsia="Times New Roman" w:hAnsi="Times New Roman"/>
          <w:sz w:val="21"/>
          <w:szCs w:val="21"/>
          <w:b w:val="1"/>
          <w:bCs w:val="1"/>
          <w:color w:val="auto"/>
        </w:rPr>
        <w:t>Choice of Law; Dispute Resolution; Jurisdiction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20.6.1 </w:t>
      </w: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xml:space="preserve">. This Agreement or any Ancillary Agreement and any Dispute arising from the performance or breach hereof or thereof will be governed by and interpreted in accordance with the laws of the State of New York, without giving effect to any choice of law rules that would result in the application of the laws of any other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Dispute (a) concerning the inventorship of Patents shall be determined in accordance with Section 15.1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(Ownership), and (b) concerning the scope, validity, enforceability, or infringement of a Patent shall be determined in accordance with the laws of the country or other jurisdiction in which the particular Patent has been filed or granted, as the case may be (Disputes described in clause (a) and (b), collectively, “</w:t>
      </w:r>
      <w:r>
        <w:rPr>
          <w:rFonts w:ascii="Times New Roman" w:cs="Times New Roman" w:eastAsia="Times New Roman" w:hAnsi="Times New Roman"/>
          <w:sz w:val="22"/>
          <w:szCs w:val="22"/>
          <w:b w:val="1"/>
          <w:bCs w:val="1"/>
          <w:color w:val="auto"/>
        </w:rPr>
        <w:t>Patent Disputes</w:t>
      </w:r>
      <w:r>
        <w:rPr>
          <w:rFonts w:ascii="Times New Roman" w:cs="Times New Roman" w:eastAsia="Times New Roman" w:hAnsi="Times New Roman"/>
          <w:sz w:val="22"/>
          <w:szCs w:val="22"/>
          <w:color w:val="auto"/>
        </w:rPr>
        <w:t>”). The provisions of the United Nations Convention on Contracts for the International Sale of Goods will not apply to this Agreement or any subject matter hereof.</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20.6.2 </w:t>
      </w:r>
      <w:r>
        <w:rPr>
          <w:rFonts w:ascii="Times New Roman" w:cs="Times New Roman" w:eastAsia="Times New Roman" w:hAnsi="Times New Roman"/>
          <w:sz w:val="22"/>
          <w:szCs w:val="22"/>
          <w:u w:val="single" w:color="auto"/>
          <w:color w:val="auto"/>
        </w:rPr>
        <w:t>Dispute Escalation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1292"/>
        <w:spacing w:after="0" w:line="209" w:lineRule="auto"/>
        <w:tabs>
          <w:tab w:leader="none" w:pos="260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 disagreement (including any failure to agree) with respect to any matter that is subject to the decision-making authority of the JSC, JRC, or JPC or to a Party’s final decision-making authority, in each case, as described in Section 10.6 (Committee Decisions) and subject to Section 10.7 (Scope of Committee Authority), in the event of any other unresolved matter, dispute or issue relating to this Agreement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the Party claiming that such Dispute exists will give notice in writing (a “</w:t>
      </w:r>
      <w:r>
        <w:rPr>
          <w:rFonts w:ascii="Times New Roman" w:cs="Times New Roman" w:eastAsia="Times New Roman" w:hAnsi="Times New Roman"/>
          <w:sz w:val="22"/>
          <w:szCs w:val="22"/>
          <w:b w:val="1"/>
          <w:bCs w:val="1"/>
          <w:color w:val="auto"/>
        </w:rPr>
        <w:t>Notice of Dispute</w:t>
      </w:r>
      <w:r>
        <w:rPr>
          <w:rFonts w:ascii="Times New Roman" w:cs="Times New Roman" w:eastAsia="Times New Roman" w:hAnsi="Times New Roman"/>
          <w:sz w:val="22"/>
          <w:szCs w:val="22"/>
          <w:color w:val="auto"/>
        </w:rPr>
        <w:t>”) to the other Party regarding the nature of the Dispute. Within [*] Business Days following receipt of a Notice of Dispute, the Executive Officers will meet (which may be via teleconference) at a mutually agreed upon time and location for discussion and resolution. Except in the case of Patent Disputes and matters expressly requiring the mutual agreement of the Parties, and without limiting clause (i) of Section 20.6.3 (Arbitration) or Section 20.12 (Equitable Relief; Cumulative Remedies), if the Executive Officers are unable to resolve such Dispute within [*] Business Days following such meeting, either Party may, by written notice to the other Party (an “</w:t>
      </w:r>
      <w:r>
        <w:rPr>
          <w:rFonts w:ascii="Times New Roman" w:cs="Times New Roman" w:eastAsia="Times New Roman" w:hAnsi="Times New Roman"/>
          <w:sz w:val="22"/>
          <w:szCs w:val="22"/>
          <w:b w:val="1"/>
          <w:bCs w:val="1"/>
          <w:color w:val="auto"/>
        </w:rPr>
        <w:t>Arbitration Notice</w:t>
      </w:r>
      <w:r>
        <w:rPr>
          <w:rFonts w:ascii="Times New Roman" w:cs="Times New Roman" w:eastAsia="Times New Roman" w:hAnsi="Times New Roman"/>
          <w:sz w:val="22"/>
          <w:szCs w:val="22"/>
          <w:color w:val="auto"/>
        </w:rPr>
        <w:t>”), refer the applicable Dispute for resolution by confidential binding arbitration, under the procedures set forth in Section 20.6.3 (Arbitration), as the Parties’ sole and exclusive mechanism for the resolution of such Disputes.</w:t>
      </w:r>
    </w:p>
    <w:p>
      <w:pPr>
        <w:spacing w:after="0" w:line="160"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9"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clarity, (i) matters that are subject to the decision-making authority of the JSC, JRC, or JPC or to a Party’s final decision-making authority, in each case, as described in Section 10.6 (Committee Decisions) and subject to Section 10.7 (Scope of Committee Authority), (ii) matters that expressly require the mutual agreement of the Parties,</w:t>
      </w:r>
    </w:p>
    <w:p>
      <w:pPr>
        <w:spacing w:after="0" w:line="1" w:lineRule="exact"/>
        <w:rPr>
          <w:rFonts w:ascii="Times New Roman" w:cs="Times New Roman" w:eastAsia="Times New Roman" w:hAnsi="Times New Roman"/>
          <w:sz w:val="21"/>
          <w:szCs w:val="21"/>
          <w:color w:val="auto"/>
        </w:rPr>
      </w:pPr>
    </w:p>
    <w:p>
      <w:pPr>
        <w:jc w:val="both"/>
        <w:ind w:left="660" w:hanging="4"/>
        <w:spacing w:after="0" w:line="214" w:lineRule="auto"/>
        <w:tabs>
          <w:tab w:leader="none" w:pos="107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matters that expressly require the consent, approval or agreement of one or both Parties, or that are subject to a Party’s sole discretion hereunder, (iv) Patent Disputes, and (v) any other matter expressly excluded from the resolution procedures contemplated by this Section 20.6.2 (Dispute Escalation) or 20.6.3 (Arbitration), in each case ((i)-(v)), shall not be subject to binding arbitration and the dispute resolution procedures set forth in Section 20.6.3 (Arbitration).</w:t>
      </w:r>
    </w:p>
    <w:p>
      <w:pPr>
        <w:spacing w:after="0" w:line="154"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20.6.3 </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Dispute referred for resolution under this Section 20.6.3 (Arbitration) in accordance with Section 20.6.2 (Dispute Escalation) will be resolved exclusively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395" w:right="339" w:bottom="1440" w:gutter="0" w:footer="0" w:header="0"/>
        </w:sectPr>
      </w:pPr>
    </w:p>
    <w:bookmarkStart w:id="261" w:name="page262"/>
    <w:bookmarkEnd w:id="261"/>
    <w:p>
      <w:pPr>
        <w:spacing w:after="0" w:line="238" w:lineRule="auto"/>
        <w:rPr>
          <w:sz w:val="20"/>
          <w:szCs w:val="20"/>
          <w:color w:val="auto"/>
        </w:rPr>
      </w:pPr>
      <w:r>
        <w:rPr>
          <w:rFonts w:ascii="Times New Roman" w:cs="Times New Roman" w:eastAsia="Times New Roman" w:hAnsi="Times New Roman"/>
          <w:sz w:val="22"/>
          <w:szCs w:val="22"/>
          <w:color w:val="auto"/>
        </w:rPr>
        <w:t>by binding arbitration administered by [*] in accordance with the [*] then in effect (the “</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subject to this Section 20.6.3 (Arbitration). Pursuant to this Section 20.6.3 (Arbitration):</w:t>
      </w:r>
    </w:p>
    <w:p>
      <w:pPr>
        <w:spacing w:after="0" w:line="150" w:lineRule="exact"/>
        <w:rPr>
          <w:sz w:val="20"/>
          <w:szCs w:val="20"/>
          <w:color w:val="auto"/>
        </w:rPr>
      </w:pPr>
    </w:p>
    <w:p>
      <w:pPr>
        <w:jc w:val="both"/>
        <w:ind w:left="660" w:firstLine="1292"/>
        <w:spacing w:after="0" w:line="220" w:lineRule="auto"/>
        <w:tabs>
          <w:tab w:leader="none" w:pos="2601"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of an Arbitration Notice by a Party, the applicable Dispute will be resolved by final and binding arbitration before three (3) neutral arbitrators mutually agreed by the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Parties cannot agree on such arbitrators within [*] days of the commencement of the arbitration (i.e., when [*] issues a Commencement Letter), then each Party shall select one (1) arbitrator satisfying the conditions of this clause and the two</w:t>
      </w:r>
    </w:p>
    <w:p>
      <w:pPr>
        <w:spacing w:after="0" w:line="2" w:lineRule="exact"/>
        <w:rPr>
          <w:rFonts w:ascii="Times New Roman" w:cs="Times New Roman" w:eastAsia="Times New Roman" w:hAnsi="Times New Roman"/>
          <w:sz w:val="21"/>
          <w:szCs w:val="21"/>
          <w:color w:val="auto"/>
        </w:rPr>
      </w:pPr>
    </w:p>
    <w:p>
      <w:pPr>
        <w:jc w:val="both"/>
        <w:ind w:left="660" w:hanging="4"/>
        <w:spacing w:after="0" w:line="202" w:lineRule="auto"/>
        <w:tabs>
          <w:tab w:leader="none" w:pos="97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arbitrators so selected by the Parties shall select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arbitrator (the “</w:t>
      </w:r>
      <w:r>
        <w:rPr>
          <w:rFonts w:ascii="Times New Roman" w:cs="Times New Roman" w:eastAsia="Times New Roman" w:hAnsi="Times New Roman"/>
          <w:sz w:val="22"/>
          <w:szCs w:val="22"/>
          <w:b w:val="1"/>
          <w:bCs w:val="1"/>
          <w:color w:val="auto"/>
        </w:rPr>
        <w:t>Arbitrators</w:t>
      </w:r>
      <w:r>
        <w:rPr>
          <w:rFonts w:ascii="Times New Roman" w:cs="Times New Roman" w:eastAsia="Times New Roman" w:hAnsi="Times New Roman"/>
          <w:sz w:val="22"/>
          <w:szCs w:val="22"/>
          <w:color w:val="auto"/>
        </w:rPr>
        <w:t>”). The Arbitrators will not be current or former employees, agents, consultants or representatives of either Party or its Affiliates. The Arbitrators shall not be from academia, and the Arbitrators shall be qualified attorneys in private practice or retired judges with experience in complex commercial disputes, and professionally fluent in English. Each Arbitrator shall have not less than [*] of experience in the biotechnology or pharmaceutical industry and subject matter expertise with respect to the matter subject to arbitration.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9"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arbitration will be conducted pursuant to the [*], or the equivalent successor rules in effect at the time such Dispute arises;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all respects, the Parties will use good faith efforts to agree on shorter periods for discovery cut-offs and the commencement of the hearing, and to expedite a ruling on the Dispute as quickly as practicable.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60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Arbitrators will, within [*] days after the closing of the hearing (in accordance with Rule 22(h)), issue a written award and statement of decision describing the material facts and the grounds for the conclusions on which the award is based, including the calculation of any Damages awarded. The Arbitrators will be authorized to award compensatory damages, but will not be authorized to reform, modify or change this Agreement. The proceedings and decisions of the Arbitrators will be confidential, final and binding on the Parties (subject to clause (j) below), and judgment upon the award of the Arbitrators may be entered in any court having jurisdiction thereof.</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bear its own costs and expenses (including legal fees and expenses) relating to the arbitration proceeding, except that the fees of the Arbitrators and other related costs of the arbitration will be shared equally by the Parties, unless the Arbitrators determine that a Party has incurred unreasonable expenses due to vexatious or bad faith positions taken by the other Party, in which event the Arbitrators may make an award of all or any portion of such expenses (including legal fees and expenses) so incurred.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Arbitrators shall comply with, and the award will be limited by, any express provisions of this Agreement relating to Damages or the limitation thereof. The Arbitrators will not have the power to award punitive damages regardless of whether any such damages are contained in a proposal, and such award is expressly prohibited.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arbitration proceedings and decisions of the Arbitrators under this Section 20.6.3 (Arbitration) will be deemed Confidential Information of both Parties under Article 16 (Confidentiality).</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mutually agreed by the Parties in writing, the arbitration proceedings will take place in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391" w:right="339" w:bottom="1440" w:gutter="0" w:footer="0" w:header="0"/>
        </w:sectPr>
      </w:pPr>
    </w:p>
    <w:bookmarkStart w:id="262" w:name="page263"/>
    <w:bookmarkEnd w:id="262"/>
    <w:p>
      <w:pPr>
        <w:ind w:left="2600" w:hanging="648"/>
        <w:spacing w:after="0"/>
        <w:tabs>
          <w:tab w:leader="none" w:pos="260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arbitration will be conducted in the English language and there will be a stenographic record of</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proceedings.</w:t>
      </w:r>
    </w:p>
    <w:p>
      <w:pPr>
        <w:spacing w:after="0" w:line="155" w:lineRule="exact"/>
        <w:rPr>
          <w:rFonts w:ascii="Times New Roman" w:cs="Times New Roman" w:eastAsia="Times New Roman" w:hAnsi="Times New Roman"/>
          <w:sz w:val="21"/>
          <w:szCs w:val="21"/>
          <w:color w:val="auto"/>
        </w:rPr>
      </w:pPr>
    </w:p>
    <w:p>
      <w:pPr>
        <w:jc w:val="both"/>
        <w:ind w:left="660" w:firstLine="1292"/>
        <w:spacing w:after="0" w:line="213" w:lineRule="auto"/>
        <w:tabs>
          <w:tab w:leader="none" w:pos="259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will have the right independently to seek recourse from a court of law or other authorities in lieu of arbitration, but, without limiting the rights set forth in Section 20.12 (Equitable Relief; Cumulative Remedies), each Party has the right before or during the arbitration to seek and (if granted) obtain from a court of competent jurisdiction appropriate provisional remedies to avoid irreparable harm, maintain the status quo or preserve the subject matter of the arbitration. Subject to Applicable Law (including 9 U.S.C. § 10), the decision of the Arbitrators will be final and binding and not subject to appeal of any kind, except in the case of fraud, willful misconduct, or manifest error.</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20.6.4 </w:t>
      </w:r>
      <w:r>
        <w:rPr>
          <w:rFonts w:ascii="Times New Roman" w:cs="Times New Roman" w:eastAsia="Times New Roman" w:hAnsi="Times New Roman"/>
          <w:sz w:val="22"/>
          <w:szCs w:val="22"/>
          <w:u w:val="single" w:color="auto"/>
          <w:color w:val="auto"/>
        </w:rPr>
        <w:t>Interim Plans</w:t>
      </w:r>
      <w:r>
        <w:rPr>
          <w:rFonts w:ascii="Times New Roman" w:cs="Times New Roman" w:eastAsia="Times New Roman" w:hAnsi="Times New Roman"/>
          <w:sz w:val="22"/>
          <w:szCs w:val="22"/>
          <w:color w:val="auto"/>
        </w:rPr>
        <w:t>. To the extent necessary to continue to maintain the status quo, during the pendency of any Dispute, the Parties shall continue to perform their obligations and exercise their rights hereunder in a manner that maintains such status quo.</w:t>
      </w:r>
    </w:p>
    <w:p>
      <w:pPr>
        <w:spacing w:after="0" w:line="153"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20.6.5 </w:t>
      </w:r>
      <w:r>
        <w:rPr>
          <w:rFonts w:ascii="Times New Roman" w:cs="Times New Roman" w:eastAsia="Times New Roman" w:hAnsi="Times New Roman"/>
          <w:sz w:val="21"/>
          <w:szCs w:val="21"/>
          <w:u w:val="single" w:color="auto"/>
          <w:color w:val="auto"/>
        </w:rPr>
        <w:t>Exclusive Jurisdiction; Venue</w:t>
      </w:r>
      <w:r>
        <w:rPr>
          <w:rFonts w:ascii="Times New Roman" w:cs="Times New Roman" w:eastAsia="Times New Roman" w:hAnsi="Times New Roman"/>
          <w:sz w:val="21"/>
          <w:szCs w:val="21"/>
          <w:color w:val="auto"/>
        </w:rPr>
        <w:t>. Except for Patent Disputes and as otherwise provided in Section 20.6.3 (Arbitration) or Section 20.12 (Equitable Relief; Cumulative Remedies), (a) each Party irrevocably submits to the exclusive jurisdiction of (i) the courts of the State of New York located in New York, NY, or (ii) the United States District Court for the Southern District of New York, for the purposes of any Dispute unresolved under Section 20.6.2 (Dispute Escalation) and arising out of or relating to this Agreement or any Ancillary Agreement, (b) each Party agrees to commence any such Action either in the United States District Court for the Southern District of New York or if such Action may not be brought in such court for jurisdictional reasons, in the courts of the State of New York located in New York, New York, and (c) each Party irrevocably and unconditionally waives any objection to the laying of venue of any such Action in (i) the courts of the State of New York located in New York, New York, or (ii) the United States District Court for the Southern District of New York, and hereby and thereby further irrevocably and unconditionally waives and agrees not to plead or claim before any Governmental Authority that any such Action brought in any such court has been brought in an inconvenient forum. Notwithstanding the foregoing, the Parties agree that any Patent Dispute shall be submitted to a court of competent jurisdiction or applicable Governmental Authority (including applicable intellectual property office) with sufficient authority to resolve such Patent Dispute. Each Party agrees that process may be served upon it in the manner specified in Section 20.2 (Notices) and irrevocably waives and covenants not to assert or plead any objection which it might otherwise have to such jurisdiction, or to such manner of service of process.</w:t>
      </w:r>
    </w:p>
    <w:p>
      <w:pPr>
        <w:spacing w:after="0" w:line="14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20.7 </w:t>
      </w:r>
      <w:r>
        <w:rPr>
          <w:rFonts w:ascii="Times New Roman" w:cs="Times New Roman" w:eastAsia="Times New Roman" w:hAnsi="Times New Roman"/>
          <w:sz w:val="21"/>
          <w:szCs w:val="21"/>
          <w:b w:val="1"/>
          <w:bCs w:val="1"/>
          <w:color w:val="auto"/>
        </w:rPr>
        <w:t>Relationship of the Parties</w:t>
      </w:r>
      <w:r>
        <w:rPr>
          <w:rFonts w:ascii="Times New Roman" w:cs="Times New Roman" w:eastAsia="Times New Roman" w:hAnsi="Times New Roman"/>
          <w:sz w:val="21"/>
          <w:szCs w:val="21"/>
          <w:color w:val="auto"/>
        </w:rPr>
        <w:t>. Nurix and Seagen are independent contractors under this Agreement. Nothing contained herein is intended or is to be construed so as to constitute either Party as a partner, agent or joint venturer of the other Party, including for Tax purposes. In any communications (including in oral, written, visual, graphic or electronic form) with any Third Party (including any Governmental Authority), (a) Nurix shall not refer to Seagen as a partner, agent or joint venturer of Nurix and (b) Seagen shall not refer to Nurix as a partner, agent or joint venturer of Seagen. The Parties shall file all Tax returns and take all Tax positions in a manner consistent with this Section 20.7 (Relationship of the Parties), unless otherwise required pursuant to a final determination by a Governmental Authority. Neither Nurix nor Seagen, respectively, will have any express or implied right or authority to assume or create any obligations on behalf of or in the name of Nurix and Seagen, respectively, or to bind Nurix and Seagen, respectively, to any contract, agreement or undertaking with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3" w:right="339" w:bottom="1440" w:gutter="0" w:footer="0" w:header="0"/>
        </w:sectPr>
      </w:pPr>
    </w:p>
    <w:bookmarkStart w:id="263" w:name="page264"/>
    <w:bookmarkEnd w:id="263"/>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b w:val="1"/>
          <w:bCs w:val="1"/>
          <w:color w:val="auto"/>
        </w:rPr>
        <w:t>Fees and Expenses</w:t>
      </w:r>
      <w:r>
        <w:rPr>
          <w:rFonts w:ascii="Times New Roman" w:cs="Times New Roman" w:eastAsia="Times New Roman" w:hAnsi="Times New Roman"/>
          <w:sz w:val="22"/>
          <w:szCs w:val="22"/>
          <w:color w:val="auto"/>
        </w:rPr>
        <w:t>. Except as otherwise specified in this Agreement, each Party will bear its own costs and expenses incurred in connection with this Agreement and the transactions contemplated hereby.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20.9 </w:t>
      </w:r>
      <w:r>
        <w:rPr>
          <w:rFonts w:ascii="Times New Roman" w:cs="Times New Roman" w:eastAsia="Times New Roman" w:hAnsi="Times New Roman"/>
          <w:sz w:val="22"/>
          <w:szCs w:val="22"/>
          <w:b w:val="1"/>
          <w:bCs w:val="1"/>
          <w:color w:val="auto"/>
        </w:rPr>
        <w:t>Third Party Beneficiaries</w:t>
      </w:r>
      <w:r>
        <w:rPr>
          <w:rFonts w:ascii="Times New Roman" w:cs="Times New Roman" w:eastAsia="Times New Roman" w:hAnsi="Times New Roman"/>
          <w:sz w:val="22"/>
          <w:szCs w:val="22"/>
          <w:color w:val="auto"/>
        </w:rPr>
        <w:t>. There are no express or implied Third Party beneficiaries hereunder. The provisions of this Agreement are for the exclusive benefit of the Parties, and no other Person will have any right or claim against any Party by reason of these provisions or be entitled to enforce any of these provisions against any Party, except for the rights of the Nurix Indemnitees pursuant to Section 18.1.1 (Indemnification by Seagen) and Section 18.2 (Indemnification Procedure) and the Seagen Indemnitees pursuant to Section 18.1.2 (Indemnification by Nurix) and Section 18.2 (Indemnification Procedure).</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20.10 </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xml:space="preserve">. This Agreement, together with any Schedules or Exhibits hereto and the Ancillary Agreements, contains the entire agreement by the Parties with respect to the subject matter hereof and supersedes any prior express or implied agreements, understandings and representations, either oral or written, which may have related to the subject matter hereof in any way, including any and all term sheets or similar documents relating to the transactions contemplated by this Agreement and exchanged between the Parties prior to the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 Agreement will not supersede the terms and provisions of the Mutual Confidential Disclosure Agreement executed by the Parties as of April 21, 2022 (“</w:t>
      </w:r>
      <w:r>
        <w:rPr>
          <w:rFonts w:ascii="Times New Roman" w:cs="Times New Roman" w:eastAsia="Times New Roman" w:hAnsi="Times New Roman"/>
          <w:sz w:val="22"/>
          <w:szCs w:val="22"/>
          <w:b w:val="1"/>
          <w:b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CDA</w:t>
      </w:r>
      <w:r>
        <w:rPr>
          <w:rFonts w:ascii="Times New Roman" w:cs="Times New Roman" w:eastAsia="Times New Roman" w:hAnsi="Times New Roman"/>
          <w:sz w:val="22"/>
          <w:szCs w:val="22"/>
          <w:color w:val="auto"/>
        </w:rPr>
        <w:t>”), as applicable to any period prior to the Effective Date, and nothing in this Section 20.10 (Entire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prejudice any rights or obligations of the Parties accrued under the Prior CDA as of the Effective Date.</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20.11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with the same effect as if both Parties had signed the same document. All such counterparts will be deemed an original, will be construed together and will constitute one and the same instrument. Any such counterpart, to the extent delivered by means of facsimile by .pdf, .tif, .gif, .jpeg or similar attachment to electronic mail or through the use of a nationally recognized “eSignature” platform such as DocuSign® (any such delivery, an “</w:t>
      </w: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will be treated in all manners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4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 xml:space="preserve">20.12 </w:t>
      </w:r>
      <w:r>
        <w:rPr>
          <w:rFonts w:ascii="Times New Roman" w:cs="Times New Roman" w:eastAsia="Times New Roman" w:hAnsi="Times New Roman"/>
          <w:sz w:val="21"/>
          <w:szCs w:val="21"/>
          <w:b w:val="1"/>
          <w:bCs w:val="1"/>
          <w:color w:val="auto"/>
        </w:rPr>
        <w:t>Equitable Relief; Cumulative Remedies</w:t>
      </w:r>
      <w:r>
        <w:rPr>
          <w:rFonts w:ascii="Times New Roman" w:cs="Times New Roman" w:eastAsia="Times New Roman" w:hAnsi="Times New Roman"/>
          <w:sz w:val="21"/>
          <w:szCs w:val="21"/>
          <w:color w:val="auto"/>
        </w:rPr>
        <w:t>. Notwithstanding anything to the contrary contained in this Agreement or any Ancillary Agreement, the Parties will be entitled to seek from any court of competent jurisdiction equitable relief, whether preliminary or permanent, including an injunction or specific performance, as a remedy for any breach of this Agreement or any Ancillary Agreement. Such remedies will not be deemed to be the exclusive remedies for a breach of this Agreement or any Ancillary Agreement but will be in addition to all other remedies available at law or in equity. No remedy referred to in this Agreement or any Ancillary Agreement is intended to be exclusive, but each will be cumulative and in addition to any other remedy referred to in this Agreement or any Ancillary Agreement or otherwise available under Applicable Law.</w:t>
      </w:r>
    </w:p>
    <w:p>
      <w:pPr>
        <w:spacing w:after="0" w:line="150"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20.13</w:t>
      </w:r>
      <w:r>
        <w:rPr>
          <w:sz w:val="20"/>
          <w:szCs w:val="20"/>
          <w:color w:val="auto"/>
        </w:rPr>
        <w:tab/>
      </w: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20.13.1</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1" w:right="339" w:bottom="1440" w:gutter="0" w:footer="0" w:header="0"/>
        </w:sectPr>
      </w:pPr>
    </w:p>
    <w:bookmarkStart w:id="264" w:name="page265"/>
    <w:bookmarkEnd w:id="264"/>
    <w:p>
      <w:pPr>
        <w:jc w:val="both"/>
        <w:spacing w:after="0" w:line="217" w:lineRule="auto"/>
        <w:rPr>
          <w:sz w:val="20"/>
          <w:szCs w:val="20"/>
          <w:color w:val="auto"/>
        </w:rPr>
      </w:pPr>
      <w:r>
        <w:rPr>
          <w:rFonts w:ascii="Times New Roman" w:cs="Times New Roman" w:eastAsia="Times New Roman" w:hAnsi="Times New Roman"/>
          <w:sz w:val="22"/>
          <w:szCs w:val="22"/>
          <w:color w:val="auto"/>
        </w:rPr>
        <w:t>Parties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irrespective of which Party may be deemed to have authored the ambiguous provision. In the event of any conflict between the terms and conditions set forth in the body of the Agreement, on the one hand, and any Schedule or Exhibit on the other hand, the terms in the body of the Agreement will govern.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20.13.2</w:t>
      </w:r>
      <w:r>
        <w:rPr>
          <w:rFonts w:ascii="Times New Roman" w:cs="Times New Roman" w:eastAsia="Times New Roman" w:hAnsi="Times New Roman"/>
          <w:sz w:val="22"/>
          <w:szCs w:val="22"/>
          <w:u w:val="single" w:color="auto"/>
          <w:color w:val="auto"/>
        </w:rPr>
        <w:t>Definitions; Interpretation</w:t>
      </w:r>
      <w:r>
        <w:rPr>
          <w:rFonts w:ascii="Times New Roman" w:cs="Times New Roman" w:eastAsia="Times New Roman" w:hAnsi="Times New Roman"/>
          <w:sz w:val="22"/>
          <w:szCs w:val="22"/>
          <w:color w:val="auto"/>
        </w:rPr>
        <w:t>. As used herein:</w:t>
      </w:r>
    </w:p>
    <w:p>
      <w:pPr>
        <w:spacing w:after="0" w:line="179" w:lineRule="exact"/>
        <w:rPr>
          <w:sz w:val="20"/>
          <w:szCs w:val="20"/>
          <w:color w:val="auto"/>
        </w:rPr>
      </w:pPr>
    </w:p>
    <w:p>
      <w:pPr>
        <w:jc w:val="both"/>
        <w:ind w:left="660" w:firstLine="1292"/>
        <w:spacing w:after="0" w:line="225" w:lineRule="auto"/>
        <w:tabs>
          <w:tab w:leader="none" w:pos="260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the terms herein will apply equally to the singular and plural forms of the terms defined and, where a word or phrase is defined herein, each of its other grammatical forms will have a corresponding meaning.</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context may require, any pronoun will include the corresponding masculine, feminine and neuter forms.</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“will” will be construed to have the same meaning and effect as the word “shall.”</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Party “and its Affiliates” or to a Party and “and any of its Affiliates,” and like phrases, will be construed to have the same meaning and effect, and refer to the Party and/or any one (1) or more of its Affiliates.</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and “United States” will be construed to have the same meaning and mean the United States of America and its territories and possessions.</w:t>
      </w:r>
    </w:p>
    <w:p>
      <w:pPr>
        <w:spacing w:after="0" w:line="146" w:lineRule="exact"/>
        <w:rPr>
          <w:rFonts w:ascii="Times New Roman" w:cs="Times New Roman" w:eastAsia="Times New Roman" w:hAnsi="Times New Roman"/>
          <w:sz w:val="22"/>
          <w:szCs w:val="22"/>
          <w:color w:val="auto"/>
        </w:rPr>
      </w:pPr>
    </w:p>
    <w:p>
      <w:pPr>
        <w:ind w:left="660" w:firstLine="1292"/>
        <w:spacing w:after="0" w:line="238" w:lineRule="auto"/>
        <w:tabs>
          <w:tab w:leader="none" w:pos="260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“including,” “includes,” “include,” “for example,” “such as” and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and words of similar import, will be deemed to be followed by the words “without limitation.”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will be interpreted to mean “and/or,” unless the context requires otherwise.</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this Agreement and the words “hereof,” “herein” and “hereunder,” and words of similar import, will, unless otherwise stated, be construed to refer to this Agreement as a whole (including any Schedules or Exhibits hereto) and not to any particular provision of this Agreement.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requires otherwise or otherwise specifically provided, references to drugs or pharmaceutical products or therapies include biological products or therapies, and no distinction is intended between pharmaceutical or biological products or therapies.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requires otherwise or otherwise specifically provided: (i) all references herein to Articles, Sections, Schedules or Exhibits will be construed to refer to Articles, Sections, Schedules or Exhibits of this Agreement; and (ii) reference in any Section to any clauses are references to such clauses of such Section.</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Agreement refers to a number of days, unless otherwise specified (including references to Business Days), such number refers to calendar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5" w:right="339" w:bottom="1440" w:gutter="0" w:footer="0" w:header="0"/>
        </w:sectPr>
      </w:pPr>
    </w:p>
    <w:bookmarkStart w:id="265" w:name="page266"/>
    <w:bookmarkEnd w:id="265"/>
    <w:p>
      <w:pPr>
        <w:jc w:val="both"/>
        <w:ind w:left="660" w:firstLine="1292"/>
        <w:spacing w:after="0" w:line="236" w:lineRule="auto"/>
        <w:tabs>
          <w:tab w:leader="none" w:pos="2592"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specified, deadlines within which any payment is to be made or act is to be done within or following a specified time period after a date will be calculated by excluding the day, Business Day, month or year of such date, as applicable, and including the day, Business Day, month or year of the date on which the period ends.</w:t>
      </w:r>
    </w:p>
    <w:p>
      <w:pPr>
        <w:spacing w:after="0" w:line="151" w:lineRule="exact"/>
        <w:rPr>
          <w:rFonts w:ascii="Times New Roman" w:cs="Times New Roman" w:eastAsia="Times New Roman" w:hAnsi="Times New Roman"/>
          <w:sz w:val="21"/>
          <w:szCs w:val="21"/>
          <w:color w:val="auto"/>
        </w:rPr>
      </w:pPr>
    </w:p>
    <w:p>
      <w:pPr>
        <w:jc w:val="both"/>
        <w:ind w:left="660" w:firstLine="1292"/>
        <w:spacing w:after="0" w:line="225" w:lineRule="auto"/>
        <w:tabs>
          <w:tab w:leader="none" w:pos="259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is to be made or action to be taken under this Agreement is required to be made or taken on a day other than a Business Day, such payment will be made or action taken on the next Business Day following such day to make such payment or do such act.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“optimized” means to make effective or functional for a given purpose, and shall not mean making as perfect, as effective, or as functional as possible (for example, the word “optimized” with respect to a Degrader will not be construed to require that the Degrader in question be optimal at degrading the applicable Degrader Target(s) or at causing pharmacologically relevant activity as a result of such degradation).</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20.13.3</w:t>
      </w:r>
      <w:r>
        <w:rPr>
          <w:rFonts w:ascii="Times New Roman" w:cs="Times New Roman" w:eastAsia="Times New Roman" w:hAnsi="Times New Roman"/>
          <w:sz w:val="22"/>
          <w:szCs w:val="22"/>
          <w:u w:val="single" w:color="auto"/>
          <w:color w:val="auto"/>
        </w:rPr>
        <w:t>Subsequent Events</w:t>
      </w:r>
      <w:r>
        <w:rPr>
          <w:rFonts w:ascii="Times New Roman" w:cs="Times New Roman" w:eastAsia="Times New Roman" w:hAnsi="Times New Roman"/>
          <w:sz w:val="22"/>
          <w:szCs w:val="22"/>
          <w:color w:val="auto"/>
        </w:rPr>
        <w:t>. 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(b) any reference to any Applicable Law herein will be construed as referring to such Applicable Law as from time to time enacted, repealed or amended; and (c) subject to Section 20.4 (Assignment; Change of Control), any reference herein to any Person will be construed to include the Person’s successors and permitted assigns.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20.13.4</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captions and the table of contents are for convenience only and will not be used in the interpretation or construction of this Agreement.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20.14 </w:t>
      </w:r>
      <w:r>
        <w:rPr>
          <w:rFonts w:ascii="Times New Roman" w:cs="Times New Roman" w:eastAsia="Times New Roman" w:hAnsi="Times New Roman"/>
          <w:sz w:val="22"/>
          <w:szCs w:val="22"/>
          <w:b w:val="1"/>
          <w:bCs w:val="1"/>
          <w:color w:val="auto"/>
        </w:rPr>
        <w:t>Further Assurances</w:t>
      </w:r>
      <w:r>
        <w:rPr>
          <w:rFonts w:ascii="Times New Roman" w:cs="Times New Roman" w:eastAsia="Times New Roman" w:hAnsi="Times New Roman"/>
          <w:sz w:val="22"/>
          <w:szCs w:val="22"/>
          <w:color w:val="auto"/>
        </w:rPr>
        <w:t>. Each Party will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5" w:right="339" w:bottom="1440" w:gutter="0" w:footer="0" w:header="0"/>
        </w:sectPr>
      </w:pPr>
    </w:p>
    <w:bookmarkStart w:id="266" w:name="page267"/>
    <w:bookmarkEnd w:id="266"/>
    <w:p>
      <w:pPr>
        <w:spacing w:after="0" w:line="5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and intending to be legally bound hereby, the Parties have caused this Collaboration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 Agreement to be executed by their respective duly authorized officers as of the Effective Date.</w:t>
      </w: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43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NURIX THERAPEUTICS, INC.</w:t>
            </w:r>
          </w:p>
        </w:tc>
        <w:tc>
          <w:tcPr>
            <w:tcW w:w="416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SEAGEN INC.</w:t>
            </w:r>
          </w:p>
        </w:tc>
      </w:tr>
      <w:tr>
        <w:trPr>
          <w:trHeight w:val="230"/>
        </w:trPr>
        <w:tc>
          <w:tcPr>
            <w:tcW w:w="4360" w:type="dxa"/>
            <w:vAlign w:val="bottom"/>
            <w:gridSpan w:val="6"/>
          </w:tcPr>
          <w:p>
            <w:pPr>
              <w:spacing w:after="0" w:line="230" w:lineRule="exact"/>
              <w:rPr>
                <w:sz w:val="20"/>
                <w:szCs w:val="20"/>
                <w:color w:val="auto"/>
              </w:rPr>
            </w:pPr>
            <w:r>
              <w:rPr>
                <w:rFonts w:ascii="Times New Roman" w:cs="Times New Roman" w:eastAsia="Times New Roman" w:hAnsi="Times New Roman"/>
                <w:sz w:val="22"/>
                <w:szCs w:val="22"/>
                <w:color w:val="auto"/>
              </w:rPr>
              <w:t>By: /s/ Arthur T. Sands</w:t>
            </w:r>
          </w:p>
        </w:tc>
        <w:tc>
          <w:tcPr>
            <w:tcW w:w="4160" w:type="dxa"/>
            <w:vAlign w:val="bottom"/>
            <w:gridSpan w:val="5"/>
          </w:tcPr>
          <w:p>
            <w:pPr>
              <w:ind w:left="1360"/>
              <w:spacing w:after="0" w:line="230" w:lineRule="exact"/>
              <w:rPr>
                <w:sz w:val="20"/>
                <w:szCs w:val="20"/>
                <w:color w:val="auto"/>
              </w:rPr>
            </w:pPr>
            <w:r>
              <w:rPr>
                <w:rFonts w:ascii="Times New Roman" w:cs="Times New Roman" w:eastAsia="Times New Roman" w:hAnsi="Times New Roman"/>
                <w:sz w:val="22"/>
                <w:szCs w:val="22"/>
                <w:color w:val="auto"/>
              </w:rPr>
              <w:t>By: /s/ David R. Epstein</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66"/>
        </w:trPr>
        <w:tc>
          <w:tcPr>
            <w:tcW w:w="43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Name: Arthur T. Sands</w:t>
            </w:r>
          </w:p>
        </w:tc>
        <w:tc>
          <w:tcPr>
            <w:tcW w:w="416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Name: David R. Epstein</w:t>
            </w: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66"/>
        </w:trPr>
        <w:tc>
          <w:tcPr>
            <w:tcW w:w="43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Title: President and CEO</w:t>
            </w:r>
          </w:p>
        </w:tc>
        <w:tc>
          <w:tcPr>
            <w:tcW w:w="416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Title: Chief Executive Officer</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67" w:name="page268"/>
    <w:bookmarkEnd w:id="267"/>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1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333-258448) and Form S-8 (Nos. 333-240065, 333-253159, 333-262406 and 333-269671) of Nurix Therapeutics, Inc. of our report dated February 15, 2024 relating to the financial statements, which appears in this Form 10-K.</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335"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238" w:lineRule="auto"/>
        <w:rPr>
          <w:sz w:val="20"/>
          <w:szCs w:val="20"/>
          <w:color w:val="auto"/>
        </w:rPr>
      </w:pPr>
      <w:r>
        <w:rPr>
          <w:rFonts w:ascii="Georgia" w:cs="Georgia" w:eastAsia="Georgia" w:hAnsi="Georgia"/>
          <w:sz w:val="18"/>
          <w:szCs w:val="18"/>
          <w:color w:val="auto"/>
        </w:rPr>
        <w:t>February 15, 2024</w:t>
      </w:r>
    </w:p>
    <w:p>
      <w:pPr>
        <w:sectPr>
          <w:pgSz w:w="11900" w:h="16838" w:orient="portrait"/>
          <w:cols w:equalWidth="0" w:num="1">
            <w:col w:w="11240"/>
          </w:cols>
          <w:pgMar w:left="320" w:top="1418"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Nurix Therapeutics,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630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2024</w:t>
      </w:r>
    </w:p>
    <w:p>
      <w:pPr>
        <w:sectPr>
          <w:pgSz w:w="11900" w:h="16838" w:orient="portrait"/>
          <w:cols w:equalWidth="0" w:num="1">
            <w:col w:w="11240"/>
          </w:cols>
          <w:pgMar w:left="320" w:top="1251"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Nurix Therapeutics,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30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34290</wp:posOffset>
            </wp:positionV>
            <wp:extent cx="2854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Hans van Houte</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2024</w:t>
      </w:r>
    </w:p>
    <w:p>
      <w:pPr>
        <w:sectPr>
          <w:pgSz w:w="11900" w:h="16838" w:orient="portrait"/>
          <w:cols w:equalWidth="0" w:num="1">
            <w:col w:w="11240"/>
          </w:cols>
          <w:pgMar w:left="320" w:top="1251"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99" w:lineRule="exact"/>
        <w:rPr>
          <w:sz w:val="20"/>
          <w:szCs w:val="20"/>
          <w:color w:val="auto"/>
        </w:rPr>
      </w:pPr>
    </w:p>
    <w:p>
      <w:pPr>
        <w:ind w:left="66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November 30, 2023 (the Annual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94"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Hans van Houte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240"/>
          </w:cols>
          <w:pgMar w:left="320" w:top="1251"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RECOVERY POLICY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POLICY WAS ADOPTED BY THE BOARD AND IS EFFECTIVE AS OF JULY 25, 2023.</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Board of Directors (the “</w:t>
      </w:r>
      <w:r>
        <w:rPr>
          <w:rFonts w:ascii="Times New Roman" w:cs="Times New Roman" w:eastAsia="Times New Roman" w:hAnsi="Times New Roman"/>
          <w:sz w:val="20"/>
          <w:szCs w:val="20"/>
          <w:b w:val="1"/>
          <w:bCs w:val="1"/>
          <w:i w:val="1"/>
          <w:iCs w:val="1"/>
          <w:color w:val="1E1E1E"/>
        </w:rPr>
        <w:t>Board</w:t>
      </w:r>
      <w:r>
        <w:rPr>
          <w:rFonts w:ascii="Times New Roman" w:cs="Times New Roman" w:eastAsia="Times New Roman" w:hAnsi="Times New Roman"/>
          <w:sz w:val="20"/>
          <w:szCs w:val="20"/>
          <w:color w:val="1E1E1E"/>
        </w:rPr>
        <w:t>”) of Nurix Therapeutics,</w:t>
      </w:r>
    </w:p>
    <w:p>
      <w:pPr>
        <w:ind w:right="580"/>
        <w:spacing w:after="0" w:line="215" w:lineRule="auto"/>
        <w:rPr>
          <w:sz w:val="20"/>
          <w:szCs w:val="20"/>
          <w:color w:val="auto"/>
        </w:rPr>
      </w:pPr>
      <w:r>
        <w:rPr>
          <w:rFonts w:ascii="Times New Roman" w:cs="Times New Roman" w:eastAsia="Times New Roman" w:hAnsi="Times New Roman"/>
          <w:sz w:val="19"/>
          <w:szCs w:val="19"/>
          <w:color w:val="1E1E1E"/>
        </w:rPr>
        <w:t>Inc. (the “</w:t>
      </w:r>
      <w:r>
        <w:rPr>
          <w:rFonts w:ascii="Times New Roman" w:cs="Times New Roman" w:eastAsia="Times New Roman" w:hAnsi="Times New Roman"/>
          <w:sz w:val="19"/>
          <w:szCs w:val="19"/>
          <w:b w:val="1"/>
          <w:bCs w:val="1"/>
          <w:i w:val="1"/>
          <w:iCs w:val="1"/>
          <w:color w:val="1E1E1E"/>
        </w:rPr>
        <w:t>Company</w:t>
      </w:r>
      <w:r>
        <w:rPr>
          <w:rFonts w:ascii="Times New Roman" w:cs="Times New Roman" w:eastAsia="Times New Roman" w:hAnsi="Times New Roman"/>
          <w:sz w:val="19"/>
          <w:szCs w:val="19"/>
          <w:color w:val="1E1E1E"/>
        </w:rPr>
        <w:t>”) has determined that it is in the best interests of the Company and its stockholders to adopt this</w:t>
      </w:r>
    </w:p>
    <w:p>
      <w:pPr>
        <w:spacing w:after="0" w:line="211" w:lineRule="auto"/>
        <w:rPr>
          <w:sz w:val="20"/>
          <w:szCs w:val="20"/>
          <w:color w:val="auto"/>
        </w:rPr>
      </w:pPr>
      <w:r>
        <w:rPr>
          <w:rFonts w:ascii="Times New Roman" w:cs="Times New Roman" w:eastAsia="Times New Roman" w:hAnsi="Times New Roman"/>
          <w:sz w:val="20"/>
          <w:szCs w:val="20"/>
          <w:color w:val="1E1E1E"/>
        </w:rPr>
        <w:t>Compensation Recovery Policy (this “</w:t>
      </w:r>
      <w:r>
        <w:rPr>
          <w:rFonts w:ascii="Times New Roman" w:cs="Times New Roman" w:eastAsia="Times New Roman" w:hAnsi="Times New Roman"/>
          <w:sz w:val="20"/>
          <w:szCs w:val="20"/>
          <w:b w:val="1"/>
          <w:bCs w:val="1"/>
          <w:i w:val="1"/>
          <w:iCs w:val="1"/>
          <w:color w:val="1E1E1E"/>
        </w:rPr>
        <w:t>Policy</w:t>
      </w:r>
      <w:r>
        <w:rPr>
          <w:rFonts w:ascii="Times New Roman" w:cs="Times New Roman" w:eastAsia="Times New Roman" w:hAnsi="Times New Roman"/>
          <w:sz w:val="20"/>
          <w:szCs w:val="20"/>
          <w:color w:val="1E1E1E"/>
        </w:rPr>
        <w:t>”) to enable the</w:t>
      </w:r>
    </w:p>
    <w:p>
      <w:pPr>
        <w:ind w:right="40"/>
        <w:spacing w:after="0" w:line="215" w:lineRule="auto"/>
        <w:rPr>
          <w:sz w:val="20"/>
          <w:szCs w:val="20"/>
          <w:color w:val="auto"/>
        </w:rPr>
      </w:pPr>
      <w:r>
        <w:rPr>
          <w:rFonts w:ascii="Times New Roman" w:cs="Times New Roman" w:eastAsia="Times New Roman" w:hAnsi="Times New Roman"/>
          <w:sz w:val="19"/>
          <w:szCs w:val="19"/>
          <w:color w:val="1E1E1E"/>
        </w:rPr>
        <w:t>Company to recover from specified current and former Company executives certain incentive-based compensation in the event of</w:t>
      </w:r>
    </w:p>
    <w:p>
      <w:pPr>
        <w:spacing w:after="0" w:line="211" w:lineRule="auto"/>
        <w:rPr>
          <w:sz w:val="20"/>
          <w:szCs w:val="20"/>
          <w:color w:val="auto"/>
        </w:rPr>
      </w:pPr>
      <w:r>
        <w:rPr>
          <w:rFonts w:ascii="Times New Roman" w:cs="Times New Roman" w:eastAsia="Times New Roman" w:hAnsi="Times New Roman"/>
          <w:sz w:val="20"/>
          <w:szCs w:val="20"/>
          <w:color w:val="1E1E1E"/>
        </w:rPr>
        <w:t>an accounting restatement resulting from material</w:t>
      </w:r>
    </w:p>
    <w:p>
      <w:pPr>
        <w:jc w:val="both"/>
        <w:ind w:right="160"/>
        <w:spacing w:after="0" w:line="233" w:lineRule="auto"/>
        <w:rPr>
          <w:sz w:val="20"/>
          <w:szCs w:val="20"/>
          <w:color w:val="auto"/>
        </w:rPr>
      </w:pPr>
      <w:r>
        <w:rPr>
          <w:rFonts w:ascii="Times New Roman" w:cs="Times New Roman" w:eastAsia="Times New Roman" w:hAnsi="Times New Roman"/>
          <w:sz w:val="19"/>
          <w:szCs w:val="19"/>
          <w:color w:val="1E1E1E"/>
        </w:rPr>
        <w:t>noncompliance with any financial reporting requirements under the federal securities laws. Capitalized terms are defined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 xml:space="preserve">This Policy </w:t>
      </w:r>
      <w:r>
        <w:rPr>
          <w:rFonts w:ascii="Times New Roman" w:cs="Times New Roman" w:eastAsia="Times New Roman" w:hAnsi="Times New Roman"/>
          <w:sz w:val="20"/>
          <w:szCs w:val="20"/>
          <w:color w:val="171717"/>
        </w:rPr>
        <w:t>is designed to comply with Rule 10D-1 of the</w:t>
      </w:r>
    </w:p>
    <w:p>
      <w:pPr>
        <w:ind w:right="120"/>
        <w:spacing w:after="0" w:line="215" w:lineRule="auto"/>
        <w:rPr>
          <w:sz w:val="20"/>
          <w:szCs w:val="20"/>
          <w:color w:val="auto"/>
        </w:rPr>
      </w:pPr>
      <w:r>
        <w:rPr>
          <w:rFonts w:ascii="Times New Roman" w:cs="Times New Roman" w:eastAsia="Times New Roman" w:hAnsi="Times New Roman"/>
          <w:sz w:val="19"/>
          <w:szCs w:val="19"/>
          <w:color w:val="1E1E1E"/>
        </w:rPr>
        <w:t xml:space="preserve">Exchange </w:t>
      </w:r>
      <w:r>
        <w:rPr>
          <w:rFonts w:ascii="Times New Roman" w:cs="Times New Roman" w:eastAsia="Times New Roman" w:hAnsi="Times New Roman"/>
          <w:sz w:val="19"/>
          <w:szCs w:val="19"/>
          <w:color w:val="171717"/>
        </w:rPr>
        <w:t>Act</w:t>
      </w:r>
      <w:r>
        <w:rPr>
          <w:rFonts w:ascii="Times New Roman" w:cs="Times New Roman" w:eastAsia="Times New Roman" w:hAnsi="Times New Roman"/>
          <w:sz w:val="19"/>
          <w:szCs w:val="19"/>
          <w:color w:val="1E1E1E"/>
        </w:rPr>
        <w:t xml:space="preserve"> and shall apply to </w:t>
      </w:r>
      <w:r>
        <w:rPr>
          <w:rFonts w:ascii="Times New Roman" w:cs="Times New Roman" w:eastAsia="Times New Roman" w:hAnsi="Times New Roman"/>
          <w:sz w:val="19"/>
          <w:szCs w:val="19"/>
          <w:color w:val="171717"/>
        </w:rPr>
        <w:t>Incentive-Based Compensation</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color w:val="171717"/>
        </w:rPr>
        <w:t>Received by Covered Persons on or after the Listing Rule</w:t>
      </w:r>
    </w:p>
    <w:p>
      <w:pPr>
        <w:spacing w:after="0"/>
        <w:rPr>
          <w:sz w:val="20"/>
          <w:szCs w:val="20"/>
          <w:color w:val="auto"/>
        </w:rPr>
      </w:pPr>
      <w:r>
        <w:rPr>
          <w:rFonts w:ascii="Times New Roman" w:cs="Times New Roman" w:eastAsia="Times New Roman" w:hAnsi="Times New Roman"/>
          <w:sz w:val="20"/>
          <w:szCs w:val="20"/>
          <w:color w:val="171717"/>
        </w:rPr>
        <w:t>Effective Date</w:t>
      </w:r>
      <w:r>
        <w:rPr>
          <w:rFonts w:ascii="Times New Roman" w:cs="Times New Roman" w:eastAsia="Times New Roman" w:hAnsi="Times New Roman"/>
          <w:sz w:val="20"/>
          <w:szCs w:val="20"/>
          <w:color w:val="1E1E1E"/>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 OF THIS POLICY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This Policy shall be administered by the Compensation</w:t>
      </w:r>
    </w:p>
    <w:p>
      <w:pPr>
        <w:ind w:right="320"/>
        <w:spacing w:after="0" w:line="215" w:lineRule="auto"/>
        <w:rPr>
          <w:sz w:val="20"/>
          <w:szCs w:val="20"/>
          <w:color w:val="auto"/>
        </w:rPr>
      </w:pPr>
      <w:r>
        <w:rPr>
          <w:rFonts w:ascii="Times New Roman" w:cs="Times New Roman" w:eastAsia="Times New Roman" w:hAnsi="Times New Roman"/>
          <w:sz w:val="19"/>
          <w:szCs w:val="19"/>
          <w:color w:val="1E1E1E"/>
        </w:rPr>
        <w:t>Committee of the Board, or in the absence of a committee of independent directors responsible for executive compensation</w:t>
      </w:r>
    </w:p>
    <w:p>
      <w:pPr>
        <w:spacing w:after="0" w:line="211" w:lineRule="auto"/>
        <w:rPr>
          <w:sz w:val="20"/>
          <w:szCs w:val="20"/>
          <w:color w:val="auto"/>
        </w:rPr>
      </w:pPr>
      <w:r>
        <w:rPr>
          <w:rFonts w:ascii="Times New Roman" w:cs="Times New Roman" w:eastAsia="Times New Roman" w:hAnsi="Times New Roman"/>
          <w:sz w:val="20"/>
          <w:szCs w:val="20"/>
          <w:color w:val="1E1E1E"/>
        </w:rPr>
        <w:t>decisions, a majority of the independent directors serving on the</w:t>
      </w:r>
    </w:p>
    <w:p>
      <w:pPr>
        <w:ind w:right="100"/>
        <w:spacing w:after="0" w:line="215" w:lineRule="auto"/>
        <w:rPr>
          <w:sz w:val="20"/>
          <w:szCs w:val="20"/>
          <w:color w:val="auto"/>
        </w:rPr>
      </w:pPr>
      <w:r>
        <w:rPr>
          <w:rFonts w:ascii="Times New Roman" w:cs="Times New Roman" w:eastAsia="Times New Roman" w:hAnsi="Times New Roman"/>
          <w:sz w:val="19"/>
          <w:szCs w:val="19"/>
          <w:color w:val="1E1E1E"/>
        </w:rPr>
        <w:t>Board (the “</w:t>
      </w:r>
      <w:r>
        <w:rPr>
          <w:rFonts w:ascii="Times New Roman" w:cs="Times New Roman" w:eastAsia="Times New Roman" w:hAnsi="Times New Roman"/>
          <w:sz w:val="19"/>
          <w:szCs w:val="19"/>
          <w:b w:val="1"/>
          <w:bCs w:val="1"/>
          <w:i w:val="1"/>
          <w:iCs w:val="1"/>
          <w:color w:val="1E1E1E"/>
        </w:rPr>
        <w:t>Administrator</w:t>
      </w:r>
      <w:r>
        <w:rPr>
          <w:rFonts w:ascii="Times New Roman" w:cs="Times New Roman" w:eastAsia="Times New Roman" w:hAnsi="Times New Roman"/>
          <w:sz w:val="19"/>
          <w:szCs w:val="19"/>
          <w:color w:val="1E1E1E"/>
        </w:rPr>
        <w:t>”). The Administrator is authorized to interpret and construe this Policy and to make all determinations</w:t>
      </w:r>
    </w:p>
    <w:p>
      <w:pPr>
        <w:spacing w:after="0" w:line="222" w:lineRule="auto"/>
        <w:rPr>
          <w:sz w:val="20"/>
          <w:szCs w:val="20"/>
          <w:color w:val="auto"/>
        </w:rPr>
      </w:pPr>
      <w:r>
        <w:rPr>
          <w:rFonts w:ascii="Times New Roman" w:cs="Times New Roman" w:eastAsia="Times New Roman" w:hAnsi="Times New Roman"/>
          <w:sz w:val="19"/>
          <w:szCs w:val="19"/>
          <w:color w:val="1E1E1E"/>
        </w:rPr>
        <w:t>necessary, appropriate, or advisable for the administration of this</w:t>
      </w:r>
    </w:p>
    <w:p>
      <w:pPr>
        <w:ind w:right="40"/>
        <w:spacing w:after="0" w:line="215" w:lineRule="auto"/>
        <w:rPr>
          <w:sz w:val="20"/>
          <w:szCs w:val="20"/>
          <w:color w:val="auto"/>
        </w:rPr>
      </w:pPr>
      <w:r>
        <w:rPr>
          <w:rFonts w:ascii="Times New Roman" w:cs="Times New Roman" w:eastAsia="Times New Roman" w:hAnsi="Times New Roman"/>
          <w:sz w:val="19"/>
          <w:szCs w:val="19"/>
          <w:color w:val="1E1E1E"/>
        </w:rPr>
        <w:t>Policy. The Administrator may retain, at the Company’s expense, outside legal counsel and such compensation, tax or other</w:t>
      </w:r>
    </w:p>
    <w:p>
      <w:pPr>
        <w:ind w:right="380"/>
        <w:spacing w:after="0" w:line="228" w:lineRule="auto"/>
        <w:rPr>
          <w:sz w:val="20"/>
          <w:szCs w:val="20"/>
          <w:color w:val="auto"/>
        </w:rPr>
      </w:pPr>
      <w:r>
        <w:rPr>
          <w:rFonts w:ascii="Times New Roman" w:cs="Times New Roman" w:eastAsia="Times New Roman" w:hAnsi="Times New Roman"/>
          <w:sz w:val="20"/>
          <w:szCs w:val="20"/>
          <w:color w:val="1E1E1E"/>
        </w:rPr>
        <w:t>consultants as it may determine are advisable for purposes of administering this Policy.</w:t>
      </w:r>
    </w:p>
    <w:p>
      <w:pPr>
        <w:spacing w:after="0" w:line="145" w:lineRule="exact"/>
        <w:rPr>
          <w:sz w:val="20"/>
          <w:szCs w:val="20"/>
          <w:color w:val="auto"/>
        </w:rPr>
      </w:pPr>
    </w:p>
    <w:p>
      <w:pPr>
        <w:ind w:right="1120"/>
        <w:spacing w:after="0" w:line="245" w:lineRule="auto"/>
        <w:rPr>
          <w:sz w:val="20"/>
          <w:szCs w:val="20"/>
          <w:color w:val="auto"/>
        </w:rPr>
      </w:pPr>
      <w:r>
        <w:rPr>
          <w:rFonts w:ascii="Times New Roman" w:cs="Times New Roman" w:eastAsia="Times New Roman" w:hAnsi="Times New Roman"/>
          <w:sz w:val="20"/>
          <w:szCs w:val="20"/>
          <w:b w:val="1"/>
          <w:bCs w:val="1"/>
          <w:color w:val="auto"/>
        </w:rPr>
        <w:t>PERSONS COVERED BY THIS POLICY AND APPLICABLE COMPENSATION</w:t>
      </w:r>
    </w:p>
    <w:p>
      <w:pPr>
        <w:spacing w:after="0" w:line="47"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9"/>
          <w:szCs w:val="19"/>
          <w:color w:val="1E1E1E"/>
        </w:rPr>
        <w:t>This Policy applies to any Incentive-Based Compensation Received by a person (a) after beginning service as a Covered</w:t>
      </w:r>
    </w:p>
    <w:p>
      <w:pPr>
        <w:spacing w:after="0" w:line="211" w:lineRule="auto"/>
        <w:rPr>
          <w:sz w:val="20"/>
          <w:szCs w:val="20"/>
          <w:color w:val="auto"/>
        </w:rPr>
      </w:pPr>
      <w:r>
        <w:rPr>
          <w:rFonts w:ascii="Times New Roman" w:cs="Times New Roman" w:eastAsia="Times New Roman" w:hAnsi="Times New Roman"/>
          <w:sz w:val="20"/>
          <w:szCs w:val="20"/>
          <w:color w:val="1E1E1E"/>
        </w:rPr>
        <w:t>Person; (b) who served as a Covered Person at any time during</w:t>
      </w:r>
    </w:p>
    <w:p>
      <w:pPr>
        <w:spacing w:after="0" w:line="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9"/>
          <w:szCs w:val="19"/>
          <w:color w:val="1E1E1E"/>
        </w:rPr>
        <w:t>the performance period for that Incentive-Based Compensation; and (c) was a Covered Person during the Clawback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However, recovery is not required with respect to:</w:t>
      </w:r>
    </w:p>
    <w:p>
      <w:pPr>
        <w:ind w:left="660" w:right="440" w:hanging="328"/>
        <w:spacing w:after="0" w:line="221" w:lineRule="auto"/>
        <w:tabs>
          <w:tab w:leader="none" w:pos="656" w:val="left"/>
        </w:tabs>
        <w:numPr>
          <w:ilvl w:val="0"/>
          <w:numId w:val="15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71717"/>
        </w:rPr>
        <w:t>Incentive</w:t>
      </w:r>
      <w:r>
        <w:rPr>
          <w:rFonts w:ascii="Times New Roman" w:cs="Times New Roman" w:eastAsia="Times New Roman" w:hAnsi="Times New Roman"/>
          <w:sz w:val="20"/>
          <w:szCs w:val="20"/>
          <w:color w:val="1E1E1E"/>
        </w:rPr>
        <w:t>-Based Compensation Received prior to an</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1E1E1E"/>
        </w:rPr>
        <w:t>individual becoming a Covered Person, even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right="480"/>
        <w:spacing w:after="0"/>
        <w:rPr>
          <w:sz w:val="20"/>
          <w:szCs w:val="20"/>
          <w:color w:val="auto"/>
        </w:rPr>
      </w:pPr>
      <w:r>
        <w:rPr>
          <w:rFonts w:ascii="Times New Roman" w:cs="Times New Roman" w:eastAsia="Times New Roman" w:hAnsi="Times New Roman"/>
          <w:sz w:val="20"/>
          <w:szCs w:val="20"/>
          <w:color w:val="1E1E1E"/>
        </w:rPr>
        <w:t>the individual served as a Covered Person during the Clawback Period.</w:t>
      </w:r>
    </w:p>
    <w:p>
      <w:pPr>
        <w:spacing w:after="0" w:line="188" w:lineRule="exact"/>
        <w:rPr>
          <w:sz w:val="20"/>
          <w:szCs w:val="20"/>
          <w:color w:val="auto"/>
        </w:rPr>
      </w:pPr>
    </w:p>
    <w:p>
      <w:pPr>
        <w:ind w:left="640" w:right="460" w:hanging="320"/>
        <w:spacing w:after="0" w:line="233" w:lineRule="auto"/>
        <w:tabs>
          <w:tab w:leader="none" w:pos="637" w:val="left"/>
        </w:tabs>
        <w:numPr>
          <w:ilvl w:val="0"/>
          <w:numId w:val="15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71717"/>
        </w:rPr>
        <w:t>Incentive-Based Compensation Received prior to the Listing Rule Effective Date.</w:t>
      </w:r>
    </w:p>
    <w:p>
      <w:pPr>
        <w:spacing w:after="0" w:line="187" w:lineRule="exact"/>
        <w:rPr>
          <w:rFonts w:ascii="Times New Roman" w:cs="Times New Roman" w:eastAsia="Times New Roman" w:hAnsi="Times New Roman"/>
          <w:sz w:val="20"/>
          <w:szCs w:val="20"/>
          <w:color w:val="1E1E1E"/>
        </w:rPr>
      </w:pPr>
    </w:p>
    <w:p>
      <w:pPr>
        <w:ind w:left="640" w:right="460" w:hanging="320"/>
        <w:spacing w:after="0"/>
        <w:tabs>
          <w:tab w:leader="none" w:pos="638" w:val="left"/>
        </w:tabs>
        <w:numPr>
          <w:ilvl w:val="0"/>
          <w:numId w:val="15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71717"/>
        </w:rPr>
        <w:t>Incentive</w:t>
      </w:r>
      <w:r>
        <w:rPr>
          <w:rFonts w:ascii="Times New Roman" w:cs="Times New Roman" w:eastAsia="Times New Roman" w:hAnsi="Times New Roman"/>
          <w:sz w:val="20"/>
          <w:szCs w:val="20"/>
          <w:color w:val="1E1E1E"/>
        </w:rPr>
        <w:t>-Based Compensation Received prior to the</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1E1E1E"/>
        </w:rPr>
        <w:t>Clawback Period.</w:t>
      </w:r>
    </w:p>
    <w:p>
      <w:pPr>
        <w:spacing w:after="0" w:line="174" w:lineRule="exact"/>
        <w:rPr>
          <w:rFonts w:ascii="Times New Roman" w:cs="Times New Roman" w:eastAsia="Times New Roman" w:hAnsi="Times New Roman"/>
          <w:sz w:val="20"/>
          <w:szCs w:val="20"/>
          <w:color w:val="1E1E1E"/>
        </w:rPr>
      </w:pPr>
    </w:p>
    <w:p>
      <w:pPr>
        <w:ind w:left="640" w:right="420" w:hanging="320"/>
        <w:spacing w:after="0" w:line="222" w:lineRule="auto"/>
        <w:tabs>
          <w:tab w:leader="none" w:pos="614" w:val="left"/>
        </w:tabs>
        <w:numPr>
          <w:ilvl w:val="0"/>
          <w:numId w:val="15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71717"/>
        </w:rPr>
        <w:t>Incentive-Based Compensation Received while the Company did not have a class of listed securities on a national securities exchange or a national securities association, including the Exchange.</w:t>
      </w:r>
    </w:p>
    <w:p>
      <w:pPr>
        <w:spacing w:after="0" w:line="121" w:lineRule="exact"/>
        <w:rPr>
          <w:sz w:val="20"/>
          <w:szCs w:val="20"/>
          <w:color w:val="auto"/>
        </w:rPr>
      </w:pPr>
    </w:p>
    <w:p>
      <w:pPr>
        <w:ind w:right="500"/>
        <w:spacing w:after="0" w:line="230" w:lineRule="auto"/>
        <w:rPr>
          <w:sz w:val="20"/>
          <w:szCs w:val="20"/>
          <w:color w:val="auto"/>
        </w:rPr>
      </w:pPr>
      <w:r>
        <w:rPr>
          <w:rFonts w:ascii="Times New Roman" w:cs="Times New Roman" w:eastAsia="Times New Roman" w:hAnsi="Times New Roman"/>
          <w:sz w:val="20"/>
          <w:szCs w:val="20"/>
          <w:color w:val="171717"/>
        </w:rPr>
        <w:t>The Administrator will not consider the Covered Person’s responsibility or fault or lack thereof in enforcing this Policy with respect to recoupment under the Final Rules.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TRIGGERING EVENT</w:t>
      </w:r>
    </w:p>
    <w:p>
      <w:pPr>
        <w:spacing w:after="0" w:line="85"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20"/>
          <w:szCs w:val="20"/>
          <w:color w:val="1E1E1E"/>
        </w:rPr>
        <w:t>Subject to and in accordance with the provisions of this Policy, if there is a Triggering Event, the Administrator shall require a</w:t>
      </w:r>
    </w:p>
    <w:p>
      <w:pPr>
        <w:spacing w:after="0" w:line="212" w:lineRule="auto"/>
        <w:rPr>
          <w:sz w:val="20"/>
          <w:szCs w:val="20"/>
          <w:color w:val="auto"/>
        </w:rPr>
      </w:pPr>
      <w:r>
        <w:rPr>
          <w:rFonts w:ascii="Times New Roman" w:cs="Times New Roman" w:eastAsia="Times New Roman" w:hAnsi="Times New Roman"/>
          <w:sz w:val="20"/>
          <w:szCs w:val="20"/>
          <w:color w:val="1E1E1E"/>
        </w:rPr>
        <w:t>Covered Person to reimburse or forfeit to the Company the</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1E1E1E"/>
        </w:rPr>
        <w:t xml:space="preserve">Recoupment Amount applicable to such Covered Person. </w:t>
      </w:r>
      <w:r>
        <w:rPr>
          <w:rFonts w:ascii="Times New Roman" w:cs="Times New Roman" w:eastAsia="Times New Roman" w:hAnsi="Times New Roman"/>
          <w:sz w:val="19"/>
          <w:szCs w:val="19"/>
          <w:color w:val="171717"/>
        </w:rPr>
        <w:t>A</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color w:val="171717"/>
        </w:rPr>
        <w:t>Company’s obligation to recover the Recoupment Amount is not</w:t>
      </w:r>
    </w:p>
    <w:p>
      <w:pPr>
        <w:ind w:right="500"/>
        <w:spacing w:after="0" w:line="228" w:lineRule="auto"/>
        <w:rPr>
          <w:sz w:val="20"/>
          <w:szCs w:val="20"/>
          <w:color w:val="auto"/>
        </w:rPr>
      </w:pPr>
      <w:r>
        <w:rPr>
          <w:rFonts w:ascii="Times New Roman" w:cs="Times New Roman" w:eastAsia="Times New Roman" w:hAnsi="Times New Roman"/>
          <w:sz w:val="20"/>
          <w:szCs w:val="20"/>
          <w:color w:val="171717"/>
        </w:rPr>
        <w:t>dependent on if or when the restated financial statements are filed.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CALCULATION OF RECOUPMENT AMOUNT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71717"/>
        </w:rPr>
        <w:t>The Recoupment Amount will be calculated in accordance with</w:t>
      </w:r>
    </w:p>
    <w:p>
      <w:pPr>
        <w:ind w:right="720"/>
        <w:spacing w:after="0" w:line="221" w:lineRule="auto"/>
        <w:rPr>
          <w:sz w:val="20"/>
          <w:szCs w:val="20"/>
          <w:color w:val="auto"/>
        </w:rPr>
      </w:pPr>
      <w:r>
        <w:rPr>
          <w:rFonts w:ascii="Times New Roman" w:cs="Times New Roman" w:eastAsia="Times New Roman" w:hAnsi="Times New Roman"/>
          <w:sz w:val="20"/>
          <w:szCs w:val="20"/>
          <w:color w:val="171717"/>
        </w:rPr>
        <w:t xml:space="preserve">the Final Rules, as provided in the Calculation Guidelines attached hereto as </w:t>
      </w:r>
      <w:r>
        <w:rPr>
          <w:rFonts w:ascii="Times New Roman" w:cs="Times New Roman" w:eastAsia="Times New Roman" w:hAnsi="Times New Roman"/>
          <w:sz w:val="20"/>
          <w:szCs w:val="20"/>
          <w:u w:val="single" w:color="auto"/>
          <w:color w:val="171717"/>
        </w:rPr>
        <w:t>Exhibit B</w:t>
      </w:r>
      <w:r>
        <w:rPr>
          <w:rFonts w:ascii="Times New Roman" w:cs="Times New Roman" w:eastAsia="Times New Roman" w:hAnsi="Times New Roman"/>
          <w:sz w:val="20"/>
          <w:szCs w:val="20"/>
          <w:color w:val="171717"/>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METHOD OF RECOUPMENT</w:t>
      </w:r>
    </w:p>
    <w:p>
      <w:pPr>
        <w:spacing w:after="0" w:line="85"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9"/>
          <w:szCs w:val="19"/>
          <w:color w:val="171717"/>
        </w:rPr>
        <w:t xml:space="preserve">Subject to compliance with the Final Rules and applicable law, the Administrator will determine, in its sole </w:t>
      </w:r>
      <w:r>
        <w:rPr>
          <w:rFonts w:ascii="Times New Roman" w:cs="Times New Roman" w:eastAsia="Times New Roman" w:hAnsi="Times New Roman"/>
          <w:sz w:val="19"/>
          <w:szCs w:val="19"/>
          <w:color w:val="1E1E1E"/>
        </w:rPr>
        <w:t>discretion</w:t>
      </w:r>
      <w:r>
        <w:rPr>
          <w:rFonts w:ascii="Times New Roman" w:cs="Times New Roman" w:eastAsia="Times New Roman" w:hAnsi="Times New Roman"/>
          <w:sz w:val="19"/>
          <w:szCs w:val="19"/>
          <w:color w:val="171717"/>
        </w:rPr>
        <w:t>, the</w:t>
      </w:r>
    </w:p>
    <w:p>
      <w:pPr>
        <w:ind w:right="180"/>
        <w:spacing w:after="0" w:line="228" w:lineRule="auto"/>
        <w:rPr>
          <w:sz w:val="20"/>
          <w:szCs w:val="20"/>
          <w:color w:val="auto"/>
        </w:rPr>
      </w:pPr>
      <w:r>
        <w:rPr>
          <w:rFonts w:ascii="Times New Roman" w:cs="Times New Roman" w:eastAsia="Times New Roman" w:hAnsi="Times New Roman"/>
          <w:sz w:val="20"/>
          <w:szCs w:val="20"/>
          <w:color w:val="171717"/>
        </w:rPr>
        <w:t>method for recouping the Recoupment Amount hereunder which may include, without limitation:</w:t>
      </w:r>
    </w:p>
    <w:p>
      <w:pPr>
        <w:spacing w:after="0" w:line="149" w:lineRule="exact"/>
        <w:rPr>
          <w:sz w:val="20"/>
          <w:szCs w:val="20"/>
          <w:color w:val="auto"/>
        </w:rPr>
      </w:pPr>
    </w:p>
    <w:p>
      <w:pPr>
        <w:ind w:left="640" w:right="500" w:hanging="320"/>
        <w:spacing w:after="0"/>
        <w:tabs>
          <w:tab w:leader="none" w:pos="636" w:val="left"/>
        </w:tabs>
        <w:numPr>
          <w:ilvl w:val="0"/>
          <w:numId w:val="157"/>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Requiring reimbursement or forfeiture of the pre-tax amount of cash</w:t>
      </w:r>
    </w:p>
    <w:p>
      <w:pPr>
        <w:spacing w:after="0" w:line="200" w:lineRule="exact"/>
        <w:rPr>
          <w:sz w:val="20"/>
          <w:szCs w:val="20"/>
          <w:color w:val="auto"/>
        </w:rPr>
      </w:pPr>
    </w:p>
    <w:p>
      <w:pPr>
        <w:sectPr>
          <w:pgSz w:w="11900" w:h="16838" w:orient="portrait"/>
          <w:cols w:equalWidth="0" w:num="2">
            <w:col w:w="5220" w:space="720"/>
            <w:col w:w="5300"/>
          </w:cols>
          <w:pgMar w:left="32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Nurix Therapeutics, Inc.</w:t>
      </w:r>
      <w:r>
        <w:rPr>
          <w:sz w:val="20"/>
          <w:szCs w:val="20"/>
          <w:color w:val="auto"/>
        </w:rPr>
        <w:tab/>
      </w:r>
      <w:r>
        <w:rPr>
          <w:rFonts w:ascii="Times New Roman" w:cs="Times New Roman" w:eastAsia="Times New Roman" w:hAnsi="Times New Roman"/>
          <w:sz w:val="19"/>
          <w:szCs w:val="19"/>
          <w:i w:val="1"/>
          <w:iCs w:val="1"/>
          <w:color w:val="auto"/>
        </w:rPr>
        <w:t>Compensation Recovery Policy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1</w:t>
      </w:r>
    </w:p>
    <w:p>
      <w:pPr>
        <w:sectPr>
          <w:pgSz w:w="11900" w:h="16838" w:orient="portrait"/>
          <w:cols w:equalWidth="0" w:num="1">
            <w:col w:w="11240"/>
          </w:cols>
          <w:pgMar w:left="320" w:top="100" w:right="339" w:bottom="1440" w:gutter="0" w:footer="0" w:header="0"/>
          <w:type w:val="continuous"/>
        </w:sectPr>
      </w:pPr>
    </w:p>
    <w:bookmarkStart w:id="272" w:name="page273"/>
    <w:bookmarkEnd w:id="272"/>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171717"/>
        </w:rPr>
        <w:t>Incentive-Based Compensation previously paid;</w:t>
      </w:r>
    </w:p>
    <w:p>
      <w:pPr>
        <w:spacing w:after="0" w:line="216" w:lineRule="exact"/>
        <w:rPr>
          <w:sz w:val="20"/>
          <w:szCs w:val="20"/>
          <w:color w:val="auto"/>
        </w:rPr>
      </w:pPr>
    </w:p>
    <w:p>
      <w:pPr>
        <w:ind w:left="660" w:right="300" w:hanging="328"/>
        <w:spacing w:after="0" w:line="215" w:lineRule="auto"/>
        <w:tabs>
          <w:tab w:leader="none" w:pos="657" w:val="left"/>
        </w:tabs>
        <w:numPr>
          <w:ilvl w:val="0"/>
          <w:numId w:val="158"/>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spacing w:after="0" w:line="177" w:lineRule="exact"/>
        <w:rPr>
          <w:rFonts w:ascii="Times New Roman" w:cs="Times New Roman" w:eastAsia="Times New Roman" w:hAnsi="Times New Roman"/>
          <w:sz w:val="20"/>
          <w:szCs w:val="20"/>
          <w:color w:val="171717"/>
        </w:rPr>
      </w:pPr>
    </w:p>
    <w:p>
      <w:pPr>
        <w:ind w:left="660" w:right="360" w:hanging="328"/>
        <w:spacing w:after="0" w:line="230" w:lineRule="auto"/>
        <w:tabs>
          <w:tab w:leader="none" w:pos="658" w:val="left"/>
        </w:tabs>
        <w:numPr>
          <w:ilvl w:val="0"/>
          <w:numId w:val="158"/>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Seeking recovery of any gain realized on the vesting, exercise, settlement, cash sale, transfer, or other disposition of any equity-based awards; and/or</w:t>
      </w:r>
    </w:p>
    <w:p>
      <w:pPr>
        <w:spacing w:after="0" w:line="175" w:lineRule="exact"/>
        <w:rPr>
          <w:rFonts w:ascii="Times New Roman" w:cs="Times New Roman" w:eastAsia="Times New Roman" w:hAnsi="Times New Roman"/>
          <w:sz w:val="20"/>
          <w:szCs w:val="20"/>
          <w:color w:val="171717"/>
        </w:rPr>
      </w:pPr>
    </w:p>
    <w:p>
      <w:pPr>
        <w:ind w:left="660" w:right="300" w:hanging="328"/>
        <w:spacing w:after="0" w:line="266" w:lineRule="auto"/>
        <w:tabs>
          <w:tab w:leader="none" w:pos="63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171717"/>
        </w:rPr>
        <w:t>Taking any other remedial and recovery action permitted by law, as determined by the Administrator.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ARBITRATION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fullest extent permitted by law, any disputes under this</w:t>
      </w:r>
    </w:p>
    <w:p>
      <w:pPr>
        <w:ind w:right="240"/>
        <w:spacing w:after="0" w:line="215" w:lineRule="auto"/>
        <w:rPr>
          <w:sz w:val="20"/>
          <w:szCs w:val="20"/>
          <w:color w:val="auto"/>
        </w:rPr>
      </w:pPr>
      <w:r>
        <w:rPr>
          <w:rFonts w:ascii="Times New Roman" w:cs="Times New Roman" w:eastAsia="Times New Roman" w:hAnsi="Times New Roman"/>
          <w:sz w:val="19"/>
          <w:szCs w:val="19"/>
          <w:color w:val="1E1E1E"/>
        </w:rPr>
        <w:t>Policy shall be submitted to mandatory binding arbitration (the “</w:t>
      </w:r>
      <w:r>
        <w:rPr>
          <w:rFonts w:ascii="Times New Roman" w:cs="Times New Roman" w:eastAsia="Times New Roman" w:hAnsi="Times New Roman"/>
          <w:sz w:val="19"/>
          <w:szCs w:val="19"/>
          <w:b w:val="1"/>
          <w:bCs w:val="1"/>
          <w:i w:val="1"/>
          <w:iCs w:val="1"/>
          <w:color w:val="1E1E1E"/>
        </w:rPr>
        <w:t>Arbitrable Claims</w:t>
      </w:r>
      <w:r>
        <w:rPr>
          <w:rFonts w:ascii="Times New Roman" w:cs="Times New Roman" w:eastAsia="Times New Roman" w:hAnsi="Times New Roman"/>
          <w:sz w:val="19"/>
          <w:szCs w:val="19"/>
          <w:color w:val="1E1E1E"/>
        </w:rPr>
        <w:t>”), governed by the Federal Arbitration Act</w:t>
      </w:r>
    </w:p>
    <w:p>
      <w:pPr>
        <w:spacing w:after="0" w:line="211" w:lineRule="auto"/>
        <w:rPr>
          <w:sz w:val="20"/>
          <w:szCs w:val="20"/>
          <w:color w:val="auto"/>
        </w:rPr>
      </w:pPr>
      <w:r>
        <w:rPr>
          <w:rFonts w:ascii="Times New Roman" w:cs="Times New Roman" w:eastAsia="Times New Roman" w:hAnsi="Times New Roman"/>
          <w:sz w:val="20"/>
          <w:szCs w:val="20"/>
          <w:color w:val="1E1E1E"/>
        </w:rPr>
        <w:t>(the “</w:t>
      </w:r>
      <w:r>
        <w:rPr>
          <w:rFonts w:ascii="Times New Roman" w:cs="Times New Roman" w:eastAsia="Times New Roman" w:hAnsi="Times New Roman"/>
          <w:sz w:val="20"/>
          <w:szCs w:val="20"/>
          <w:b w:val="1"/>
          <w:bCs w:val="1"/>
          <w:i w:val="1"/>
          <w:iCs w:val="1"/>
          <w:color w:val="1E1E1E"/>
        </w:rPr>
        <w:t>FAA</w:t>
      </w:r>
      <w:r>
        <w:rPr>
          <w:rFonts w:ascii="Times New Roman" w:cs="Times New Roman" w:eastAsia="Times New Roman" w:hAnsi="Times New Roman"/>
          <w:sz w:val="20"/>
          <w:szCs w:val="20"/>
          <w:color w:val="1E1E1E"/>
        </w:rPr>
        <w:t>”). Further, to the fullest extent permitted by law, no</w:t>
      </w:r>
    </w:p>
    <w:p>
      <w:pPr>
        <w:ind w:right="200"/>
        <w:spacing w:after="0" w:line="215" w:lineRule="auto"/>
        <w:rPr>
          <w:sz w:val="20"/>
          <w:szCs w:val="20"/>
          <w:color w:val="auto"/>
        </w:rPr>
      </w:pPr>
      <w:r>
        <w:rPr>
          <w:rFonts w:ascii="Times New Roman" w:cs="Times New Roman" w:eastAsia="Times New Roman" w:hAnsi="Times New Roman"/>
          <w:sz w:val="19"/>
          <w:szCs w:val="19"/>
          <w:color w:val="1E1E1E"/>
        </w:rPr>
        <w:t>class or collective actions can be asserted in arbitration or otherwise. All claims, whether in arbitration or otherwise, must</w:t>
      </w:r>
    </w:p>
    <w:p>
      <w:pPr>
        <w:spacing w:after="0" w:line="211" w:lineRule="auto"/>
        <w:rPr>
          <w:sz w:val="20"/>
          <w:szCs w:val="20"/>
          <w:color w:val="auto"/>
        </w:rPr>
      </w:pPr>
      <w:r>
        <w:rPr>
          <w:rFonts w:ascii="Times New Roman" w:cs="Times New Roman" w:eastAsia="Times New Roman" w:hAnsi="Times New Roman"/>
          <w:sz w:val="20"/>
          <w:szCs w:val="20"/>
          <w:color w:val="1E1E1E"/>
        </w:rPr>
        <w:t>be brought solely in the Covered Person’s individual capacity,</w:t>
      </w:r>
    </w:p>
    <w:p>
      <w:pPr>
        <w:ind w:right="240"/>
        <w:spacing w:after="0" w:line="221" w:lineRule="auto"/>
        <w:rPr>
          <w:sz w:val="20"/>
          <w:szCs w:val="20"/>
          <w:color w:val="auto"/>
        </w:rPr>
      </w:pPr>
      <w:r>
        <w:rPr>
          <w:rFonts w:ascii="Times New Roman" w:cs="Times New Roman" w:eastAsia="Times New Roman" w:hAnsi="Times New Roman"/>
          <w:sz w:val="20"/>
          <w:szCs w:val="20"/>
          <w:color w:val="1E1E1E"/>
        </w:rPr>
        <w:t>and not as a plaintiff or class member in any purported class or collective proceeding.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SUBJECT TO THE ABOVE PROVISO, ANY RIGHTS THAT</w:t>
      </w:r>
    </w:p>
    <w:p>
      <w:pPr>
        <w:spacing w:after="0" w:line="6"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1E1E1E"/>
        </w:rPr>
        <w:t>A COVERED PERSON MAY HAVE TO TRIAL BY JURY IN REGARD TO ARBITRABLE CLAIMS ARE WAIVED. ANY</w:t>
      </w:r>
    </w:p>
    <w:p>
      <w:pPr>
        <w:spacing w:after="0" w:line="211" w:lineRule="auto"/>
        <w:rPr>
          <w:sz w:val="20"/>
          <w:szCs w:val="20"/>
          <w:color w:val="auto"/>
        </w:rPr>
      </w:pPr>
      <w:r>
        <w:rPr>
          <w:rFonts w:ascii="Times New Roman" w:cs="Times New Roman" w:eastAsia="Times New Roman" w:hAnsi="Times New Roman"/>
          <w:sz w:val="20"/>
          <w:szCs w:val="20"/>
          <w:color w:val="1E1E1E"/>
        </w:rPr>
        <w:t>RIGHTS THAT A COVERED PERSON MAY HAVE TO</w:t>
      </w:r>
    </w:p>
    <w:p>
      <w:pPr>
        <w:ind w:right="180"/>
        <w:spacing w:after="0" w:line="215" w:lineRule="auto"/>
        <w:rPr>
          <w:sz w:val="20"/>
          <w:szCs w:val="20"/>
          <w:color w:val="auto"/>
        </w:rPr>
      </w:pPr>
      <w:r>
        <w:rPr>
          <w:rFonts w:ascii="Times New Roman" w:cs="Times New Roman" w:eastAsia="Times New Roman" w:hAnsi="Times New Roman"/>
          <w:sz w:val="19"/>
          <w:szCs w:val="19"/>
          <w:color w:val="1E1E1E"/>
        </w:rPr>
        <w:t>PURSUE OR PARTICIPATE IN A CLASS OR COLLECTIVE ACTION PERTAINING TO ANY CLAIMS BETWEEN A</w:t>
      </w:r>
    </w:p>
    <w:p>
      <w:pPr>
        <w:spacing w:after="0"/>
        <w:rPr>
          <w:sz w:val="20"/>
          <w:szCs w:val="20"/>
          <w:color w:val="auto"/>
        </w:rPr>
      </w:pPr>
      <w:r>
        <w:rPr>
          <w:rFonts w:ascii="Times New Roman" w:cs="Times New Roman" w:eastAsia="Times New Roman" w:hAnsi="Times New Roman"/>
          <w:sz w:val="19"/>
          <w:szCs w:val="19"/>
          <w:color w:val="1E1E1E"/>
        </w:rPr>
        <w:t>COVERED PERSON AND THE COMPANY ARE WAIVED.</w:t>
      </w:r>
    </w:p>
    <w:p>
      <w:pPr>
        <w:spacing w:after="0" w:line="165"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9"/>
          <w:szCs w:val="19"/>
          <w:color w:val="1E1E1E"/>
        </w:rPr>
        <w:t>The Covered Person is not restricted from filing administrative claims that may be brought before any government agency</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1E1E1E"/>
        </w:rPr>
        <w:t>where, as a matter of law, the Covered Person’s ability to file such claims may not be restricted. However, to the fullest extent</w:t>
      </w:r>
    </w:p>
    <w:p>
      <w:pPr>
        <w:spacing w:after="0" w:line="211" w:lineRule="auto"/>
        <w:rPr>
          <w:sz w:val="20"/>
          <w:szCs w:val="20"/>
          <w:color w:val="auto"/>
        </w:rPr>
      </w:pPr>
      <w:r>
        <w:rPr>
          <w:rFonts w:ascii="Times New Roman" w:cs="Times New Roman" w:eastAsia="Times New Roman" w:hAnsi="Times New Roman"/>
          <w:sz w:val="20"/>
          <w:szCs w:val="20"/>
          <w:color w:val="1E1E1E"/>
        </w:rPr>
        <w:t>permitted by law, arbitration shall be the exclusive remedy for</w:t>
      </w:r>
    </w:p>
    <w:p>
      <w:pPr>
        <w:ind w:right="160"/>
        <w:spacing w:after="0" w:line="215" w:lineRule="auto"/>
        <w:rPr>
          <w:sz w:val="20"/>
          <w:szCs w:val="20"/>
          <w:color w:val="auto"/>
        </w:rPr>
      </w:pPr>
      <w:r>
        <w:rPr>
          <w:rFonts w:ascii="Times New Roman" w:cs="Times New Roman" w:eastAsia="Times New Roman" w:hAnsi="Times New Roman"/>
          <w:sz w:val="19"/>
          <w:szCs w:val="19"/>
          <w:color w:val="1E1E1E"/>
        </w:rPr>
        <w:t>the subject matter of such administrative claims. The arbitration shall be conducted in the City and County of San Francisco,</w:t>
      </w:r>
    </w:p>
    <w:p>
      <w:pPr>
        <w:spacing w:after="0"/>
        <w:rPr>
          <w:sz w:val="20"/>
          <w:szCs w:val="20"/>
          <w:color w:val="auto"/>
        </w:rPr>
      </w:pPr>
      <w:r>
        <w:rPr>
          <w:rFonts w:ascii="Times New Roman" w:cs="Times New Roman" w:eastAsia="Times New Roman" w:hAnsi="Times New Roman"/>
          <w:sz w:val="20"/>
          <w:szCs w:val="20"/>
          <w:color w:val="1E1E1E"/>
        </w:rPr>
        <w:t>California, through JAMS before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1E1E1E"/>
        </w:rPr>
        <w:t>single neutral arbitrator, in accordance with the JAMS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Comprehensive Arbitration Rules and Procedures </w:t>
      </w:r>
      <w:r>
        <w:rPr>
          <w:rFonts w:ascii="Times New Roman" w:cs="Times New Roman" w:eastAsia="Times New Roman" w:hAnsi="Times New Roman"/>
          <w:sz w:val="19"/>
          <w:szCs w:val="19"/>
          <w:color w:val="1E1E1E"/>
        </w:rPr>
        <w:t>then in effect,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E1E1E"/>
        </w:rPr>
        <w:t>provided however, that the FAA, including its procedural</w:t>
      </w:r>
    </w:p>
    <w:p>
      <w:pPr>
        <w:spacing w:after="0" w:line="222" w:lineRule="auto"/>
        <w:rPr>
          <w:sz w:val="20"/>
          <w:szCs w:val="20"/>
          <w:color w:val="auto"/>
        </w:rPr>
      </w:pPr>
      <w:r>
        <w:rPr>
          <w:rFonts w:ascii="Times New Roman" w:cs="Times New Roman" w:eastAsia="Times New Roman" w:hAnsi="Times New Roman"/>
          <w:sz w:val="19"/>
          <w:szCs w:val="19"/>
          <w:color w:val="1E1E1E"/>
        </w:rPr>
        <w:t>provisions for compelling arbitration, shall govern and apply to</w:t>
      </w:r>
    </w:p>
    <w:p>
      <w:pPr>
        <w:ind w:right="60"/>
        <w:spacing w:after="0" w:line="215" w:lineRule="auto"/>
        <w:rPr>
          <w:sz w:val="20"/>
          <w:szCs w:val="20"/>
          <w:color w:val="auto"/>
        </w:rPr>
      </w:pPr>
      <w:r>
        <w:rPr>
          <w:rFonts w:ascii="Times New Roman" w:cs="Times New Roman" w:eastAsia="Times New Roman" w:hAnsi="Times New Roman"/>
          <w:sz w:val="19"/>
          <w:szCs w:val="19"/>
          <w:color w:val="1E1E1E"/>
        </w:rPr>
        <w:t>this Arbitration provision. The arbitrator shall issue a written decision that contains the essential findings and conclusions on</w:t>
      </w:r>
    </w:p>
    <w:p>
      <w:pPr>
        <w:spacing w:after="0" w:line="211" w:lineRule="auto"/>
        <w:rPr>
          <w:sz w:val="20"/>
          <w:szCs w:val="20"/>
          <w:color w:val="auto"/>
        </w:rPr>
      </w:pPr>
      <w:r>
        <w:rPr>
          <w:rFonts w:ascii="Times New Roman" w:cs="Times New Roman" w:eastAsia="Times New Roman" w:hAnsi="Times New Roman"/>
          <w:sz w:val="20"/>
          <w:szCs w:val="20"/>
          <w:color w:val="1E1E1E"/>
        </w:rPr>
        <w:t>which the decision is based. If, for any reason, any term of this</w:t>
      </w:r>
    </w:p>
    <w:p>
      <w:pPr>
        <w:ind w:right="100"/>
        <w:spacing w:after="0" w:line="215" w:lineRule="auto"/>
        <w:rPr>
          <w:sz w:val="20"/>
          <w:szCs w:val="20"/>
          <w:color w:val="auto"/>
        </w:rPr>
      </w:pPr>
      <w:r>
        <w:rPr>
          <w:rFonts w:ascii="Times New Roman" w:cs="Times New Roman" w:eastAsia="Times New Roman" w:hAnsi="Times New Roman"/>
          <w:sz w:val="19"/>
          <w:szCs w:val="19"/>
          <w:color w:val="1E1E1E"/>
        </w:rPr>
        <w:t>Arbitration provision is held to be invalid or unenforceable, all other valid terms and conditions herein shall be severable in</w:t>
      </w:r>
    </w:p>
    <w:p>
      <w:pPr>
        <w:spacing w:after="0"/>
        <w:rPr>
          <w:sz w:val="20"/>
          <w:szCs w:val="20"/>
          <w:color w:val="auto"/>
        </w:rPr>
      </w:pPr>
      <w:r>
        <w:rPr>
          <w:rFonts w:ascii="Times New Roman" w:cs="Times New Roman" w:eastAsia="Times New Roman" w:hAnsi="Times New Roman"/>
          <w:sz w:val="20"/>
          <w:szCs w:val="20"/>
          <w:color w:val="1E1E1E"/>
        </w:rPr>
        <w:t>nature and remain fully enforceable.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RECOVERY PROCESS; IMPRACTICABILITY</w:t>
      </w:r>
    </w:p>
    <w:p>
      <w:pPr>
        <w:spacing w:after="0" w:line="71"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20"/>
          <w:szCs w:val="20"/>
          <w:color w:val="1E1E1E"/>
        </w:rPr>
        <w:t>Actions by the Administrator to recover the Recoupment Amount will be reasonably prompt.</w:t>
      </w:r>
    </w:p>
    <w:p>
      <w:pPr>
        <w:spacing w:after="0" w:line="161" w:lineRule="exact"/>
        <w:rPr>
          <w:sz w:val="20"/>
          <w:szCs w:val="20"/>
          <w:color w:val="auto"/>
        </w:rPr>
      </w:pPr>
    </w:p>
    <w:p>
      <w:pPr>
        <w:ind w:right="420"/>
        <w:spacing w:after="0" w:line="227" w:lineRule="auto"/>
        <w:rPr>
          <w:sz w:val="20"/>
          <w:szCs w:val="20"/>
          <w:color w:val="auto"/>
        </w:rPr>
      </w:pPr>
      <w:r>
        <w:rPr>
          <w:rFonts w:ascii="Times New Roman" w:cs="Times New Roman" w:eastAsia="Times New Roman" w:hAnsi="Times New Roman"/>
          <w:sz w:val="19"/>
          <w:szCs w:val="19"/>
          <w:color w:val="1E1E1E"/>
        </w:rPr>
        <w:t>The Administrator must cause the Company to recover the Recoupment Amount unless the Administrator shall have</w:t>
      </w:r>
    </w:p>
    <w:p>
      <w:pPr>
        <w:spacing w:after="0" w:line="228" w:lineRule="auto"/>
        <w:rPr>
          <w:sz w:val="20"/>
          <w:szCs w:val="20"/>
          <w:color w:val="auto"/>
        </w:rPr>
      </w:pPr>
      <w:r>
        <w:rPr>
          <w:rFonts w:ascii="Times New Roman" w:cs="Times New Roman" w:eastAsia="Times New Roman" w:hAnsi="Times New Roman"/>
          <w:sz w:val="20"/>
          <w:szCs w:val="20"/>
          <w:color w:val="1E1E1E"/>
        </w:rPr>
        <w:t>previously determined that recovery is impracticable and one of the following conditions is met:</w:t>
      </w:r>
    </w:p>
    <w:p>
      <w:pPr>
        <w:spacing w:after="0" w:line="149" w:lineRule="exact"/>
        <w:rPr>
          <w:sz w:val="20"/>
          <w:szCs w:val="20"/>
          <w:color w:val="auto"/>
        </w:rPr>
      </w:pPr>
    </w:p>
    <w:p>
      <w:pPr>
        <w:ind w:left="640" w:right="80" w:hanging="320"/>
        <w:spacing w:after="0" w:line="212" w:lineRule="auto"/>
        <w:tabs>
          <w:tab w:leader="none" w:pos="636" w:val="left"/>
        </w:tabs>
        <w:numPr>
          <w:ilvl w:val="0"/>
          <w:numId w:val="15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w:t>
      </w:r>
    </w:p>
    <w:p>
      <w:pPr>
        <w:spacing w:after="0" w:line="196" w:lineRule="exact"/>
        <w:rPr>
          <w:rFonts w:ascii="Times New Roman" w:cs="Times New Roman" w:eastAsia="Times New Roman" w:hAnsi="Times New Roman"/>
          <w:sz w:val="20"/>
          <w:szCs w:val="20"/>
          <w:color w:val="1E1E1E"/>
        </w:rPr>
      </w:pPr>
    </w:p>
    <w:p>
      <w:pPr>
        <w:ind w:left="640" w:right="40" w:hanging="320"/>
        <w:spacing w:after="0" w:line="213" w:lineRule="auto"/>
        <w:tabs>
          <w:tab w:leader="none" w:pos="637" w:val="left"/>
        </w:tabs>
        <w:numPr>
          <w:ilvl w:val="0"/>
          <w:numId w:val="15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w:t>
      </w:r>
    </w:p>
    <w:p>
      <w:pPr>
        <w:spacing w:after="0" w:line="188" w:lineRule="exact"/>
        <w:rPr>
          <w:rFonts w:ascii="Times New Roman" w:cs="Times New Roman" w:eastAsia="Times New Roman" w:hAnsi="Times New Roman"/>
          <w:sz w:val="20"/>
          <w:szCs w:val="20"/>
          <w:color w:val="1E1E1E"/>
        </w:rPr>
      </w:pPr>
    </w:p>
    <w:p>
      <w:pPr>
        <w:ind w:left="640" w:right="720" w:hanging="320"/>
        <w:spacing w:after="0" w:line="233" w:lineRule="auto"/>
        <w:tabs>
          <w:tab w:leader="none" w:pos="638" w:val="left"/>
        </w:tabs>
        <w:numPr>
          <w:ilvl w:val="0"/>
          <w:numId w:val="15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Recovery would likely cause an otherwise tax-qualified retirement</w:t>
      </w:r>
    </w:p>
    <w:p>
      <w:pPr>
        <w:spacing w:after="0" w:line="477" w:lineRule="exact"/>
        <w:rPr>
          <w:sz w:val="20"/>
          <w:szCs w:val="20"/>
          <w:color w:val="auto"/>
        </w:rPr>
      </w:pPr>
    </w:p>
    <w:p>
      <w:pPr>
        <w:sectPr>
          <w:pgSz w:w="11900" w:h="16838" w:orient="portrait"/>
          <w:cols w:equalWidth="0" w:num="2">
            <w:col w:w="5220" w:space="720"/>
            <w:col w:w="5060"/>
          </w:cols>
          <w:pgMar w:left="320" w:top="139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Nurix Therapeutics, Inc.</w:t>
      </w:r>
      <w:r>
        <w:rPr>
          <w:sz w:val="20"/>
          <w:szCs w:val="20"/>
          <w:color w:val="auto"/>
        </w:rPr>
        <w:tab/>
      </w:r>
      <w:r>
        <w:rPr>
          <w:rFonts w:ascii="Times New Roman" w:cs="Times New Roman" w:eastAsia="Times New Roman" w:hAnsi="Times New Roman"/>
          <w:sz w:val="19"/>
          <w:szCs w:val="19"/>
          <w:i w:val="1"/>
          <w:iCs w:val="1"/>
          <w:color w:val="auto"/>
        </w:rPr>
        <w:t>Compensation Recovery Policy</w:t>
      </w:r>
    </w:p>
    <w:p>
      <w:pPr>
        <w:jc w:val="center"/>
        <w:ind w:right="-259"/>
        <w:spacing w:after="0"/>
        <w:rPr>
          <w:sz w:val="20"/>
          <w:szCs w:val="20"/>
          <w:color w:val="auto"/>
        </w:rPr>
      </w:pPr>
      <w:r>
        <w:rPr>
          <w:rFonts w:ascii="Times New Roman" w:cs="Times New Roman" w:eastAsia="Times New Roman" w:hAnsi="Times New Roman"/>
          <w:sz w:val="20"/>
          <w:szCs w:val="20"/>
          <w:i w:val="1"/>
          <w:iCs w:val="1"/>
          <w:color w:val="auto"/>
        </w:rPr>
        <w:t>2</w:t>
      </w:r>
    </w:p>
    <w:p>
      <w:pPr>
        <w:sectPr>
          <w:pgSz w:w="11900" w:h="16838" w:orient="portrait"/>
          <w:cols w:equalWidth="0" w:num="1">
            <w:col w:w="11000"/>
          </w:cols>
          <w:pgMar w:left="320" w:top="1394" w:right="579" w:bottom="1440" w:gutter="0" w:footer="0" w:header="0"/>
          <w:type w:val="continuous"/>
        </w:sectPr>
      </w:pPr>
    </w:p>
    <w:bookmarkStart w:id="273" w:name="page274"/>
    <w:bookmarkEnd w:id="273"/>
    <w:p>
      <w:pPr>
        <w:ind w:left="660"/>
        <w:spacing w:after="0"/>
        <w:rPr>
          <w:sz w:val="20"/>
          <w:szCs w:val="20"/>
          <w:color w:val="auto"/>
        </w:rPr>
      </w:pPr>
      <w:r>
        <w:rPr>
          <w:rFonts w:ascii="Times New Roman" w:cs="Times New Roman" w:eastAsia="Times New Roman" w:hAnsi="Times New Roman"/>
          <w:sz w:val="20"/>
          <w:szCs w:val="20"/>
          <w:color w:val="1E1E1E"/>
        </w:rPr>
        <w:t>plan, under which benefits are broadly available to</w:t>
      </w:r>
    </w:p>
    <w:p>
      <w:pPr>
        <w:ind w:left="660" w:right="520"/>
        <w:spacing w:after="0" w:line="215" w:lineRule="auto"/>
        <w:rPr>
          <w:sz w:val="20"/>
          <w:szCs w:val="20"/>
          <w:color w:val="auto"/>
        </w:rPr>
      </w:pPr>
      <w:r>
        <w:rPr>
          <w:rFonts w:ascii="Times New Roman" w:cs="Times New Roman" w:eastAsia="Times New Roman" w:hAnsi="Times New Roman"/>
          <w:sz w:val="19"/>
          <w:szCs w:val="19"/>
          <w:color w:val="1E1E1E"/>
        </w:rPr>
        <w:t>employees of the Company, to fail to meet the requirements of 26 U.S.C. 401(a)(13) or 26 U.S.C.</w:t>
      </w:r>
    </w:p>
    <w:p>
      <w:pPr>
        <w:ind w:left="660"/>
        <w:spacing w:after="0"/>
        <w:rPr>
          <w:sz w:val="20"/>
          <w:szCs w:val="20"/>
          <w:color w:val="auto"/>
        </w:rPr>
      </w:pPr>
      <w:r>
        <w:rPr>
          <w:rFonts w:ascii="Times New Roman" w:cs="Times New Roman" w:eastAsia="Times New Roman" w:hAnsi="Times New Roman"/>
          <w:sz w:val="20"/>
          <w:szCs w:val="20"/>
          <w:color w:val="1E1E1E"/>
        </w:rPr>
        <w:t>411(a) and regulations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NON-EXCLUSIVITY</w:t>
      </w:r>
    </w:p>
    <w:p>
      <w:pPr>
        <w:spacing w:after="0" w:line="7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9"/>
          <w:szCs w:val="19"/>
          <w:color w:val="171717"/>
        </w:rPr>
        <w:t>The Administrator intends that this Policy will be applied to the fullest extent of the law. Without limitation to any broader or</w:t>
      </w:r>
    </w:p>
    <w:p>
      <w:pPr>
        <w:spacing w:after="0" w:line="1" w:lineRule="exact"/>
        <w:rPr>
          <w:sz w:val="20"/>
          <w:szCs w:val="20"/>
          <w:color w:val="auto"/>
        </w:rPr>
      </w:pPr>
    </w:p>
    <w:p>
      <w:pPr>
        <w:ind w:right="320"/>
        <w:spacing w:after="0" w:line="204" w:lineRule="auto"/>
        <w:rPr>
          <w:sz w:val="20"/>
          <w:szCs w:val="20"/>
          <w:color w:val="auto"/>
        </w:rPr>
      </w:pPr>
      <w:r>
        <w:rPr>
          <w:rFonts w:ascii="Times New Roman" w:cs="Times New Roman" w:eastAsia="Times New Roman" w:hAnsi="Times New Roman"/>
          <w:sz w:val="20"/>
          <w:szCs w:val="20"/>
          <w:color w:val="171717"/>
        </w:rPr>
        <w:t>alternate clawback authorized in any written document with a Covered Person, (i) the Administrator may require that any</w:t>
      </w:r>
    </w:p>
    <w:p>
      <w:pPr>
        <w:spacing w:after="0" w:line="211" w:lineRule="auto"/>
        <w:rPr>
          <w:sz w:val="20"/>
          <w:szCs w:val="20"/>
          <w:color w:val="auto"/>
        </w:rPr>
      </w:pPr>
      <w:r>
        <w:rPr>
          <w:rFonts w:ascii="Times New Roman" w:cs="Times New Roman" w:eastAsia="Times New Roman" w:hAnsi="Times New Roman"/>
          <w:sz w:val="20"/>
          <w:szCs w:val="20"/>
          <w:color w:val="171717"/>
        </w:rPr>
        <w:t>employment agreement, equity award agreement, or similar</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171717"/>
        </w:rPr>
        <w:t>agreement entered into on or after the effective date of this Policy shall, as a condition to the grant of any benefit thereunder,</w:t>
      </w:r>
    </w:p>
    <w:p>
      <w:pPr>
        <w:spacing w:after="0" w:line="211" w:lineRule="auto"/>
        <w:rPr>
          <w:sz w:val="20"/>
          <w:szCs w:val="20"/>
          <w:color w:val="auto"/>
        </w:rPr>
      </w:pPr>
      <w:r>
        <w:rPr>
          <w:rFonts w:ascii="Times New Roman" w:cs="Times New Roman" w:eastAsia="Times New Roman" w:hAnsi="Times New Roman"/>
          <w:sz w:val="20"/>
          <w:szCs w:val="20"/>
          <w:color w:val="171717"/>
        </w:rPr>
        <w:t>require a Covered Person to agree to abide by the terms of this</w:t>
      </w:r>
    </w:p>
    <w:p>
      <w:pPr>
        <w:ind w:right="140"/>
        <w:spacing w:after="0" w:line="215" w:lineRule="auto"/>
        <w:rPr>
          <w:sz w:val="20"/>
          <w:szCs w:val="20"/>
          <w:color w:val="auto"/>
        </w:rPr>
      </w:pPr>
      <w:r>
        <w:rPr>
          <w:rFonts w:ascii="Times New Roman" w:cs="Times New Roman" w:eastAsia="Times New Roman" w:hAnsi="Times New Roman"/>
          <w:sz w:val="19"/>
          <w:szCs w:val="19"/>
          <w:color w:val="171717"/>
        </w:rPr>
        <w:t>Policy, and (ii) this Policy will nonetheless apply to Incentive-Based Compensation as required by the Final Rules, whether or</w:t>
      </w:r>
    </w:p>
    <w:p>
      <w:pPr>
        <w:spacing w:after="0" w:line="211" w:lineRule="auto"/>
        <w:rPr>
          <w:sz w:val="20"/>
          <w:szCs w:val="20"/>
          <w:color w:val="auto"/>
        </w:rPr>
      </w:pPr>
      <w:r>
        <w:rPr>
          <w:rFonts w:ascii="Times New Roman" w:cs="Times New Roman" w:eastAsia="Times New Roman" w:hAnsi="Times New Roman"/>
          <w:sz w:val="20"/>
          <w:szCs w:val="20"/>
          <w:color w:val="171717"/>
        </w:rPr>
        <w:t>not specifically referenced in those arrangements. Any right of</w:t>
      </w:r>
    </w:p>
    <w:p>
      <w:pPr>
        <w:ind w:right="40"/>
        <w:spacing w:after="0" w:line="215" w:lineRule="auto"/>
        <w:rPr>
          <w:sz w:val="20"/>
          <w:szCs w:val="20"/>
          <w:color w:val="auto"/>
        </w:rPr>
      </w:pPr>
      <w:r>
        <w:rPr>
          <w:rFonts w:ascii="Times New Roman" w:cs="Times New Roman" w:eastAsia="Times New Roman" w:hAnsi="Times New Roman"/>
          <w:sz w:val="19"/>
          <w:szCs w:val="19"/>
          <w:color w:val="171717"/>
        </w:rPr>
        <w:t>recoupment under this Policy is in addition to, and not in lieu of, any other remedies or rights of recoupment that may be available</w:t>
      </w:r>
    </w:p>
    <w:p>
      <w:pPr>
        <w:ind w:right="140"/>
        <w:spacing w:after="0" w:line="215" w:lineRule="auto"/>
        <w:rPr>
          <w:sz w:val="20"/>
          <w:szCs w:val="20"/>
          <w:color w:val="auto"/>
        </w:rPr>
      </w:pPr>
      <w:r>
        <w:rPr>
          <w:rFonts w:ascii="Times New Roman" w:cs="Times New Roman" w:eastAsia="Times New Roman" w:hAnsi="Times New Roman"/>
          <w:sz w:val="19"/>
          <w:szCs w:val="19"/>
          <w:color w:val="171717"/>
        </w:rPr>
        <w:t>to the Company pursuant to the terms of any similar policy in any employment agreement, equity award agreement, or similar</w:t>
      </w:r>
    </w:p>
    <w:p>
      <w:pPr>
        <w:spacing w:after="0" w:line="211" w:lineRule="auto"/>
        <w:rPr>
          <w:sz w:val="20"/>
          <w:szCs w:val="20"/>
          <w:color w:val="auto"/>
        </w:rPr>
      </w:pPr>
      <w:r>
        <w:rPr>
          <w:rFonts w:ascii="Times New Roman" w:cs="Times New Roman" w:eastAsia="Times New Roman" w:hAnsi="Times New Roman"/>
          <w:sz w:val="20"/>
          <w:szCs w:val="20"/>
          <w:color w:val="171717"/>
        </w:rPr>
        <w:t>agreement and any other legal remedies or regulations available</w:t>
      </w:r>
    </w:p>
    <w:p>
      <w:pPr>
        <w:ind w:right="160"/>
        <w:spacing w:after="0" w:line="215" w:lineRule="auto"/>
        <w:rPr>
          <w:sz w:val="20"/>
          <w:szCs w:val="20"/>
          <w:color w:val="auto"/>
        </w:rPr>
      </w:pPr>
      <w:r>
        <w:rPr>
          <w:rFonts w:ascii="Times New Roman" w:cs="Times New Roman" w:eastAsia="Times New Roman" w:hAnsi="Times New Roman"/>
          <w:sz w:val="19"/>
          <w:szCs w:val="19"/>
          <w:color w:val="171717"/>
        </w:rPr>
        <w:t>or applicable to the Company (including SOX 304). If recovery is required under both SOX 304 and this Policy, any amounts</w:t>
      </w:r>
    </w:p>
    <w:p>
      <w:pPr>
        <w:spacing w:after="0" w:line="211" w:lineRule="auto"/>
        <w:rPr>
          <w:sz w:val="20"/>
          <w:szCs w:val="20"/>
          <w:color w:val="auto"/>
        </w:rPr>
      </w:pPr>
      <w:r>
        <w:rPr>
          <w:rFonts w:ascii="Times New Roman" w:cs="Times New Roman" w:eastAsia="Times New Roman" w:hAnsi="Times New Roman"/>
          <w:sz w:val="20"/>
          <w:szCs w:val="20"/>
          <w:color w:val="171717"/>
        </w:rPr>
        <w:t>recovered pursuant to SOX 304 may, in the Administrator’s</w:t>
      </w:r>
    </w:p>
    <w:p>
      <w:pPr>
        <w:ind w:right="240"/>
        <w:spacing w:after="0" w:line="221" w:lineRule="auto"/>
        <w:rPr>
          <w:sz w:val="20"/>
          <w:szCs w:val="20"/>
          <w:color w:val="auto"/>
        </w:rPr>
      </w:pPr>
      <w:r>
        <w:rPr>
          <w:rFonts w:ascii="Times New Roman" w:cs="Times New Roman" w:eastAsia="Times New Roman" w:hAnsi="Times New Roman"/>
          <w:sz w:val="20"/>
          <w:szCs w:val="20"/>
          <w:color w:val="171717"/>
        </w:rPr>
        <w:t>discretion, be credited toward the amount recovered under this Policy, or vice versa.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INDEMNIFICATION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Company shall not indemnify any Covered Persons against</w:t>
      </w:r>
    </w:p>
    <w:p>
      <w:pPr>
        <w:ind w:firstLine="8"/>
        <w:spacing w:after="0" w:line="210" w:lineRule="auto"/>
        <w:tabs>
          <w:tab w:leader="none" w:pos="236" w:val="left"/>
        </w:tabs>
        <w:numPr>
          <w:ilvl w:val="0"/>
          <w:numId w:val="16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the loss of erroneously awarded </w:t>
      </w:r>
      <w:r>
        <w:rPr>
          <w:rFonts w:ascii="Times New Roman" w:cs="Times New Roman" w:eastAsia="Times New Roman" w:hAnsi="Times New Roman"/>
          <w:sz w:val="20"/>
          <w:szCs w:val="20"/>
          <w:color w:val="171717"/>
        </w:rPr>
        <w:t>Incentive-Based</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color w:val="171717"/>
        </w:rPr>
        <w:t>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Nurix Therapeutics, Inc.</w:t>
      </w:r>
      <w:r>
        <w:rPr>
          <w:sz w:val="20"/>
          <w:szCs w:val="20"/>
          <w:color w:val="auto"/>
        </w:rPr>
        <w:tab/>
      </w:r>
      <w:r>
        <w:rPr>
          <w:rFonts w:ascii="Times New Roman" w:cs="Times New Roman" w:eastAsia="Times New Roman" w:hAnsi="Times New Roman"/>
          <w:sz w:val="19"/>
          <w:szCs w:val="19"/>
          <w:i w:val="1"/>
          <w:iCs w:val="1"/>
          <w:color w:val="auto"/>
        </w:rPr>
        <w:t>Compensation Recovery Policy</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0"/>
          <w:szCs w:val="20"/>
          <w:color w:val="171717"/>
        </w:rPr>
        <w:t>Further, the Company shall not enter into any agreement that</w:t>
      </w:r>
    </w:p>
    <w:p>
      <w:pPr>
        <w:ind w:left="360"/>
        <w:spacing w:after="0" w:line="215" w:lineRule="auto"/>
        <w:rPr>
          <w:sz w:val="20"/>
          <w:szCs w:val="20"/>
          <w:color w:val="auto"/>
        </w:rPr>
      </w:pPr>
      <w:r>
        <w:rPr>
          <w:rFonts w:ascii="Times New Roman" w:cs="Times New Roman" w:eastAsia="Times New Roman" w:hAnsi="Times New Roman"/>
          <w:sz w:val="19"/>
          <w:szCs w:val="19"/>
          <w:color w:val="171717"/>
        </w:rPr>
        <w:t>exempts any Incentive-Based Compensation from the application of this Policy or that waives the Company’s right to recovery of</w:t>
      </w:r>
    </w:p>
    <w:p>
      <w:pPr>
        <w:ind w:left="360"/>
        <w:spacing w:after="0" w:line="222" w:lineRule="auto"/>
        <w:rPr>
          <w:sz w:val="20"/>
          <w:szCs w:val="20"/>
          <w:color w:val="auto"/>
        </w:rPr>
      </w:pPr>
      <w:r>
        <w:rPr>
          <w:rFonts w:ascii="Times New Roman" w:cs="Times New Roman" w:eastAsia="Times New Roman" w:hAnsi="Times New Roman"/>
          <w:sz w:val="19"/>
          <w:szCs w:val="19"/>
          <w:color w:val="171717"/>
        </w:rPr>
        <w:t>any erroneously awarded Incentive-Based Compensation and this</w:t>
      </w:r>
    </w:p>
    <w:p>
      <w:pPr>
        <w:ind w:left="360" w:right="60"/>
        <w:spacing w:after="0" w:line="221" w:lineRule="auto"/>
        <w:rPr>
          <w:sz w:val="20"/>
          <w:szCs w:val="20"/>
          <w:color w:val="auto"/>
        </w:rPr>
      </w:pPr>
      <w:r>
        <w:rPr>
          <w:rFonts w:ascii="Times New Roman" w:cs="Times New Roman" w:eastAsia="Times New Roman" w:hAnsi="Times New Roman"/>
          <w:sz w:val="20"/>
          <w:szCs w:val="20"/>
          <w:color w:val="171717"/>
        </w:rPr>
        <w:t>Policy shall supersede any such agreement (whether entered into before, on or after the effective date of this Policy).</w:t>
      </w:r>
    </w:p>
    <w:p>
      <w:pPr>
        <w:spacing w:after="0" w:line="158" w:lineRule="exact"/>
        <w:rPr>
          <w:sz w:val="20"/>
          <w:szCs w:val="20"/>
          <w:color w:val="auto"/>
        </w:rPr>
      </w:pPr>
    </w:p>
    <w:p>
      <w:pPr>
        <w:ind w:left="360" w:right="720"/>
        <w:spacing w:after="0" w:line="245" w:lineRule="auto"/>
        <w:rPr>
          <w:sz w:val="20"/>
          <w:szCs w:val="20"/>
          <w:color w:val="auto"/>
        </w:rPr>
      </w:pPr>
      <w:r>
        <w:rPr>
          <w:rFonts w:ascii="Times New Roman" w:cs="Times New Roman" w:eastAsia="Times New Roman" w:hAnsi="Times New Roman"/>
          <w:sz w:val="20"/>
          <w:szCs w:val="20"/>
          <w:b w:val="1"/>
          <w:bCs w:val="1"/>
          <w:color w:val="auto"/>
        </w:rPr>
        <w:t>COVERED PERSON ACKNOWLEDGMENT AND AGREEMENT</w:t>
      </w:r>
    </w:p>
    <w:p>
      <w:pPr>
        <w:spacing w:after="0" w:line="34" w:lineRule="exact"/>
        <w:rPr>
          <w:sz w:val="20"/>
          <w:szCs w:val="20"/>
          <w:color w:val="auto"/>
        </w:rPr>
      </w:pPr>
    </w:p>
    <w:p>
      <w:pPr>
        <w:ind w:left="360" w:right="40"/>
        <w:spacing w:after="0" w:line="225" w:lineRule="auto"/>
        <w:rPr>
          <w:sz w:val="20"/>
          <w:szCs w:val="20"/>
          <w:color w:val="auto"/>
        </w:rPr>
      </w:pPr>
      <w:r>
        <w:rPr>
          <w:rFonts w:ascii="Times New Roman" w:cs="Times New Roman" w:eastAsia="Times New Roman" w:hAnsi="Times New Roman"/>
          <w:sz w:val="19"/>
          <w:szCs w:val="19"/>
          <w:color w:val="171717"/>
        </w:rPr>
        <w:t xml:space="preserve">All Covered Persons subject to this Policy must acknowledge their understanding of, and agreement to comply with, the Policy by executing the certification attached hereto as </w:t>
      </w:r>
      <w:r>
        <w:rPr>
          <w:rFonts w:ascii="Times New Roman" w:cs="Times New Roman" w:eastAsia="Times New Roman" w:hAnsi="Times New Roman"/>
          <w:sz w:val="19"/>
          <w:szCs w:val="19"/>
          <w:u w:val="single" w:color="auto"/>
          <w:color w:val="171717"/>
        </w:rPr>
        <w:t>Exhibit A</w:t>
      </w:r>
      <w:r>
        <w:rPr>
          <w:rFonts w:ascii="Times New Roman" w:cs="Times New Roman" w:eastAsia="Times New Roman" w:hAnsi="Times New Roman"/>
          <w:sz w:val="19"/>
          <w:szCs w:val="19"/>
          <w:color w:val="171717"/>
        </w:rPr>
        <w:t>.</w:t>
      </w:r>
    </w:p>
    <w:p>
      <w:pPr>
        <w:spacing w:after="0" w:line="2" w:lineRule="exact"/>
        <w:rPr>
          <w:sz w:val="20"/>
          <w:szCs w:val="20"/>
          <w:color w:val="auto"/>
        </w:rPr>
      </w:pPr>
    </w:p>
    <w:p>
      <w:pPr>
        <w:ind w:left="360" w:right="540"/>
        <w:spacing w:after="0" w:line="223" w:lineRule="auto"/>
        <w:rPr>
          <w:sz w:val="20"/>
          <w:szCs w:val="20"/>
          <w:color w:val="auto"/>
        </w:rPr>
      </w:pPr>
      <w:r>
        <w:rPr>
          <w:rFonts w:ascii="Times New Roman" w:cs="Times New Roman" w:eastAsia="Times New Roman" w:hAnsi="Times New Roman"/>
          <w:sz w:val="20"/>
          <w:szCs w:val="20"/>
          <w:b w:val="1"/>
          <w:bCs w:val="1"/>
          <w:color w:val="171717"/>
        </w:rPr>
        <w:t>Notwithstanding the foregoing, this Policy will apply to Covered Persons whether or not they execute such certification.</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SUCCESSORS</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171717"/>
        </w:rPr>
        <w:t>This Policy shall be binding and enforceable against all Covered</w:t>
      </w:r>
    </w:p>
    <w:p>
      <w:pPr>
        <w:ind w:left="360" w:right="40"/>
        <w:spacing w:after="0" w:line="215" w:lineRule="auto"/>
        <w:rPr>
          <w:sz w:val="20"/>
          <w:szCs w:val="20"/>
          <w:color w:val="auto"/>
        </w:rPr>
      </w:pPr>
      <w:r>
        <w:rPr>
          <w:rFonts w:ascii="Times New Roman" w:cs="Times New Roman" w:eastAsia="Times New Roman" w:hAnsi="Times New Roman"/>
          <w:sz w:val="19"/>
          <w:szCs w:val="19"/>
          <w:color w:val="171717"/>
        </w:rPr>
        <w:t>Persons and their beneficiaries, heirs, executors, administrators or other legal representatives and shall inure to the benefit of any</w:t>
      </w:r>
    </w:p>
    <w:p>
      <w:pPr>
        <w:ind w:left="360"/>
        <w:spacing w:after="0"/>
        <w:rPr>
          <w:sz w:val="20"/>
          <w:szCs w:val="20"/>
          <w:color w:val="auto"/>
        </w:rPr>
      </w:pPr>
      <w:r>
        <w:rPr>
          <w:rFonts w:ascii="Times New Roman" w:cs="Times New Roman" w:eastAsia="Times New Roman" w:hAnsi="Times New Roman"/>
          <w:sz w:val="20"/>
          <w:szCs w:val="20"/>
          <w:color w:val="171717"/>
        </w:rPr>
        <w:t>successor to the Company.</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INTERPRETATION OF POLICY</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171717"/>
        </w:rPr>
        <w:t>To the extent there is any ambiguity between this Policy and the</w:t>
      </w:r>
    </w:p>
    <w:p>
      <w:pPr>
        <w:ind w:left="360"/>
        <w:spacing w:after="0" w:line="204" w:lineRule="auto"/>
        <w:rPr>
          <w:sz w:val="20"/>
          <w:szCs w:val="20"/>
          <w:color w:val="auto"/>
        </w:rPr>
      </w:pPr>
      <w:r>
        <w:rPr>
          <w:rFonts w:ascii="Times New Roman" w:cs="Times New Roman" w:eastAsia="Times New Roman" w:hAnsi="Times New Roman"/>
          <w:sz w:val="20"/>
          <w:szCs w:val="20"/>
          <w:color w:val="171717"/>
        </w:rPr>
        <w:t>Final Rules, this Policy shall be interpreted so that it complies with the Final Rules. If any provision of this Policy, or the</w:t>
      </w:r>
    </w:p>
    <w:p>
      <w:pPr>
        <w:ind w:left="360"/>
        <w:spacing w:after="0" w:line="211" w:lineRule="auto"/>
        <w:rPr>
          <w:sz w:val="20"/>
          <w:szCs w:val="20"/>
          <w:color w:val="auto"/>
        </w:rPr>
      </w:pPr>
      <w:r>
        <w:rPr>
          <w:rFonts w:ascii="Times New Roman" w:cs="Times New Roman" w:eastAsia="Times New Roman" w:hAnsi="Times New Roman"/>
          <w:sz w:val="20"/>
          <w:szCs w:val="20"/>
          <w:color w:val="171717"/>
        </w:rPr>
        <w:t>application  of  such  provision  to  any  Covered  Person  or</w:t>
      </w:r>
    </w:p>
    <w:p>
      <w:pPr>
        <w:spacing w:after="0" w:line="1" w:lineRule="exact"/>
        <w:rPr>
          <w:sz w:val="20"/>
          <w:szCs w:val="20"/>
          <w:color w:val="auto"/>
        </w:rPr>
      </w:pPr>
    </w:p>
    <w:p>
      <w:pPr>
        <w:ind w:left="360"/>
        <w:spacing w:after="0" w:line="204" w:lineRule="auto"/>
        <w:rPr>
          <w:sz w:val="20"/>
          <w:szCs w:val="20"/>
          <w:color w:val="auto"/>
        </w:rPr>
      </w:pPr>
      <w:r>
        <w:rPr>
          <w:rFonts w:ascii="Times New Roman" w:cs="Times New Roman" w:eastAsia="Times New Roman" w:hAnsi="Times New Roman"/>
          <w:sz w:val="20"/>
          <w:szCs w:val="20"/>
          <w:color w:val="171717"/>
        </w:rPr>
        <w:t>circumstance, shall be held invalid, the remainder of this Policy, or the application of such provision to Covered Persons or</w:t>
      </w:r>
    </w:p>
    <w:p>
      <w:pPr>
        <w:spacing w:after="0" w:line="1" w:lineRule="exact"/>
        <w:rPr>
          <w:sz w:val="20"/>
          <w:szCs w:val="20"/>
          <w:color w:val="auto"/>
        </w:rPr>
      </w:pPr>
    </w:p>
    <w:p>
      <w:pPr>
        <w:ind w:left="360"/>
        <w:spacing w:after="0" w:line="228" w:lineRule="auto"/>
        <w:rPr>
          <w:sz w:val="20"/>
          <w:szCs w:val="20"/>
          <w:color w:val="auto"/>
        </w:rPr>
      </w:pPr>
      <w:r>
        <w:rPr>
          <w:rFonts w:ascii="Times New Roman" w:cs="Times New Roman" w:eastAsia="Times New Roman" w:hAnsi="Times New Roman"/>
          <w:sz w:val="20"/>
          <w:szCs w:val="20"/>
          <w:color w:val="171717"/>
        </w:rPr>
        <w:t>circumstances other than those as to which it is held invalid, shall not be affected thereby.</w:t>
      </w:r>
    </w:p>
    <w:p>
      <w:pPr>
        <w:spacing w:after="0" w:line="149" w:lineRule="exact"/>
        <w:rPr>
          <w:sz w:val="20"/>
          <w:szCs w:val="20"/>
          <w:color w:val="auto"/>
        </w:rPr>
      </w:pPr>
    </w:p>
    <w:p>
      <w:pPr>
        <w:ind w:left="360"/>
        <w:spacing w:after="0" w:line="222" w:lineRule="auto"/>
        <w:rPr>
          <w:sz w:val="20"/>
          <w:szCs w:val="20"/>
          <w:color w:val="auto"/>
        </w:rPr>
      </w:pPr>
      <w:r>
        <w:rPr>
          <w:rFonts w:ascii="Times New Roman" w:cs="Times New Roman" w:eastAsia="Times New Roman" w:hAnsi="Times New Roman"/>
          <w:sz w:val="20"/>
          <w:szCs w:val="20"/>
          <w:color w:val="171717"/>
        </w:rPr>
        <w:t>In the event any provision of this Policy is inconsistent with any requirement of any Final Rules, the Administrator, in its sole</w:t>
      </w:r>
    </w:p>
    <w:p>
      <w:pPr>
        <w:spacing w:after="0" w:line="2" w:lineRule="exact"/>
        <w:rPr>
          <w:sz w:val="20"/>
          <w:szCs w:val="20"/>
          <w:color w:val="auto"/>
        </w:rPr>
      </w:pPr>
    </w:p>
    <w:p>
      <w:pPr>
        <w:ind w:left="360"/>
        <w:spacing w:after="0" w:line="221" w:lineRule="auto"/>
        <w:rPr>
          <w:sz w:val="20"/>
          <w:szCs w:val="20"/>
          <w:color w:val="auto"/>
        </w:rPr>
      </w:pPr>
      <w:r>
        <w:rPr>
          <w:rFonts w:ascii="Times New Roman" w:cs="Times New Roman" w:eastAsia="Times New Roman" w:hAnsi="Times New Roman"/>
          <w:sz w:val="20"/>
          <w:szCs w:val="20"/>
          <w:color w:val="171717"/>
        </w:rPr>
        <w:t>discretion, shall amend and administer this Policy and bring it into compliance with such rules.</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1E1E1E"/>
        </w:rPr>
        <w:t>Any determination under this Policy by the Administrator shall</w:t>
      </w:r>
    </w:p>
    <w:p>
      <w:pPr>
        <w:ind w:left="360" w:right="240"/>
        <w:spacing w:after="0" w:line="215" w:lineRule="auto"/>
        <w:rPr>
          <w:sz w:val="20"/>
          <w:szCs w:val="20"/>
          <w:color w:val="auto"/>
        </w:rPr>
      </w:pPr>
      <w:r>
        <w:rPr>
          <w:rFonts w:ascii="Times New Roman" w:cs="Times New Roman" w:eastAsia="Times New Roman" w:hAnsi="Times New Roman"/>
          <w:sz w:val="19"/>
          <w:szCs w:val="19"/>
          <w:color w:val="1E1E1E"/>
        </w:rPr>
        <w:t>be conclusive and binding on the applicable Covered Person. Determinations of the Administrator need not be uniform with</w:t>
      </w:r>
    </w:p>
    <w:p>
      <w:pPr>
        <w:ind w:left="360" w:right="440"/>
        <w:spacing w:after="0" w:line="228" w:lineRule="auto"/>
        <w:rPr>
          <w:sz w:val="20"/>
          <w:szCs w:val="20"/>
          <w:color w:val="auto"/>
        </w:rPr>
      </w:pPr>
      <w:r>
        <w:rPr>
          <w:rFonts w:ascii="Times New Roman" w:cs="Times New Roman" w:eastAsia="Times New Roman" w:hAnsi="Times New Roman"/>
          <w:sz w:val="20"/>
          <w:szCs w:val="20"/>
          <w:color w:val="1E1E1E"/>
        </w:rPr>
        <w:t>respect to Covered Persons or from one payment or grant to another.</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AMENDMENTS; TERMINATION</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1E1E1E"/>
        </w:rPr>
        <w:t>The Administrator may make any amendments to this Policy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3</w:t>
      </w:r>
    </w:p>
    <w:p>
      <w:pPr>
        <w:sectPr>
          <w:pgSz w:w="11900" w:h="16838" w:orient="portrait"/>
          <w:cols w:equalWidth="0" w:num="2">
            <w:col w:w="5200" w:space="380"/>
            <w:col w:w="5540"/>
          </w:cols>
          <w:pgMar w:left="320" w:top="1394" w:right="459" w:bottom="1440" w:gutter="0" w:footer="0" w:header="0"/>
        </w:sectPr>
      </w:pPr>
    </w:p>
    <w:bookmarkStart w:id="274" w:name="page275"/>
    <w:bookmarkEnd w:id="274"/>
    <w:p>
      <w:pPr>
        <w:ind w:right="40"/>
        <w:spacing w:after="0"/>
        <w:rPr>
          <w:sz w:val="20"/>
          <w:szCs w:val="20"/>
          <w:color w:val="auto"/>
        </w:rPr>
      </w:pPr>
      <w:r>
        <w:rPr>
          <w:rFonts w:ascii="Times New Roman" w:cs="Times New Roman" w:eastAsia="Times New Roman" w:hAnsi="Times New Roman"/>
          <w:sz w:val="20"/>
          <w:szCs w:val="20"/>
          <w:color w:val="1E1E1E"/>
        </w:rPr>
        <w:t>rules and regulations, or as otherwise determined by the Administrator in its sole discretion.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Administrator may terminate this Policy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b w:val="1"/>
          <w:bCs w:val="1"/>
          <w:i w:val="1"/>
          <w:iCs w:val="1"/>
          <w:color w:val="171717"/>
        </w:rPr>
        <w:t>Clawback Measurement Date</w:t>
      </w:r>
      <w:r>
        <w:rPr>
          <w:rFonts w:ascii="Times New Roman" w:cs="Times New Roman" w:eastAsia="Times New Roman" w:hAnsi="Times New Roman"/>
          <w:sz w:val="20"/>
          <w:szCs w:val="20"/>
          <w:color w:val="171717"/>
        </w:rPr>
        <w:t>” is the earlier to occur of:</w:t>
      </w:r>
    </w:p>
    <w:p>
      <w:pPr>
        <w:spacing w:after="0" w:line="179" w:lineRule="exact"/>
        <w:rPr>
          <w:sz w:val="20"/>
          <w:szCs w:val="20"/>
          <w:color w:val="auto"/>
        </w:rPr>
      </w:pPr>
    </w:p>
    <w:p>
      <w:pPr>
        <w:ind w:left="660" w:right="80" w:hanging="328"/>
        <w:spacing w:after="0" w:line="218" w:lineRule="auto"/>
        <w:tabs>
          <w:tab w:leader="none" w:pos="656" w:val="left"/>
        </w:tabs>
        <w:numPr>
          <w:ilvl w:val="0"/>
          <w:numId w:val="161"/>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spacing w:after="0" w:line="177" w:lineRule="exact"/>
        <w:rPr>
          <w:rFonts w:ascii="Times New Roman" w:cs="Times New Roman" w:eastAsia="Times New Roman" w:hAnsi="Times New Roman"/>
          <w:sz w:val="20"/>
          <w:szCs w:val="20"/>
          <w:color w:val="171717"/>
        </w:rPr>
      </w:pPr>
    </w:p>
    <w:p>
      <w:pPr>
        <w:ind w:left="660" w:right="280" w:hanging="328"/>
        <w:spacing w:after="0" w:line="230" w:lineRule="auto"/>
        <w:tabs>
          <w:tab w:leader="none" w:pos="657" w:val="left"/>
        </w:tabs>
        <w:numPr>
          <w:ilvl w:val="0"/>
          <w:numId w:val="161"/>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The date a court, regulator, or other legally authorized body directs the Company to prepare an accounting restatement as described in this Policy.</w:t>
      </w:r>
    </w:p>
    <w:p>
      <w:pPr>
        <w:spacing w:after="0" w:line="14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9"/>
          <w:szCs w:val="19"/>
          <w:color w:val="171717"/>
        </w:rPr>
        <w:t>“</w:t>
      </w:r>
      <w:r>
        <w:rPr>
          <w:rFonts w:ascii="Times New Roman" w:cs="Times New Roman" w:eastAsia="Times New Roman" w:hAnsi="Times New Roman"/>
          <w:sz w:val="19"/>
          <w:szCs w:val="19"/>
          <w:b w:val="1"/>
          <w:bCs w:val="1"/>
          <w:i w:val="1"/>
          <w:iCs w:val="1"/>
          <w:color w:val="171717"/>
        </w:rPr>
        <w:t>Clawback Period</w:t>
      </w:r>
      <w:r>
        <w:rPr>
          <w:rFonts w:ascii="Times New Roman" w:cs="Times New Roman" w:eastAsia="Times New Roman" w:hAnsi="Times New Roman"/>
          <w:sz w:val="19"/>
          <w:szCs w:val="19"/>
          <w:color w:val="171717"/>
        </w:rPr>
        <w:t>” means the three (3) completed fiscal years immediately prior to the Clawback Measurement Date and any</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171717"/>
        </w:rPr>
        <w:t>transition period between the last day of the Company’s previous fiscal year end and the first day of its new fiscal year (that results</w:t>
      </w:r>
    </w:p>
    <w:p>
      <w:pPr>
        <w:ind w:right="160"/>
        <w:spacing w:after="0" w:line="215" w:lineRule="auto"/>
        <w:rPr>
          <w:sz w:val="20"/>
          <w:szCs w:val="20"/>
          <w:color w:val="auto"/>
        </w:rPr>
      </w:pPr>
      <w:r>
        <w:rPr>
          <w:rFonts w:ascii="Times New Roman" w:cs="Times New Roman" w:eastAsia="Times New Roman" w:hAnsi="Times New Roman"/>
          <w:sz w:val="19"/>
          <w:szCs w:val="19"/>
          <w:color w:val="171717"/>
        </w:rPr>
        <w:t>from a change in the Company’s fiscal year) within or immediately following such three (3)-year period; provided that</w:t>
      </w:r>
    </w:p>
    <w:p>
      <w:pPr>
        <w:spacing w:after="0" w:line="211" w:lineRule="auto"/>
        <w:rPr>
          <w:sz w:val="20"/>
          <w:szCs w:val="20"/>
          <w:color w:val="auto"/>
        </w:rPr>
      </w:pPr>
      <w:r>
        <w:rPr>
          <w:rFonts w:ascii="Times New Roman" w:cs="Times New Roman" w:eastAsia="Times New Roman" w:hAnsi="Times New Roman"/>
          <w:sz w:val="20"/>
          <w:szCs w:val="20"/>
          <w:color w:val="171717"/>
        </w:rPr>
        <w:t>any transition period between the last day of the Company’s</w:t>
      </w:r>
    </w:p>
    <w:p>
      <w:pPr>
        <w:ind w:right="300"/>
        <w:spacing w:after="0" w:line="215" w:lineRule="auto"/>
        <w:rPr>
          <w:sz w:val="20"/>
          <w:szCs w:val="20"/>
          <w:color w:val="auto"/>
        </w:rPr>
      </w:pPr>
      <w:r>
        <w:rPr>
          <w:rFonts w:ascii="Times New Roman" w:cs="Times New Roman" w:eastAsia="Times New Roman" w:hAnsi="Times New Roman"/>
          <w:sz w:val="19"/>
          <w:szCs w:val="19"/>
          <w:color w:val="171717"/>
        </w:rPr>
        <w:t>previous fiscal year end and the first day of its new fiscal year that comprises a period of 9 to 12 months will be deemed a</w:t>
      </w:r>
    </w:p>
    <w:p>
      <w:pPr>
        <w:spacing w:after="0"/>
        <w:rPr>
          <w:sz w:val="20"/>
          <w:szCs w:val="20"/>
          <w:color w:val="auto"/>
        </w:rPr>
      </w:pPr>
      <w:r>
        <w:rPr>
          <w:rFonts w:ascii="Times New Roman" w:cs="Times New Roman" w:eastAsia="Times New Roman" w:hAnsi="Times New Roman"/>
          <w:sz w:val="20"/>
          <w:szCs w:val="20"/>
          <w:color w:val="171717"/>
        </w:rPr>
        <w:t>completed fiscal year.</w:t>
      </w:r>
    </w:p>
    <w:p>
      <w:pPr>
        <w:spacing w:after="0" w:line="163"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1E1E1E"/>
        </w:rPr>
        <w:t>“</w:t>
      </w:r>
      <w:r>
        <w:rPr>
          <w:rFonts w:ascii="Times New Roman" w:cs="Times New Roman" w:eastAsia="Times New Roman" w:hAnsi="Times New Roman"/>
          <w:sz w:val="19"/>
          <w:szCs w:val="19"/>
          <w:b w:val="1"/>
          <w:bCs w:val="1"/>
          <w:i w:val="1"/>
          <w:iCs w:val="1"/>
          <w:color w:val="1E1E1E"/>
        </w:rPr>
        <w:t>Covered Person</w:t>
      </w:r>
      <w:r>
        <w:rPr>
          <w:rFonts w:ascii="Times New Roman" w:cs="Times New Roman" w:eastAsia="Times New Roman" w:hAnsi="Times New Roman"/>
          <w:sz w:val="19"/>
          <w:szCs w:val="19"/>
          <w:color w:val="1E1E1E"/>
        </w:rPr>
        <w:t xml:space="preserve">” means any Executive Officer (as defined in the Final Rules), including, but not limited to, </w:t>
      </w:r>
      <w:r>
        <w:rPr>
          <w:rFonts w:ascii="Times New Roman" w:cs="Times New Roman" w:eastAsia="Times New Roman" w:hAnsi="Times New Roman"/>
          <w:sz w:val="19"/>
          <w:szCs w:val="19"/>
          <w:color w:val="000000"/>
        </w:rPr>
        <w:t>those persons who</w:t>
      </w:r>
    </w:p>
    <w:p>
      <w:pPr>
        <w:spacing w:after="0" w:line="211" w:lineRule="auto"/>
        <w:rPr>
          <w:sz w:val="20"/>
          <w:szCs w:val="20"/>
          <w:color w:val="auto"/>
        </w:rPr>
      </w:pPr>
      <w:r>
        <w:rPr>
          <w:rFonts w:ascii="Times New Roman" w:cs="Times New Roman" w:eastAsia="Times New Roman" w:hAnsi="Times New Roman"/>
          <w:sz w:val="20"/>
          <w:szCs w:val="20"/>
          <w:color w:val="auto"/>
        </w:rPr>
        <w:t>are or have been determined to be “officers” of the Company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within the meaning of Section 16 of Rule 16a-1(f) of the rules promulgated under the Exchange Act, and “executive officers” of</w:t>
      </w:r>
    </w:p>
    <w:p>
      <w:pPr>
        <w:spacing w:after="0" w:line="211" w:lineRule="auto"/>
        <w:rPr>
          <w:sz w:val="20"/>
          <w:szCs w:val="20"/>
          <w:color w:val="auto"/>
        </w:rPr>
      </w:pPr>
      <w:r>
        <w:rPr>
          <w:rFonts w:ascii="Times New Roman" w:cs="Times New Roman" w:eastAsia="Times New Roman" w:hAnsi="Times New Roman"/>
          <w:sz w:val="20"/>
          <w:szCs w:val="20"/>
          <w:color w:val="auto"/>
        </w:rPr>
        <w:t>the Company within the meaning of Item 401(b) of</w:t>
      </w:r>
    </w:p>
    <w:p>
      <w:pPr>
        <w:ind w:right="40"/>
        <w:spacing w:after="0" w:line="215" w:lineRule="auto"/>
        <w:rPr>
          <w:sz w:val="20"/>
          <w:szCs w:val="20"/>
          <w:color w:val="auto"/>
        </w:rPr>
      </w:pPr>
      <w:r>
        <w:rPr>
          <w:rFonts w:ascii="Times New Roman" w:cs="Times New Roman" w:eastAsia="Times New Roman" w:hAnsi="Times New Roman"/>
          <w:sz w:val="19"/>
          <w:szCs w:val="19"/>
          <w:color w:val="auto"/>
        </w:rPr>
        <w:t>Regulation S-K, Rule 3b-7 promulgated under the Exchange Act, and Rule 405 promulgated under the Securities Act of 1933, as</w:t>
      </w:r>
    </w:p>
    <w:p>
      <w:pPr>
        <w:spacing w:after="0" w:line="211" w:lineRule="auto"/>
        <w:rPr>
          <w:sz w:val="20"/>
          <w:szCs w:val="20"/>
          <w:color w:val="auto"/>
        </w:rPr>
      </w:pPr>
      <w:r>
        <w:rPr>
          <w:rFonts w:ascii="Times New Roman" w:cs="Times New Roman" w:eastAsia="Times New Roman" w:hAnsi="Times New Roman"/>
          <w:sz w:val="20"/>
          <w:szCs w:val="20"/>
          <w:color w:val="auto"/>
        </w:rPr>
        <w:t>amended</w:t>
      </w:r>
      <w:r>
        <w:rPr>
          <w:rFonts w:ascii="Times New Roman" w:cs="Times New Roman" w:eastAsia="Times New Roman" w:hAnsi="Times New Roman"/>
          <w:sz w:val="20"/>
          <w:szCs w:val="20"/>
          <w:color w:val="1E1E1E"/>
        </w:rPr>
        <w:t>; provided that the Administrator may identify</w:t>
      </w:r>
    </w:p>
    <w:p>
      <w:pPr>
        <w:ind w:right="280"/>
        <w:spacing w:after="0" w:line="215" w:lineRule="auto"/>
        <w:rPr>
          <w:sz w:val="20"/>
          <w:szCs w:val="20"/>
          <w:color w:val="auto"/>
        </w:rPr>
      </w:pPr>
      <w:r>
        <w:rPr>
          <w:rFonts w:ascii="Times New Roman" w:cs="Times New Roman" w:eastAsia="Times New Roman" w:hAnsi="Times New Roman"/>
          <w:sz w:val="19"/>
          <w:szCs w:val="19"/>
          <w:color w:val="1E1E1E"/>
        </w:rPr>
        <w:t>additional employees who shall be treated as Covered Persons for the purposes of this Policy with prospective effect, in</w:t>
      </w:r>
    </w:p>
    <w:p>
      <w:pPr>
        <w:spacing w:after="0"/>
        <w:rPr>
          <w:sz w:val="20"/>
          <w:szCs w:val="20"/>
          <w:color w:val="auto"/>
        </w:rPr>
      </w:pPr>
      <w:r>
        <w:rPr>
          <w:rFonts w:ascii="Times New Roman" w:cs="Times New Roman" w:eastAsia="Times New Roman" w:hAnsi="Times New Roman"/>
          <w:sz w:val="20"/>
          <w:szCs w:val="20"/>
          <w:color w:val="1E1E1E"/>
        </w:rPr>
        <w:t>accordance with the Final Rules</w:t>
      </w:r>
      <w:r>
        <w:rPr>
          <w:rFonts w:ascii="Times New Roman" w:cs="Times New Roman" w:eastAsia="Times New Roman" w:hAnsi="Times New Roman"/>
          <w:sz w:val="20"/>
          <w:szCs w:val="20"/>
          <w:color w:val="000000"/>
        </w:rPr>
        <w:t>.</w:t>
      </w:r>
    </w:p>
    <w:p>
      <w:pPr>
        <w:spacing w:after="0" w:line="163" w:lineRule="exact"/>
        <w:rPr>
          <w:sz w:val="20"/>
          <w:szCs w:val="20"/>
          <w:color w:val="auto"/>
        </w:rPr>
      </w:pPr>
    </w:p>
    <w:p>
      <w:pPr>
        <w:ind w:right="500"/>
        <w:spacing w:after="0" w:line="235" w:lineRule="auto"/>
        <w:rPr>
          <w:sz w:val="20"/>
          <w:szCs w:val="20"/>
          <w:color w:val="auto"/>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b w:val="1"/>
          <w:bCs w:val="1"/>
          <w:i w:val="1"/>
          <w:iCs w:val="1"/>
          <w:color w:val="1E1E1E"/>
        </w:rPr>
        <w:t>Exchange</w:t>
      </w:r>
      <w:r>
        <w:rPr>
          <w:rFonts w:ascii="Times New Roman" w:cs="Times New Roman" w:eastAsia="Times New Roman" w:hAnsi="Times New Roman"/>
          <w:sz w:val="20"/>
          <w:szCs w:val="20"/>
          <w:color w:val="1E1E1E"/>
        </w:rPr>
        <w:t>” means the Nasdaq Global Market or any other national securities exchange or</w:t>
      </w:r>
    </w:p>
    <w:p>
      <w:pPr>
        <w:spacing w:after="0" w:line="20" w:lineRule="exact"/>
        <w:rPr>
          <w:sz w:val="20"/>
          <w:szCs w:val="20"/>
          <w:color w:val="auto"/>
        </w:rPr>
      </w:pPr>
      <w:r>
        <w:rPr>
          <w:sz w:val="20"/>
          <w:szCs w:val="20"/>
          <w:color w:val="auto"/>
        </w:rPr>
        <w:br w:type="column"/>
      </w:r>
    </w:p>
    <w:p>
      <w:pPr>
        <w:ind w:right="120"/>
        <w:spacing w:after="0"/>
        <w:rPr>
          <w:sz w:val="20"/>
          <w:szCs w:val="20"/>
          <w:color w:val="auto"/>
        </w:rPr>
      </w:pPr>
      <w:r>
        <w:rPr>
          <w:rFonts w:ascii="Times New Roman" w:cs="Times New Roman" w:eastAsia="Times New Roman" w:hAnsi="Times New Roman"/>
          <w:sz w:val="20"/>
          <w:szCs w:val="20"/>
          <w:color w:val="1E1E1E"/>
        </w:rPr>
        <w:t>national securities association in the United States on which the Company has listed its securities for trading.</w:t>
      </w:r>
    </w:p>
    <w:p>
      <w:pPr>
        <w:spacing w:after="0" w:line="14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b w:val="1"/>
          <w:bCs w:val="1"/>
          <w:i w:val="1"/>
          <w:iCs w:val="1"/>
          <w:color w:val="1E1E1E"/>
        </w:rPr>
        <w:t>Exchange Act</w:t>
      </w:r>
      <w:r>
        <w:rPr>
          <w:rFonts w:ascii="Times New Roman" w:cs="Times New Roman" w:eastAsia="Times New Roman" w:hAnsi="Times New Roman"/>
          <w:sz w:val="20"/>
          <w:szCs w:val="20"/>
          <w:color w:val="1E1E1E"/>
        </w:rPr>
        <w:t>” means the Securities Exchange Act of 1934, as amended.</w:t>
      </w:r>
    </w:p>
    <w:p>
      <w:pPr>
        <w:spacing w:after="0" w:line="151"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19"/>
          <w:szCs w:val="19"/>
          <w:color w:val="1E1E1E"/>
        </w:rPr>
        <w:t>“</w:t>
      </w:r>
      <w:r>
        <w:rPr>
          <w:rFonts w:ascii="Times New Roman" w:cs="Times New Roman" w:eastAsia="Times New Roman" w:hAnsi="Times New Roman"/>
          <w:sz w:val="19"/>
          <w:szCs w:val="19"/>
          <w:b w:val="1"/>
          <w:bCs w:val="1"/>
          <w:i w:val="1"/>
          <w:iCs w:val="1"/>
          <w:color w:val="1E1E1E"/>
        </w:rPr>
        <w:t>Final Rules</w:t>
      </w:r>
      <w:r>
        <w:rPr>
          <w:rFonts w:ascii="Times New Roman" w:cs="Times New Roman" w:eastAsia="Times New Roman" w:hAnsi="Times New Roman"/>
          <w:sz w:val="19"/>
          <w:szCs w:val="19"/>
          <w:color w:val="1E1E1E"/>
        </w:rPr>
        <w:t>” means the final rules promulgated by the SEC under Section 954 of the Dodd-Frank Act, Rule 10D-1 and</w:t>
      </w:r>
    </w:p>
    <w:p>
      <w:pPr>
        <w:spacing w:after="0" w:line="1" w:lineRule="exact"/>
        <w:rPr>
          <w:sz w:val="20"/>
          <w:szCs w:val="20"/>
          <w:color w:val="auto"/>
        </w:rPr>
      </w:pPr>
    </w:p>
    <w:p>
      <w:pPr>
        <w:ind w:right="360"/>
        <w:spacing w:after="0" w:line="228" w:lineRule="auto"/>
        <w:rPr>
          <w:sz w:val="20"/>
          <w:szCs w:val="20"/>
          <w:color w:val="auto"/>
        </w:rPr>
      </w:pPr>
      <w:r>
        <w:rPr>
          <w:rFonts w:ascii="Times New Roman" w:cs="Times New Roman" w:eastAsia="Times New Roman" w:hAnsi="Times New Roman"/>
          <w:sz w:val="20"/>
          <w:szCs w:val="20"/>
          <w:color w:val="171717"/>
        </w:rPr>
        <w:t>Exchange listing standards, as may be amended from time to time</w:t>
      </w:r>
      <w:r>
        <w:rPr>
          <w:rFonts w:ascii="Times New Roman" w:cs="Times New Roman" w:eastAsia="Times New Roman" w:hAnsi="Times New Roman"/>
          <w:sz w:val="20"/>
          <w:szCs w:val="20"/>
          <w:color w:val="1E1E1E"/>
        </w:rPr>
        <w:t>.</w:t>
      </w:r>
    </w:p>
    <w:p>
      <w:pPr>
        <w:spacing w:after="0" w:line="145"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19"/>
          <w:szCs w:val="19"/>
          <w:color w:val="171717"/>
        </w:rPr>
        <w:t>“</w:t>
      </w:r>
      <w:r>
        <w:rPr>
          <w:rFonts w:ascii="Times New Roman" w:cs="Times New Roman" w:eastAsia="Times New Roman" w:hAnsi="Times New Roman"/>
          <w:sz w:val="19"/>
          <w:szCs w:val="19"/>
          <w:b w:val="1"/>
          <w:bCs w:val="1"/>
          <w:i w:val="1"/>
          <w:iCs w:val="1"/>
          <w:color w:val="171717"/>
        </w:rPr>
        <w:t>Financial Reporting Measure</w:t>
      </w:r>
      <w:r>
        <w:rPr>
          <w:rFonts w:ascii="Times New Roman" w:cs="Times New Roman" w:eastAsia="Times New Roman" w:hAnsi="Times New Roman"/>
          <w:sz w:val="19"/>
          <w:szCs w:val="19"/>
          <w:color w:val="171717"/>
        </w:rPr>
        <w:t>” are measures that are determined and presented in accordance with the accounting</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171717"/>
        </w:rPr>
        <w:t>principles used in preparing the Company’s financial statements, and any measures that are derived wholly or in part from such</w:t>
      </w:r>
    </w:p>
    <w:p>
      <w:pPr>
        <w:spacing w:after="0" w:line="211" w:lineRule="auto"/>
        <w:rPr>
          <w:sz w:val="20"/>
          <w:szCs w:val="20"/>
          <w:color w:val="auto"/>
        </w:rPr>
      </w:pPr>
      <w:r>
        <w:rPr>
          <w:rFonts w:ascii="Times New Roman" w:cs="Times New Roman" w:eastAsia="Times New Roman" w:hAnsi="Times New Roman"/>
          <w:sz w:val="20"/>
          <w:szCs w:val="20"/>
          <w:color w:val="171717"/>
        </w:rPr>
        <w:t>measures. Stock price and TSR are also financial reporting</w:t>
      </w:r>
    </w:p>
    <w:p>
      <w:pPr>
        <w:ind w:right="200"/>
        <w:spacing w:after="0" w:line="215" w:lineRule="auto"/>
        <w:rPr>
          <w:sz w:val="20"/>
          <w:szCs w:val="20"/>
          <w:color w:val="auto"/>
        </w:rPr>
      </w:pPr>
      <w:r>
        <w:rPr>
          <w:rFonts w:ascii="Times New Roman" w:cs="Times New Roman" w:eastAsia="Times New Roman" w:hAnsi="Times New Roman"/>
          <w:sz w:val="19"/>
          <w:szCs w:val="19"/>
          <w:color w:val="171717"/>
        </w:rPr>
        <w:t>measures. A financial reporting measure need not be presented within the financial statements or included in a filing with the</w:t>
      </w:r>
    </w:p>
    <w:p>
      <w:pPr>
        <w:spacing w:after="0"/>
        <w:rPr>
          <w:sz w:val="20"/>
          <w:szCs w:val="20"/>
          <w:color w:val="auto"/>
        </w:rPr>
      </w:pPr>
      <w:r>
        <w:rPr>
          <w:rFonts w:ascii="Times New Roman" w:cs="Times New Roman" w:eastAsia="Times New Roman" w:hAnsi="Times New Roman"/>
          <w:sz w:val="20"/>
          <w:szCs w:val="20"/>
          <w:color w:val="171717"/>
        </w:rPr>
        <w:t>SEC.</w:t>
      </w:r>
    </w:p>
    <w:p>
      <w:pPr>
        <w:spacing w:after="0" w:line="163"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compensation that is granted, earned or vested based wholly or in part on the</w:t>
      </w:r>
    </w:p>
    <w:p>
      <w:pPr>
        <w:spacing w:after="0" w:line="2"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attainment of any Financial Reporting Measure. Examples of “Incentive-Based Compensation” include, but are not limited to:</w:t>
      </w:r>
    </w:p>
    <w:p>
      <w:pPr>
        <w:spacing w:after="0" w:line="222" w:lineRule="auto"/>
        <w:rPr>
          <w:sz w:val="20"/>
          <w:szCs w:val="20"/>
          <w:color w:val="auto"/>
        </w:rPr>
      </w:pPr>
      <w:r>
        <w:rPr>
          <w:rFonts w:ascii="Times New Roman" w:cs="Times New Roman" w:eastAsia="Times New Roman" w:hAnsi="Times New Roman"/>
          <w:sz w:val="19"/>
          <w:szCs w:val="19"/>
          <w:color w:val="auto"/>
        </w:rPr>
        <w:t>non-equity incentive plan awards that are earned based wholly or</w:t>
      </w:r>
    </w:p>
    <w:p>
      <w:pPr>
        <w:ind w:right="40"/>
        <w:spacing w:after="0" w:line="215" w:lineRule="auto"/>
        <w:rPr>
          <w:sz w:val="20"/>
          <w:szCs w:val="20"/>
          <w:color w:val="auto"/>
        </w:rPr>
      </w:pPr>
      <w:r>
        <w:rPr>
          <w:rFonts w:ascii="Times New Roman" w:cs="Times New Roman" w:eastAsia="Times New Roman" w:hAnsi="Times New Roman"/>
          <w:sz w:val="19"/>
          <w:szCs w:val="19"/>
          <w:color w:val="auto"/>
        </w:rPr>
        <w:t>in part on satisfying a Financial Reporting Measure performance goal; bonuses paid from a “bonus pool,” the size of which is</w:t>
      </w:r>
    </w:p>
    <w:p>
      <w:pPr>
        <w:spacing w:after="0" w:line="211" w:lineRule="auto"/>
        <w:rPr>
          <w:sz w:val="20"/>
          <w:szCs w:val="20"/>
          <w:color w:val="auto"/>
        </w:rPr>
      </w:pPr>
      <w:r>
        <w:rPr>
          <w:rFonts w:ascii="Times New Roman" w:cs="Times New Roman" w:eastAsia="Times New Roman" w:hAnsi="Times New Roman"/>
          <w:sz w:val="20"/>
          <w:szCs w:val="20"/>
          <w:color w:val="auto"/>
        </w:rPr>
        <w:t>determined based wholly or in part on satisfying a Financial</w:t>
      </w:r>
    </w:p>
    <w:p>
      <w:pPr>
        <w:ind w:right="180"/>
        <w:spacing w:after="0" w:line="215" w:lineRule="auto"/>
        <w:rPr>
          <w:sz w:val="20"/>
          <w:szCs w:val="20"/>
          <w:color w:val="auto"/>
        </w:rPr>
      </w:pPr>
      <w:r>
        <w:rPr>
          <w:rFonts w:ascii="Times New Roman" w:cs="Times New Roman" w:eastAsia="Times New Roman" w:hAnsi="Times New Roman"/>
          <w:sz w:val="19"/>
          <w:szCs w:val="19"/>
          <w:color w:val="auto"/>
        </w:rPr>
        <w:t>Reporting Measure performance goal; other cash awards based on satisfaction of a Financial Reporting Measure performance</w:t>
      </w:r>
    </w:p>
    <w:p>
      <w:pPr>
        <w:spacing w:after="0" w:line="211" w:lineRule="auto"/>
        <w:rPr>
          <w:sz w:val="20"/>
          <w:szCs w:val="20"/>
          <w:color w:val="auto"/>
        </w:rPr>
      </w:pPr>
      <w:r>
        <w:rPr>
          <w:rFonts w:ascii="Times New Roman" w:cs="Times New Roman" w:eastAsia="Times New Roman" w:hAnsi="Times New Roman"/>
          <w:sz w:val="20"/>
          <w:szCs w:val="20"/>
          <w:color w:val="auto"/>
        </w:rPr>
        <w:t>goal; restricted stock, restricted stock units, performance share</w:t>
      </w:r>
    </w:p>
    <w:p>
      <w:pPr>
        <w:ind w:right="20"/>
        <w:spacing w:after="0" w:line="215" w:lineRule="auto"/>
        <w:rPr>
          <w:sz w:val="20"/>
          <w:szCs w:val="20"/>
          <w:color w:val="auto"/>
        </w:rPr>
      </w:pPr>
      <w:r>
        <w:rPr>
          <w:rFonts w:ascii="Times New Roman" w:cs="Times New Roman" w:eastAsia="Times New Roman" w:hAnsi="Times New Roman"/>
          <w:sz w:val="19"/>
          <w:szCs w:val="19"/>
          <w:color w:val="auto"/>
        </w:rPr>
        <w:t>units, stock options, and SARs that are granted or become vested based wholly or in part on satisfying a Financial Reporting</w:t>
      </w:r>
    </w:p>
    <w:p>
      <w:pPr>
        <w:spacing w:after="0" w:line="211" w:lineRule="auto"/>
        <w:rPr>
          <w:sz w:val="20"/>
          <w:szCs w:val="20"/>
          <w:color w:val="auto"/>
        </w:rPr>
      </w:pPr>
      <w:r>
        <w:rPr>
          <w:rFonts w:ascii="Times New Roman" w:cs="Times New Roman" w:eastAsia="Times New Roman" w:hAnsi="Times New Roman"/>
          <w:sz w:val="20"/>
          <w:szCs w:val="20"/>
          <w:color w:val="auto"/>
        </w:rPr>
        <w:t>Measure goal; and proceeds received upon the sale of shares</w:t>
      </w:r>
    </w:p>
    <w:p>
      <w:pPr>
        <w:ind w:right="220"/>
        <w:spacing w:after="0" w:line="215" w:lineRule="auto"/>
        <w:rPr>
          <w:sz w:val="20"/>
          <w:szCs w:val="20"/>
          <w:color w:val="auto"/>
        </w:rPr>
      </w:pPr>
      <w:r>
        <w:rPr>
          <w:rFonts w:ascii="Times New Roman" w:cs="Times New Roman" w:eastAsia="Times New Roman" w:hAnsi="Times New Roman"/>
          <w:sz w:val="19"/>
          <w:szCs w:val="19"/>
          <w:color w:val="auto"/>
        </w:rPr>
        <w:t>acquired through an incentive plan that were granted or vested based wholly or in part on satisfying a Financial Reporting</w:t>
      </w:r>
    </w:p>
    <w:p>
      <w:pPr>
        <w:spacing w:after="0" w:line="211" w:lineRule="auto"/>
        <w:rPr>
          <w:sz w:val="20"/>
          <w:szCs w:val="20"/>
          <w:color w:val="auto"/>
        </w:rPr>
      </w:pPr>
      <w:r>
        <w:rPr>
          <w:rFonts w:ascii="Times New Roman" w:cs="Times New Roman" w:eastAsia="Times New Roman" w:hAnsi="Times New Roman"/>
          <w:sz w:val="20"/>
          <w:szCs w:val="20"/>
          <w:color w:val="auto"/>
        </w:rPr>
        <w:t>Measure goal. “Incentive-Based Compensation” excludes, for</w:t>
      </w:r>
    </w:p>
    <w:p>
      <w:pPr>
        <w:ind w:right="200"/>
        <w:spacing w:after="0" w:line="215" w:lineRule="auto"/>
        <w:rPr>
          <w:sz w:val="20"/>
          <w:szCs w:val="20"/>
          <w:color w:val="auto"/>
        </w:rPr>
      </w:pPr>
      <w:r>
        <w:rPr>
          <w:rFonts w:ascii="Times New Roman" w:cs="Times New Roman" w:eastAsia="Times New Roman" w:hAnsi="Times New Roman"/>
          <w:sz w:val="19"/>
          <w:szCs w:val="19"/>
          <w:color w:val="auto"/>
        </w:rPr>
        <w:t xml:space="preserve">example, time-based awards such as stock options or restricted stock units that are granted or vest </w:t>
      </w:r>
      <w:r>
        <w:rPr>
          <w:rFonts w:ascii="Times New Roman" w:cs="Times New Roman" w:eastAsia="Times New Roman" w:hAnsi="Times New Roman"/>
          <w:sz w:val="19"/>
          <w:szCs w:val="19"/>
          <w:i w:val="1"/>
          <w:iCs w:val="1"/>
          <w:color w:val="auto"/>
        </w:rPr>
        <w:t>solely</w:t>
      </w:r>
      <w:r>
        <w:rPr>
          <w:rFonts w:ascii="Times New Roman" w:cs="Times New Roman" w:eastAsia="Times New Roman" w:hAnsi="Times New Roman"/>
          <w:sz w:val="19"/>
          <w:szCs w:val="19"/>
          <w:color w:val="auto"/>
        </w:rPr>
        <w:t xml:space="preserve"> upon completion of a</w:t>
      </w:r>
    </w:p>
    <w:p>
      <w:pPr>
        <w:spacing w:after="0" w:line="211" w:lineRule="auto"/>
        <w:rPr>
          <w:sz w:val="20"/>
          <w:szCs w:val="20"/>
          <w:color w:val="auto"/>
        </w:rPr>
      </w:pPr>
      <w:r>
        <w:rPr>
          <w:rFonts w:ascii="Times New Roman" w:cs="Times New Roman" w:eastAsia="Times New Roman" w:hAnsi="Times New Roman"/>
          <w:sz w:val="20"/>
          <w:szCs w:val="20"/>
          <w:color w:val="auto"/>
        </w:rPr>
        <w:t>service period; awards based on non-financial strategic or</w:t>
      </w:r>
    </w:p>
    <w:p>
      <w:pPr>
        <w:ind w:right="480"/>
        <w:spacing w:after="0" w:line="215" w:lineRule="auto"/>
        <w:rPr>
          <w:sz w:val="20"/>
          <w:szCs w:val="20"/>
          <w:color w:val="auto"/>
        </w:rPr>
      </w:pPr>
      <w:r>
        <w:rPr>
          <w:rFonts w:ascii="Times New Roman" w:cs="Times New Roman" w:eastAsia="Times New Roman" w:hAnsi="Times New Roman"/>
          <w:sz w:val="19"/>
          <w:szCs w:val="19"/>
          <w:color w:val="auto"/>
        </w:rPr>
        <w:t>operating metrics such as the consummation of a merger or achievement of non-financial business goals; service-based</w:t>
      </w:r>
    </w:p>
    <w:p>
      <w:pPr>
        <w:spacing w:after="0"/>
        <w:rPr>
          <w:sz w:val="20"/>
          <w:szCs w:val="20"/>
          <w:color w:val="auto"/>
        </w:rPr>
      </w:pPr>
      <w:r>
        <w:rPr>
          <w:rFonts w:ascii="Times New Roman" w:cs="Times New Roman" w:eastAsia="Times New Roman" w:hAnsi="Times New Roman"/>
          <w:sz w:val="20"/>
          <w:szCs w:val="20"/>
          <w:color w:val="auto"/>
        </w:rPr>
        <w:t>retention bonuses; discretionary compensation; and salary.</w:t>
      </w:r>
    </w:p>
    <w:p>
      <w:pPr>
        <w:spacing w:after="0" w:line="163"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b w:val="1"/>
          <w:bCs w:val="1"/>
          <w:i w:val="1"/>
          <w:iCs w:val="1"/>
          <w:color w:val="171717"/>
        </w:rPr>
        <w:t>Listing Rule Effective Date</w:t>
      </w:r>
      <w:r>
        <w:rPr>
          <w:rFonts w:ascii="Times New Roman" w:cs="Times New Roman" w:eastAsia="Times New Roman" w:hAnsi="Times New Roman"/>
          <w:sz w:val="20"/>
          <w:szCs w:val="20"/>
          <w:color w:val="171717"/>
        </w:rPr>
        <w:t xml:space="preserve">” means the effective date of </w:t>
      </w:r>
      <w:r>
        <w:rPr>
          <w:rFonts w:ascii="Times New Roman" w:cs="Times New Roman" w:eastAsia="Times New Roman" w:hAnsi="Times New Roman"/>
          <w:sz w:val="20"/>
          <w:szCs w:val="20"/>
          <w:color w:val="1E1E1E"/>
        </w:rPr>
        <w:t>the</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1E1E1E"/>
        </w:rPr>
        <w:t>listing standards of the</w:t>
      </w:r>
    </w:p>
    <w:p>
      <w:pPr>
        <w:spacing w:after="0" w:line="281" w:lineRule="exact"/>
        <w:rPr>
          <w:sz w:val="20"/>
          <w:szCs w:val="20"/>
          <w:color w:val="auto"/>
        </w:rPr>
      </w:pPr>
    </w:p>
    <w:p>
      <w:pPr>
        <w:sectPr>
          <w:pgSz w:w="11900" w:h="16838" w:orient="portrait"/>
          <w:cols w:equalWidth="0" w:num="2">
            <w:col w:w="5220" w:space="720"/>
            <w:col w:w="5160"/>
          </w:cols>
          <w:pgMar w:left="320" w:top="139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Nurix Therapeutics, Inc.</w:t>
      </w:r>
      <w:r>
        <w:rPr>
          <w:sz w:val="20"/>
          <w:szCs w:val="20"/>
          <w:color w:val="auto"/>
        </w:rPr>
        <w:tab/>
      </w:r>
      <w:r>
        <w:rPr>
          <w:rFonts w:ascii="Times New Roman" w:cs="Times New Roman" w:eastAsia="Times New Roman" w:hAnsi="Times New Roman"/>
          <w:sz w:val="19"/>
          <w:szCs w:val="19"/>
          <w:i w:val="1"/>
          <w:iCs w:val="1"/>
          <w:color w:val="auto"/>
        </w:rPr>
        <w:t>Compensation Recovery Policy</w:t>
      </w:r>
    </w:p>
    <w:p>
      <w:pPr>
        <w:jc w:val="center"/>
        <w:ind w:right="-159"/>
        <w:spacing w:after="0"/>
        <w:rPr>
          <w:sz w:val="20"/>
          <w:szCs w:val="20"/>
          <w:color w:val="auto"/>
        </w:rPr>
      </w:pPr>
      <w:r>
        <w:rPr>
          <w:rFonts w:ascii="Times New Roman" w:cs="Times New Roman" w:eastAsia="Times New Roman" w:hAnsi="Times New Roman"/>
          <w:sz w:val="20"/>
          <w:szCs w:val="20"/>
          <w:i w:val="1"/>
          <w:iCs w:val="1"/>
          <w:color w:val="auto"/>
        </w:rPr>
        <w:t>4</w:t>
      </w:r>
    </w:p>
    <w:p>
      <w:pPr>
        <w:sectPr>
          <w:pgSz w:w="11900" w:h="16838" w:orient="portrait"/>
          <w:cols w:equalWidth="0" w:num="1">
            <w:col w:w="11100"/>
          </w:cols>
          <w:pgMar w:left="320" w:top="1399" w:right="479" w:bottom="1440" w:gutter="0" w:footer="0" w:header="0"/>
          <w:type w:val="continuous"/>
        </w:sectPr>
      </w:pPr>
    </w:p>
    <w:bookmarkStart w:id="275" w:name="page276"/>
    <w:bookmarkEnd w:id="275"/>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Exchange on which the Company’s securities are listed</w:t>
      </w:r>
      <w:r>
        <w:rPr>
          <w:rFonts w:ascii="Times New Roman" w:cs="Times New Roman" w:eastAsia="Times New Roman" w:hAnsi="Times New Roman"/>
          <w:sz w:val="20"/>
          <w:szCs w:val="20"/>
          <w:color w:val="171717"/>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b w:val="1"/>
          <w:bCs w:val="1"/>
          <w:i w:val="1"/>
          <w:iCs w:val="1"/>
          <w:color w:val="1E1E1E"/>
        </w:rPr>
        <w:t>Policy</w:t>
      </w:r>
      <w:r>
        <w:rPr>
          <w:rFonts w:ascii="Times New Roman" w:cs="Times New Roman" w:eastAsia="Times New Roman" w:hAnsi="Times New Roman"/>
          <w:sz w:val="20"/>
          <w:szCs w:val="20"/>
          <w:color w:val="1E1E1E"/>
        </w:rPr>
        <w:t>” means this Compensation Recovery Policy.</w:t>
      </w:r>
    </w:p>
    <w:p>
      <w:pPr>
        <w:spacing w:after="0" w:line="175"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9"/>
          <w:szCs w:val="19"/>
          <w:color w:val="171717"/>
        </w:rPr>
        <w:t>Incentive-Based Compensation is deemed “</w:t>
      </w:r>
      <w:r>
        <w:rPr>
          <w:rFonts w:ascii="Times New Roman" w:cs="Times New Roman" w:eastAsia="Times New Roman" w:hAnsi="Times New Roman"/>
          <w:sz w:val="19"/>
          <w:szCs w:val="19"/>
          <w:b w:val="1"/>
          <w:bCs w:val="1"/>
          <w:i w:val="1"/>
          <w:iCs w:val="1"/>
          <w:color w:val="171717"/>
        </w:rPr>
        <w:t>Received</w:t>
      </w:r>
      <w:r>
        <w:rPr>
          <w:rFonts w:ascii="Times New Roman" w:cs="Times New Roman" w:eastAsia="Times New Roman" w:hAnsi="Times New Roman"/>
          <w:sz w:val="19"/>
          <w:szCs w:val="19"/>
          <w:color w:val="171717"/>
        </w:rPr>
        <w:t>” in the Company’s fiscal period during which the relevant Financial</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171717"/>
        </w:rPr>
        <w:t>Reporting Measure specified in the Incentive-Based Compensation award is attained, irrespective of whether the</w:t>
      </w:r>
    </w:p>
    <w:p>
      <w:pPr>
        <w:spacing w:after="0" w:line="211" w:lineRule="auto"/>
        <w:rPr>
          <w:sz w:val="20"/>
          <w:szCs w:val="20"/>
          <w:color w:val="auto"/>
        </w:rPr>
      </w:pPr>
      <w:r>
        <w:rPr>
          <w:rFonts w:ascii="Times New Roman" w:cs="Times New Roman" w:eastAsia="Times New Roman" w:hAnsi="Times New Roman"/>
          <w:sz w:val="20"/>
          <w:szCs w:val="20"/>
          <w:color w:val="171717"/>
        </w:rPr>
        <w:t>payment or grant occurs on a later date or if there are additional</w:t>
      </w:r>
    </w:p>
    <w:p>
      <w:pPr>
        <w:ind w:right="100"/>
        <w:spacing w:after="0" w:line="215" w:lineRule="auto"/>
        <w:rPr>
          <w:sz w:val="20"/>
          <w:szCs w:val="20"/>
          <w:color w:val="auto"/>
        </w:rPr>
      </w:pPr>
      <w:r>
        <w:rPr>
          <w:rFonts w:ascii="Times New Roman" w:cs="Times New Roman" w:eastAsia="Times New Roman" w:hAnsi="Times New Roman"/>
          <w:sz w:val="19"/>
          <w:szCs w:val="19"/>
          <w:color w:val="171717"/>
        </w:rPr>
        <w:t>vesting or payment requirements, such as time-based vesting or certification or approval by the Compensation Committee or</w:t>
      </w:r>
    </w:p>
    <w:p>
      <w:pPr>
        <w:spacing w:after="0"/>
        <w:rPr>
          <w:sz w:val="20"/>
          <w:szCs w:val="20"/>
          <w:color w:val="auto"/>
        </w:rPr>
      </w:pPr>
      <w:r>
        <w:rPr>
          <w:rFonts w:ascii="Times New Roman" w:cs="Times New Roman" w:eastAsia="Times New Roman" w:hAnsi="Times New Roman"/>
          <w:sz w:val="20"/>
          <w:szCs w:val="20"/>
          <w:color w:val="171717"/>
        </w:rPr>
        <w:t>Board, that have not yet been satisfied.</w:t>
      </w:r>
    </w:p>
    <w:p>
      <w:pPr>
        <w:spacing w:after="0" w:line="163"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9"/>
          <w:szCs w:val="19"/>
          <w:color w:val="171717"/>
        </w:rPr>
        <w:t>“</w:t>
      </w:r>
      <w:r>
        <w:rPr>
          <w:rFonts w:ascii="Times New Roman" w:cs="Times New Roman" w:eastAsia="Times New Roman" w:hAnsi="Times New Roman"/>
          <w:sz w:val="19"/>
          <w:szCs w:val="19"/>
          <w:b w:val="1"/>
          <w:bCs w:val="1"/>
          <w:i w:val="1"/>
          <w:iCs w:val="1"/>
          <w:color w:val="171717"/>
        </w:rPr>
        <w:t>Recoupment Amount</w:t>
      </w:r>
      <w:r>
        <w:rPr>
          <w:rFonts w:ascii="Times New Roman" w:cs="Times New Roman" w:eastAsia="Times New Roman" w:hAnsi="Times New Roman"/>
          <w:sz w:val="19"/>
          <w:szCs w:val="19"/>
          <w:color w:val="171717"/>
        </w:rPr>
        <w:t>” means the amount of Incentive-Based Compensation Received by the Covered Person based on the</w:t>
      </w:r>
    </w:p>
    <w:p>
      <w:pPr>
        <w:spacing w:after="0" w:line="211" w:lineRule="auto"/>
        <w:rPr>
          <w:sz w:val="20"/>
          <w:szCs w:val="20"/>
          <w:color w:val="auto"/>
        </w:rPr>
      </w:pPr>
      <w:r>
        <w:rPr>
          <w:rFonts w:ascii="Times New Roman" w:cs="Times New Roman" w:eastAsia="Times New Roman" w:hAnsi="Times New Roman"/>
          <w:sz w:val="20"/>
          <w:szCs w:val="20"/>
          <w:color w:val="171717"/>
        </w:rPr>
        <w:t>financial statements prior to the restatement that exceeds the</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171717"/>
        </w:rPr>
        <w:t>amount such Covered Person would have received had the Incentive-Based Compensation been determined based on the</w:t>
      </w:r>
    </w:p>
    <w:p>
      <w:pPr>
        <w:spacing w:after="0" w:line="228" w:lineRule="auto"/>
        <w:rPr>
          <w:sz w:val="20"/>
          <w:szCs w:val="20"/>
          <w:color w:val="auto"/>
        </w:rPr>
      </w:pPr>
      <w:r>
        <w:rPr>
          <w:rFonts w:ascii="Times New Roman" w:cs="Times New Roman" w:eastAsia="Times New Roman" w:hAnsi="Times New Roman"/>
          <w:sz w:val="20"/>
          <w:szCs w:val="20"/>
          <w:color w:val="171717"/>
        </w:rPr>
        <w:t>financial restatement, computed without regard to any taxes paid (</w:t>
      </w:r>
      <w:r>
        <w:rPr>
          <w:rFonts w:ascii="Times New Roman" w:cs="Times New Roman" w:eastAsia="Times New Roman" w:hAnsi="Times New Roman"/>
          <w:sz w:val="20"/>
          <w:szCs w:val="20"/>
          <w:i w:val="1"/>
          <w:iCs w:val="1"/>
          <w:color w:val="171717"/>
        </w:rPr>
        <w:t>i.e</w:t>
      </w:r>
      <w:r>
        <w:rPr>
          <w:rFonts w:ascii="Times New Roman" w:cs="Times New Roman" w:eastAsia="Times New Roman" w:hAnsi="Times New Roman"/>
          <w:sz w:val="20"/>
          <w:szCs w:val="20"/>
          <w:color w:val="171717"/>
        </w:rPr>
        <w:t>., gross of taxes withheld).</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b w:val="1"/>
          <w:bCs w:val="1"/>
          <w:i w:val="1"/>
          <w:iCs w:val="1"/>
          <w:color w:val="171717"/>
        </w:rPr>
        <w:t>SARs</w:t>
      </w:r>
      <w:r>
        <w:rPr>
          <w:rFonts w:ascii="Times New Roman" w:cs="Times New Roman" w:eastAsia="Times New Roman" w:hAnsi="Times New Roman"/>
          <w:sz w:val="20"/>
          <w:szCs w:val="20"/>
          <w:color w:val="171717"/>
        </w:rPr>
        <w:t>” means stock appreciation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b w:val="1"/>
          <w:bCs w:val="1"/>
          <w:i w:val="1"/>
          <w:iCs w:val="1"/>
          <w:color w:val="171717"/>
        </w:rPr>
        <w:t>SEC</w:t>
      </w:r>
      <w:r>
        <w:rPr>
          <w:rFonts w:ascii="Times New Roman" w:cs="Times New Roman" w:eastAsia="Times New Roman" w:hAnsi="Times New Roman"/>
          <w:sz w:val="20"/>
          <w:szCs w:val="20"/>
          <w:color w:val="171717"/>
        </w:rPr>
        <w:t>” means the U.S. Securities and Exchange Commission.</w:t>
      </w:r>
    </w:p>
    <w:p>
      <w:pPr>
        <w:spacing w:after="0" w:line="175" w:lineRule="exact"/>
        <w:rPr>
          <w:sz w:val="20"/>
          <w:szCs w:val="20"/>
          <w:color w:val="auto"/>
        </w:rPr>
      </w:pPr>
    </w:p>
    <w:p>
      <w:pPr>
        <w:ind w:left="660" w:right="320"/>
        <w:spacing w:after="0" w:line="245" w:lineRule="auto"/>
        <w:rPr>
          <w:sz w:val="20"/>
          <w:szCs w:val="20"/>
          <w:color w:val="auto"/>
        </w:rPr>
      </w:pP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b w:val="1"/>
          <w:bCs w:val="1"/>
          <w:i w:val="1"/>
          <w:iCs w:val="1"/>
          <w:color w:val="171717"/>
        </w:rPr>
        <w:t>SOX 304</w:t>
      </w:r>
      <w:r>
        <w:rPr>
          <w:rFonts w:ascii="Times New Roman" w:cs="Times New Roman" w:eastAsia="Times New Roman" w:hAnsi="Times New Roman"/>
          <w:sz w:val="20"/>
          <w:szCs w:val="20"/>
          <w:color w:val="171717"/>
        </w:rPr>
        <w:t>” means Section 304 of the Sarbanes-Oxley Act of 2002.</w:t>
      </w:r>
    </w:p>
    <w:p>
      <w:pPr>
        <w:spacing w:after="0" w:line="151" w:lineRule="exact"/>
        <w:rPr>
          <w:sz w:val="20"/>
          <w:szCs w:val="20"/>
          <w:color w:val="auto"/>
        </w:rPr>
      </w:pPr>
    </w:p>
    <w:p>
      <w:pPr>
        <w:ind w:left="660"/>
        <w:spacing w:after="0" w:line="229" w:lineRule="auto"/>
        <w:rPr>
          <w:sz w:val="20"/>
          <w:szCs w:val="20"/>
          <w:color w:val="auto"/>
        </w:rPr>
      </w:pPr>
      <w:r>
        <w:rPr>
          <w:rFonts w:ascii="Times New Roman" w:cs="Times New Roman" w:eastAsia="Times New Roman" w:hAnsi="Times New Roman"/>
          <w:sz w:val="19"/>
          <w:szCs w:val="19"/>
          <w:color w:val="1E1E1E"/>
        </w:rPr>
        <w:t>“</w:t>
      </w:r>
      <w:r>
        <w:rPr>
          <w:rFonts w:ascii="Times New Roman" w:cs="Times New Roman" w:eastAsia="Times New Roman" w:hAnsi="Times New Roman"/>
          <w:sz w:val="19"/>
          <w:szCs w:val="19"/>
          <w:b w:val="1"/>
          <w:bCs w:val="1"/>
          <w:i w:val="1"/>
          <w:iCs w:val="1"/>
          <w:color w:val="1E1E1E"/>
        </w:rPr>
        <w:t>Triggering Event</w:t>
      </w:r>
      <w:r>
        <w:rPr>
          <w:rFonts w:ascii="Times New Roman" w:cs="Times New Roman" w:eastAsia="Times New Roman" w:hAnsi="Times New Roman"/>
          <w:sz w:val="19"/>
          <w:szCs w:val="19"/>
          <w:color w:val="1E1E1E"/>
        </w:rPr>
        <w:t>” means any event in which the Company is required to prepare an accounting restatement due to the material</w:t>
      </w:r>
    </w:p>
    <w:p>
      <w:pPr>
        <w:ind w:left="660"/>
        <w:spacing w:after="0" w:line="211" w:lineRule="auto"/>
        <w:rPr>
          <w:sz w:val="20"/>
          <w:szCs w:val="20"/>
          <w:color w:val="auto"/>
        </w:rPr>
      </w:pPr>
      <w:r>
        <w:rPr>
          <w:rFonts w:ascii="Times New Roman" w:cs="Times New Roman" w:eastAsia="Times New Roman" w:hAnsi="Times New Roman"/>
          <w:sz w:val="20"/>
          <w:szCs w:val="20"/>
          <w:color w:val="1E1E1E"/>
        </w:rPr>
        <w:t>noncompliance of the Company with any financial reporting</w:t>
      </w:r>
    </w:p>
    <w:p>
      <w:pPr>
        <w:spacing w:after="0" w:line="1" w:lineRule="exact"/>
        <w:rPr>
          <w:sz w:val="20"/>
          <w:szCs w:val="20"/>
          <w:color w:val="auto"/>
        </w:rPr>
      </w:pPr>
    </w:p>
    <w:p>
      <w:pPr>
        <w:ind w:left="660" w:right="200"/>
        <w:spacing w:after="0" w:line="215" w:lineRule="auto"/>
        <w:rPr>
          <w:sz w:val="20"/>
          <w:szCs w:val="20"/>
          <w:color w:val="auto"/>
        </w:rPr>
      </w:pPr>
      <w:r>
        <w:rPr>
          <w:rFonts w:ascii="Times New Roman" w:cs="Times New Roman" w:eastAsia="Times New Roman" w:hAnsi="Times New Roman"/>
          <w:sz w:val="19"/>
          <w:szCs w:val="19"/>
          <w:color w:val="1E1E1E"/>
        </w:rPr>
        <w:t>requirement under the securities laws, including any required accounting restatement to correct an error in previously issued</w:t>
      </w:r>
    </w:p>
    <w:p>
      <w:pPr>
        <w:ind w:left="660"/>
        <w:spacing w:after="0" w:line="211" w:lineRule="auto"/>
        <w:rPr>
          <w:sz w:val="20"/>
          <w:szCs w:val="20"/>
          <w:color w:val="auto"/>
        </w:rPr>
      </w:pPr>
      <w:r>
        <w:rPr>
          <w:rFonts w:ascii="Times New Roman" w:cs="Times New Roman" w:eastAsia="Times New Roman" w:hAnsi="Times New Roman"/>
          <w:sz w:val="20"/>
          <w:szCs w:val="20"/>
          <w:color w:val="1E1E1E"/>
        </w:rPr>
        <w:t>financial statements that is material to the previously issued</w:t>
      </w:r>
    </w:p>
    <w:p>
      <w:pPr>
        <w:ind w:left="660" w:right="120"/>
        <w:spacing w:after="0" w:line="215" w:lineRule="auto"/>
        <w:rPr>
          <w:sz w:val="20"/>
          <w:szCs w:val="20"/>
          <w:color w:val="auto"/>
        </w:rPr>
      </w:pPr>
      <w:r>
        <w:rPr>
          <w:rFonts w:ascii="Times New Roman" w:cs="Times New Roman" w:eastAsia="Times New Roman" w:hAnsi="Times New Roman"/>
          <w:sz w:val="19"/>
          <w:szCs w:val="19"/>
          <w:color w:val="1E1E1E"/>
        </w:rPr>
        <w:t>financial statements, or that would result in a material misstatement if the error were corrected in the current period or</w:t>
      </w:r>
    </w:p>
    <w:p>
      <w:pPr>
        <w:ind w:left="660"/>
        <w:spacing w:after="0"/>
        <w:rPr>
          <w:sz w:val="20"/>
          <w:szCs w:val="20"/>
          <w:color w:val="auto"/>
        </w:rPr>
      </w:pPr>
      <w:r>
        <w:rPr>
          <w:rFonts w:ascii="Times New Roman" w:cs="Times New Roman" w:eastAsia="Times New Roman" w:hAnsi="Times New Roman"/>
          <w:sz w:val="20"/>
          <w:szCs w:val="20"/>
          <w:color w:val="1E1E1E"/>
        </w:rPr>
        <w:t>left uncorrected in the current period.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b w:val="1"/>
          <w:bCs w:val="1"/>
          <w:i w:val="1"/>
          <w:iCs w:val="1"/>
          <w:color w:val="171717"/>
        </w:rPr>
        <w:t>TSR</w:t>
      </w:r>
      <w:r>
        <w:rPr>
          <w:rFonts w:ascii="Times New Roman" w:cs="Times New Roman" w:eastAsia="Times New Roman" w:hAnsi="Times New Roman"/>
          <w:sz w:val="20"/>
          <w:szCs w:val="20"/>
          <w:color w:val="171717"/>
        </w:rPr>
        <w:t>” means total stockholder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80" w:val="left"/>
          <w:tab w:leader="none" w:pos="5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ectPr>
          <w:pgSz w:w="11900" w:h="16838" w:orient="portrait"/>
          <w:cols w:equalWidth="0" w:num="2">
            <w:col w:w="5140" w:space="140"/>
            <w:col w:w="5800"/>
          </w:cols>
          <w:pgMar w:left="320" w:top="13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Nurix Therapeutics, Inc.</w:t>
      </w:r>
      <w:r>
        <w:rPr>
          <w:sz w:val="20"/>
          <w:szCs w:val="20"/>
          <w:color w:val="auto"/>
        </w:rPr>
        <w:tab/>
      </w:r>
      <w:r>
        <w:rPr>
          <w:rFonts w:ascii="Times New Roman" w:cs="Times New Roman" w:eastAsia="Times New Roman" w:hAnsi="Times New Roman"/>
          <w:sz w:val="19"/>
          <w:szCs w:val="19"/>
          <w:i w:val="1"/>
          <w:iCs w:val="1"/>
          <w:color w:val="auto"/>
        </w:rPr>
        <w:t>Compensation Recovery Policy</w:t>
      </w:r>
    </w:p>
    <w:p>
      <w:pPr>
        <w:spacing w:after="0" w:line="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auto"/>
        </w:rPr>
        <w:t>5</w:t>
      </w:r>
    </w:p>
    <w:p>
      <w:pPr>
        <w:sectPr>
          <w:pgSz w:w="11900" w:h="16838" w:orient="portrait"/>
          <w:cols w:equalWidth="0" w:num="1">
            <w:col w:w="11080"/>
          </w:cols>
          <w:pgMar w:left="320" w:top="1395" w:right="499" w:bottom="1440" w:gutter="0" w:footer="0" w:header="0"/>
          <w:type w:val="continuous"/>
        </w:sectPr>
      </w:pPr>
    </w:p>
    <w:bookmarkStart w:id="276" w:name="page277"/>
    <w:bookmarkEnd w:id="276"/>
    <w:p>
      <w:pPr>
        <w:ind w:left="5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8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certify that:</w:t>
      </w:r>
    </w:p>
    <w:p>
      <w:pPr>
        <w:spacing w:after="0" w:line="185" w:lineRule="exact"/>
        <w:rPr>
          <w:sz w:val="20"/>
          <w:szCs w:val="20"/>
          <w:color w:val="auto"/>
        </w:rPr>
      </w:pPr>
    </w:p>
    <w:p>
      <w:pPr>
        <w:ind w:left="660" w:hanging="328"/>
        <w:spacing w:after="0" w:line="245" w:lineRule="auto"/>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read and understand the Company’s Compensation Recovery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 understand that the Company’s General Counsel is available to answer any questions I have regarding the Policy.</w:t>
      </w:r>
    </w:p>
    <w:p>
      <w:pPr>
        <w:spacing w:after="0" w:line="141" w:lineRule="exact"/>
        <w:rPr>
          <w:rFonts w:ascii="Times New Roman" w:cs="Times New Roman" w:eastAsia="Times New Roman" w:hAnsi="Times New Roman"/>
          <w:sz w:val="20"/>
          <w:szCs w:val="20"/>
          <w:color w:val="auto"/>
        </w:rPr>
      </w:pPr>
    </w:p>
    <w:p>
      <w:pPr>
        <w:ind w:left="660" w:right="20" w:hanging="328"/>
        <w:spacing w:after="0"/>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the Policy applies to all of my existing and future compensation-related agreements with the Company, whether or not explicitly stated therein.</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16" w:lineRule="auto"/>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this Policy, nothing herein limits any other remedies or rights of recoupment that may be available to the Company.</w:t>
      </w:r>
    </w:p>
    <w:p>
      <w:pPr>
        <w:spacing w:after="0" w:line="162" w:lineRule="exact"/>
        <w:rPr>
          <w:rFonts w:ascii="Times New Roman" w:cs="Times New Roman" w:eastAsia="Times New Roman" w:hAnsi="Times New Roman"/>
          <w:sz w:val="20"/>
          <w:szCs w:val="20"/>
          <w:color w:val="auto"/>
        </w:rPr>
      </w:pPr>
    </w:p>
    <w:p>
      <w:pPr>
        <w:ind w:left="660" w:right="20" w:hanging="328"/>
        <w:spacing w:after="0" w:line="233" w:lineRule="auto"/>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abide by the terms of the Policy, including, without limitation, by returning any erroneously awarded Incentive-Based Compensation to the Company to the extent required by, and in a manner permitted by, the Policy.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Signature:</w:t>
      </w:r>
    </w:p>
    <w:p>
      <w:pPr>
        <w:spacing w:after="0" w:line="20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-850900</wp:posOffset>
            </wp:positionV>
            <wp:extent cx="5022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-576580</wp:posOffset>
            </wp:positionV>
            <wp:extent cx="628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-294005</wp:posOffset>
            </wp:positionV>
            <wp:extent cx="628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-10795</wp:posOffset>
            </wp:positionV>
            <wp:extent cx="6280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Nurix Therapeutics, Inc.</w:t>
      </w:r>
      <w:r>
        <w:rPr>
          <w:sz w:val="20"/>
          <w:szCs w:val="20"/>
          <w:color w:val="auto"/>
        </w:rPr>
        <w:tab/>
      </w:r>
      <w:r>
        <w:rPr>
          <w:rFonts w:ascii="Times New Roman" w:cs="Times New Roman" w:eastAsia="Times New Roman" w:hAnsi="Times New Roman"/>
          <w:sz w:val="19"/>
          <w:szCs w:val="19"/>
          <w:i w:val="1"/>
          <w:iCs w:val="1"/>
          <w:color w:val="auto"/>
        </w:rPr>
        <w:t>Compensation Recovery Policy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6</w:t>
      </w:r>
    </w:p>
    <w:p>
      <w:pPr>
        <w:sectPr>
          <w:pgSz w:w="11900" w:h="16838" w:orient="portrait"/>
          <w:cols w:equalWidth="0" w:num="1">
            <w:col w:w="11240"/>
          </w:cols>
          <w:pgMar w:left="320" w:top="1395" w:right="339" w:bottom="1440" w:gutter="0" w:footer="0" w:header="0"/>
        </w:sectPr>
      </w:pPr>
    </w:p>
    <w:bookmarkStart w:id="277" w:name="page278"/>
    <w:bookmarkEnd w:id="277"/>
    <w:p>
      <w:pPr>
        <w:jc w:val="center"/>
        <w:ind w:right="-65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18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0"/>
          <w:szCs w:val="20"/>
          <w:b w:val="1"/>
          <w:bCs w:val="1"/>
          <w:color w:val="auto"/>
        </w:rPr>
        <w:t>Calculation Guidelines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71717"/>
        </w:rPr>
        <w:t>For purposes of calculating the Recoupment Amount:</w:t>
      </w:r>
    </w:p>
    <w:p>
      <w:pPr>
        <w:spacing w:after="0" w:line="189" w:lineRule="exact"/>
        <w:rPr>
          <w:sz w:val="20"/>
          <w:szCs w:val="20"/>
          <w:color w:val="auto"/>
        </w:rPr>
      </w:pPr>
    </w:p>
    <w:p>
      <w:pPr>
        <w:jc w:val="both"/>
        <w:ind w:left="980" w:right="20" w:hanging="324"/>
        <w:spacing w:after="0" w:line="226" w:lineRule="auto"/>
        <w:tabs>
          <w:tab w:leader="none" w:pos="976" w:val="left"/>
        </w:tabs>
        <w:numPr>
          <w:ilvl w:val="0"/>
          <w:numId w:val="163"/>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w:t>
      </w:r>
    </w:p>
    <w:p>
      <w:pPr>
        <w:spacing w:after="0" w:line="187" w:lineRule="exact"/>
        <w:rPr>
          <w:rFonts w:ascii="Times New Roman" w:cs="Times New Roman" w:eastAsia="Times New Roman" w:hAnsi="Times New Roman"/>
          <w:sz w:val="20"/>
          <w:szCs w:val="20"/>
          <w:color w:val="171717"/>
        </w:rPr>
      </w:pPr>
    </w:p>
    <w:p>
      <w:pPr>
        <w:ind w:left="980" w:hanging="324"/>
        <w:spacing w:after="0"/>
        <w:tabs>
          <w:tab w:leader="none" w:pos="977" w:val="left"/>
        </w:tabs>
        <w:numPr>
          <w:ilvl w:val="0"/>
          <w:numId w:val="163"/>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For cash awards paid from bonus pools, the erroneously awarded compensation is the pro rata portion of any deficiency that results from the aggregate bonus pool that is reduced based on applying the restated Financial Reporting Measure.</w:t>
      </w:r>
    </w:p>
    <w:p>
      <w:pPr>
        <w:spacing w:after="0" w:line="174" w:lineRule="exact"/>
        <w:rPr>
          <w:rFonts w:ascii="Times New Roman" w:cs="Times New Roman" w:eastAsia="Times New Roman" w:hAnsi="Times New Roman"/>
          <w:sz w:val="20"/>
          <w:szCs w:val="20"/>
          <w:color w:val="171717"/>
        </w:rPr>
      </w:pPr>
    </w:p>
    <w:p>
      <w:pPr>
        <w:jc w:val="both"/>
        <w:ind w:left="980" w:right="20" w:hanging="324"/>
        <w:spacing w:after="0" w:line="218" w:lineRule="auto"/>
        <w:tabs>
          <w:tab w:leader="none" w:pos="978" w:val="left"/>
        </w:tabs>
        <w:numPr>
          <w:ilvl w:val="0"/>
          <w:numId w:val="163"/>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spacing w:after="0" w:line="177" w:lineRule="exact"/>
        <w:rPr>
          <w:rFonts w:ascii="Times New Roman" w:cs="Times New Roman" w:eastAsia="Times New Roman" w:hAnsi="Times New Roman"/>
          <w:sz w:val="20"/>
          <w:szCs w:val="20"/>
          <w:color w:val="171717"/>
        </w:rPr>
      </w:pPr>
    </w:p>
    <w:p>
      <w:pPr>
        <w:ind w:left="980" w:right="20" w:hanging="324"/>
        <w:spacing w:after="0"/>
        <w:tabs>
          <w:tab w:leader="none" w:pos="954" w:val="left"/>
        </w:tabs>
        <w:numPr>
          <w:ilvl w:val="0"/>
          <w:numId w:val="163"/>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For Incentive-Based Compensation based on stock price or TSR, where the amount of erroneously awarded compensation is not subject to mathematical recalculation directly from the information in an accounting restatement:</w:t>
      </w:r>
    </w:p>
    <w:p>
      <w:pPr>
        <w:spacing w:after="0" w:line="188" w:lineRule="exact"/>
        <w:rPr>
          <w:rFonts w:ascii="Times New Roman" w:cs="Times New Roman" w:eastAsia="Times New Roman" w:hAnsi="Times New Roman"/>
          <w:sz w:val="20"/>
          <w:szCs w:val="20"/>
          <w:color w:val="171717"/>
        </w:rPr>
      </w:pPr>
    </w:p>
    <w:p>
      <w:pPr>
        <w:ind w:left="2120" w:right="660" w:hanging="330"/>
        <w:spacing w:after="0" w:line="233" w:lineRule="auto"/>
        <w:tabs>
          <w:tab w:leader="none" w:pos="2109" w:val="left"/>
        </w:tabs>
        <w:numPr>
          <w:ilvl w:val="1"/>
          <w:numId w:val="163"/>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The amount must be based on a reasonable estimate of the effect of the accounting restatement on the stock price or TSR upon which the Incentive-Based Compensation was Received; and</w:t>
      </w:r>
    </w:p>
    <w:p>
      <w:pPr>
        <w:spacing w:after="0" w:line="187" w:lineRule="exact"/>
        <w:rPr>
          <w:rFonts w:ascii="Times New Roman" w:cs="Times New Roman" w:eastAsia="Times New Roman" w:hAnsi="Times New Roman"/>
          <w:sz w:val="20"/>
          <w:szCs w:val="20"/>
          <w:color w:val="171717"/>
        </w:rPr>
      </w:pPr>
    </w:p>
    <w:p>
      <w:pPr>
        <w:ind w:left="2120" w:right="660" w:hanging="330"/>
        <w:spacing w:after="0" w:line="233" w:lineRule="auto"/>
        <w:tabs>
          <w:tab w:leader="none" w:pos="212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71717"/>
        </w:rPr>
        <w:t>The Company must maintain documentation of the determination of that reasonable estimate and the Company must provide such documentation to the Exchange in all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0"/>
          <w:szCs w:val="20"/>
          <w:color w:val="auto"/>
        </w:rPr>
        <w:t>Nurix Therapeutics, Inc.</w:t>
      </w:r>
      <w:r>
        <w:rPr>
          <w:sz w:val="20"/>
          <w:szCs w:val="20"/>
          <w:color w:val="auto"/>
        </w:rPr>
        <w:tab/>
      </w:r>
      <w:r>
        <w:rPr>
          <w:rFonts w:ascii="Times New Roman" w:cs="Times New Roman" w:eastAsia="Times New Roman" w:hAnsi="Times New Roman"/>
          <w:sz w:val="19"/>
          <w:szCs w:val="19"/>
          <w:i w:val="1"/>
          <w:iCs w:val="1"/>
          <w:color w:val="auto"/>
        </w:rPr>
        <w:t>Compensation Recovery Policy</w:t>
      </w:r>
    </w:p>
    <w:p>
      <w:pPr>
        <w:ind w:left="5580"/>
        <w:spacing w:after="0"/>
        <w:rPr>
          <w:sz w:val="20"/>
          <w:szCs w:val="20"/>
          <w:color w:val="auto"/>
        </w:rPr>
      </w:pPr>
      <w:r>
        <w:rPr>
          <w:rFonts w:ascii="Times New Roman" w:cs="Times New Roman" w:eastAsia="Times New Roman" w:hAnsi="Times New Roman"/>
          <w:sz w:val="20"/>
          <w:szCs w:val="20"/>
          <w:i w:val="1"/>
          <w:iCs w:val="1"/>
          <w:color w:val="auto"/>
        </w:rPr>
        <w:t>7</w:t>
      </w:r>
    </w:p>
    <w:sectPr>
      <w:pgSz w:w="11900" w:h="16838" w:orient="portrait"/>
      <w:cols w:equalWidth="0" w:num="1">
        <w:col w:w="10600"/>
      </w:cols>
      <w:pgMar w:left="320" w:top="139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4330624"/>
    <w:multiLevelType w:val="hybridMultilevel"/>
    <w:lvl w:ilvl="0">
      <w:lvlJc w:val="left"/>
      <w:lvlText w:val="x"/>
      <w:numFmt w:val="bullet"/>
      <w:start w:val="1"/>
    </w:lvl>
  </w:abstractNum>
  <w:abstractNum w:abstractNumId="1">
    <w:nsid w:val="7FFFCA11"/>
    <w:multiLevelType w:val="hybridMultilevel"/>
    <w:lvl w:ilvl="0">
      <w:lvlJc w:val="left"/>
      <w:lvlText w:val="o"/>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lvl w:ilvl="1">
      <w:lvlJc w:val="left"/>
      <w:lvlText w:val="•"/>
      <w:numFmt w:val="bullet"/>
      <w:start w:val="1"/>
    </w:lvl>
  </w:abstractNum>
  <w:abstractNum w:abstractNumId="6">
    <w:nsid w:val="6EB5BD4"/>
    <w:multiLevelType w:val="hybridMultilevel"/>
    <w:lvl w:ilvl="0">
      <w:lvlJc w:val="left"/>
      <w:lvlText w:val="•"/>
      <w:numFmt w:val="bullet"/>
      <w:start w:val="1"/>
    </w:lvl>
    <w:lvl w:ilvl="1">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
      <w:numFmt w:val="bullet"/>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1)"/>
      <w:numFmt w:val="lowerRoman"/>
      <w:start w:val="1"/>
    </w:lvl>
  </w:abstractNum>
  <w:abstractNum w:abstractNumId="54">
    <w:nsid w:val="1D9F6E5F"/>
    <w:multiLevelType w:val="hybridMultilevel"/>
    <w:lvl w:ilvl="0">
      <w:lvlJc w:val="left"/>
      <w:lvlText w:val="(%1)"/>
      <w:numFmt w:val="decimal"/>
      <w:start w:val="1"/>
    </w:lvl>
  </w:abstractNum>
  <w:abstractNum w:abstractNumId="55">
    <w:nsid w:val="97E1B4E"/>
    <w:multiLevelType w:val="hybridMultilevel"/>
    <w:lvl w:ilvl="0">
      <w:lvlJc w:val="left"/>
      <w:lvlText w:val="(%1)"/>
      <w:numFmt w:val="decimal"/>
      <w:start w:val="1"/>
    </w:lvl>
  </w:abstractNum>
  <w:abstractNum w:abstractNumId="56">
    <w:nsid w:val="51088277"/>
    <w:multiLevelType w:val="hybridMultilevel"/>
    <w:lvl w:ilvl="0">
      <w:lvlJc w:val="left"/>
      <w:lvlText w:val="(%1)"/>
      <w:numFmt w:val="decimal"/>
      <w:start w:val="1"/>
    </w:lvl>
  </w:abstractNum>
  <w:abstractNum w:abstractNumId="57">
    <w:nsid w:val="1CA0C5FA"/>
    <w:multiLevelType w:val="hybridMultilevel"/>
    <w:lvl w:ilvl="0">
      <w:lvlJc w:val="left"/>
      <w:lvlText w:val="(%1)"/>
      <w:numFmt w:val="decimal"/>
      <w:start w:val="2"/>
    </w:lvl>
  </w:abstractNum>
  <w:abstractNum w:abstractNumId="58">
    <w:nsid w:val="53584BCB"/>
    <w:multiLevelType w:val="hybridMultilevel"/>
    <w:lvl w:ilvl="0">
      <w:lvlJc w:val="left"/>
      <w:lvlText w:val="(%1)"/>
      <w:numFmt w:val="decimal"/>
      <w:start w:val="3"/>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E7FFA2B"/>
    <w:multiLevelType w:val="hybridMultilevel"/>
    <w:lvl w:ilvl="0">
      <w:lvlJc w:val="left"/>
      <w:lvlText w:val="%1"/>
      <w:numFmt w:val="lowerLetter"/>
      <w:start w:val="1"/>
    </w:lvl>
    <w:lvl w:ilvl="1">
      <w:lvlJc w:val="left"/>
      <w:lvlText w:val="(%2)"/>
      <w:numFmt w:val="lowerRoman"/>
      <w:start w:val="4"/>
    </w:lvl>
  </w:abstractNum>
  <w:abstractNum w:abstractNumId="65">
    <w:nsid w:val="3C5991AA"/>
    <w:multiLevelType w:val="hybridMultilevel"/>
    <w:lvl w:ilvl="0">
      <w:lvlJc w:val="left"/>
      <w:lvlText w:val="(%1)"/>
      <w:numFmt w:val="lowerLetter"/>
      <w:start w:val="2"/>
    </w:lvl>
    <w:lvl w:ilvl="1">
      <w:lvlJc w:val="left"/>
      <w:lvlText w:val="%2"/>
      <w:numFmt w:val="lowerRoman"/>
      <w:start w:val="1"/>
    </w:lvl>
  </w:abstractNum>
  <w:abstractNum w:abstractNumId="66">
    <w:nsid w:val="4BD8591A"/>
    <w:multiLevelType w:val="hybridMultilevel"/>
    <w:lvl w:ilvl="0">
      <w:lvlJc w:val="left"/>
      <w:lvlText w:val="(%1)"/>
      <w:numFmt w:val="lowerLetter"/>
      <w:start w:val="3"/>
    </w:lvl>
  </w:abstractNum>
  <w:abstractNum w:abstractNumId="67">
    <w:nsid w:val="78DF6A55"/>
    <w:multiLevelType w:val="hybridMultilevel"/>
    <w:lvl w:ilvl="0">
      <w:lvlJc w:val="left"/>
      <w:lvlText w:val="(%1)"/>
      <w:numFmt w:val="lowerLetter"/>
      <w:start w:val="4"/>
    </w:lvl>
  </w:abstractNum>
  <w:abstractNum w:abstractNumId="68">
    <w:nsid w:val="39B7AAA2"/>
    <w:multiLevelType w:val="hybridMultilevel"/>
    <w:lvl w:ilvl="0">
      <w:lvlJc w:val="left"/>
      <w:lvlText w:val="(%1)"/>
      <w:numFmt w:val="lowerLetter"/>
      <w:start w:val="5"/>
    </w:lvl>
  </w:abstractNum>
  <w:abstractNum w:abstractNumId="69">
    <w:nsid w:val="2B0D8DBE"/>
    <w:multiLevelType w:val="hybridMultilevel"/>
    <w:lvl w:ilvl="0">
      <w:lvlJc w:val="left"/>
      <w:lvlText w:val="(%1)"/>
      <w:numFmt w:val="lowerLetter"/>
      <w:start w:val="8"/>
    </w:lvl>
  </w:abstractNum>
  <w:abstractNum w:abstractNumId="70">
    <w:nsid w:val="6C80EC70"/>
    <w:multiLevelType w:val="hybridMultilevel"/>
    <w:lvl w:ilvl="0">
      <w:lvlJc w:val="left"/>
      <w:lvlText w:val="[*]"/>
      <w:numFmt w:val="bullet"/>
      <w:start w:val="1"/>
    </w:lvl>
    <w:lvl w:ilvl="1">
      <w:lvlJc w:val="left"/>
      <w:lvlText w:val="(%2)"/>
      <w:numFmt w:val="lowerLetter"/>
      <w:start w:val="10"/>
    </w:lvl>
  </w:abstractNum>
  <w:abstractNum w:abstractNumId="71">
    <w:nsid w:val="379E21B5"/>
    <w:multiLevelType w:val="hybridMultilevel"/>
    <w:lvl w:ilvl="0">
      <w:lvlJc w:val="left"/>
      <w:lvlText w:val="[*]."/>
      <w:numFmt w:val="bullet"/>
      <w:start w:val="1"/>
    </w:lvl>
    <w:lvl w:ilvl="1">
      <w:lvlJc w:val="left"/>
      <w:lvlText w:val="(%2)"/>
      <w:numFmt w:val="lowerLetter"/>
      <w:start w:val="11"/>
    </w:lvl>
  </w:abstractNum>
  <w:abstractNum w:abstractNumId="72">
    <w:nsid w:val="69E373"/>
    <w:multiLevelType w:val="hybridMultilevel"/>
    <w:lvl w:ilvl="0">
      <w:lvlJc w:val="left"/>
      <w:lvlText w:val="[*]."/>
      <w:numFmt w:val="bullet"/>
      <w:start w:val="1"/>
    </w:lvl>
    <w:lvl w:ilvl="1">
      <w:lvlJc w:val="left"/>
      <w:lvlText w:val="(%2)"/>
      <w:numFmt w:val="lowerLetter"/>
      <w:start w:val="12"/>
    </w:lvl>
  </w:abstractNum>
  <w:abstractNum w:abstractNumId="73">
    <w:nsid w:val="2C27173B"/>
    <w:multiLevelType w:val="hybridMultilevel"/>
    <w:lvl w:ilvl="0">
      <w:lvlJc w:val="left"/>
      <w:lvlText w:val="(%1)"/>
      <w:numFmt w:val="lowerLetter"/>
      <w:start w:val="13"/>
    </w:lvl>
  </w:abstractNum>
  <w:abstractNum w:abstractNumId="74">
    <w:nsid w:val="4C9B0904"/>
    <w:multiLevelType w:val="hybridMultilevel"/>
    <w:lvl w:ilvl="0">
      <w:lvlJc w:val="left"/>
      <w:lvlText w:val="(%1)"/>
      <w:numFmt w:val="lowerLetter"/>
      <w:start w:val="1"/>
    </w:lvl>
  </w:abstractNum>
  <w:abstractNum w:abstractNumId="75">
    <w:nsid w:val="6AA7B75C"/>
    <w:multiLevelType w:val="hybridMultilevel"/>
    <w:lvl w:ilvl="0">
      <w:lvlJc w:val="left"/>
      <w:lvlText w:val="%1"/>
      <w:numFmt w:val="decimal"/>
      <w:start w:val="1"/>
    </w:lvl>
    <w:lvl w:ilvl="1">
      <w:lvlJc w:val="left"/>
      <w:lvlText w:val="(%2)"/>
      <w:numFmt w:val="lowerLetter"/>
      <w:start w:val="2"/>
    </w:lvl>
  </w:abstractNum>
  <w:abstractNum w:abstractNumId="76">
    <w:nsid w:val="1DF029D3"/>
    <w:multiLevelType w:val="hybridMultilevel"/>
    <w:lvl w:ilvl="0">
      <w:lvlJc w:val="left"/>
      <w:lvlText w:val="%1."/>
      <w:numFmt w:val="decimal"/>
      <w:start w:val="3"/>
    </w:lvl>
    <w:lvl w:ilvl="1">
      <w:lvlJc w:val="left"/>
      <w:lvlText w:val="(%2)"/>
      <w:numFmt w:val="lowerLetter"/>
      <w:start w:val="1"/>
    </w:lvl>
  </w:abstractNum>
  <w:abstractNum w:abstractNumId="77">
    <w:nsid w:val="5675FF36"/>
    <w:multiLevelType w:val="hybridMultilevel"/>
    <w:lvl w:ilvl="0">
      <w:lvlJc w:val="left"/>
      <w:lvlText w:val="(%1)"/>
      <w:numFmt w:val="lowerLetter"/>
      <w:start w:val="1"/>
    </w:lvl>
  </w:abstractNum>
  <w:abstractNum w:abstractNumId="78">
    <w:nsid w:val="3DD15094"/>
    <w:multiLevelType w:val="hybridMultilevel"/>
    <w:lvl w:ilvl="0">
      <w:lvlJc w:val="left"/>
      <w:lvlText w:val="(%1)"/>
      <w:numFmt w:val="lowerLetter"/>
      <w:start w:val="1"/>
    </w:lvl>
  </w:abstractNum>
  <w:abstractNum w:abstractNumId="79">
    <w:nsid w:val="3DB012B3"/>
    <w:multiLevelType w:val="hybridMultilevel"/>
    <w:lvl w:ilvl="0">
      <w:lvlJc w:val="left"/>
      <w:lvlText w:val="(%1)"/>
      <w:numFmt w:val="lowerLetter"/>
      <w:start w:val="1"/>
    </w:lvl>
  </w:abstractNum>
  <w:abstractNum w:abstractNumId="80">
    <w:nsid w:val="2708C9AF"/>
    <w:multiLevelType w:val="hybridMultilevel"/>
    <w:lvl w:ilvl="0">
      <w:lvlJc w:val="left"/>
      <w:lvlText w:val="(%1)"/>
      <w:numFmt w:val="lowerLetter"/>
      <w:start w:val="2"/>
    </w:lvl>
  </w:abstractNum>
  <w:abstractNum w:abstractNumId="81">
    <w:nsid w:val="5B25ACE2"/>
    <w:multiLevelType w:val="hybridMultilevel"/>
    <w:lvl w:ilvl="0">
      <w:lvlJc w:val="left"/>
      <w:lvlText w:val="[*]"/>
      <w:numFmt w:val="bullet"/>
      <w:start w:val="1"/>
    </w:lvl>
  </w:abstractNum>
  <w:abstractNum w:abstractNumId="82">
    <w:nsid w:val="175DFCF0"/>
    <w:multiLevelType w:val="hybridMultilevel"/>
    <w:lvl w:ilvl="0">
      <w:lvlJc w:val="left"/>
      <w:lvlText w:val="(%1)"/>
      <w:numFmt w:val="lowerLetter"/>
      <w:start w:val="1"/>
    </w:lvl>
  </w:abstractNum>
  <w:abstractNum w:abstractNumId="83">
    <w:nsid w:val="4F97E3E4"/>
    <w:multiLevelType w:val="hybridMultilevel"/>
    <w:lvl w:ilvl="0">
      <w:lvlJc w:val="left"/>
      <w:lvlText w:val="(%1)"/>
      <w:numFmt w:val="lowerLetter"/>
      <w:start w:val="1"/>
    </w:lvl>
  </w:abstractNum>
  <w:abstractNum w:abstractNumId="84">
    <w:nsid w:val="53B0A9E"/>
    <w:multiLevelType w:val="hybridMultilevel"/>
    <w:lvl w:ilvl="0">
      <w:lvlJc w:val="left"/>
      <w:lvlText w:val="(%1)"/>
      <w:numFmt w:val="lowerLetter"/>
      <w:start w:val="4"/>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1)"/>
      <w:numFmt w:val="lowerLetter"/>
      <w:start w:val="25"/>
    </w:lvl>
  </w:abstractNum>
  <w:abstractNum w:abstractNumId="87">
    <w:nsid w:val="56438D15"/>
    <w:multiLevelType w:val="hybridMultilevel"/>
    <w:lvl w:ilvl="0">
      <w:lvlJc w:val="left"/>
      <w:lvlText w:val="(%1)"/>
      <w:numFmt w:val="lowerLetter"/>
      <w:start w:val="1"/>
    </w:lvl>
  </w:abstractNum>
  <w:abstractNum w:abstractNumId="88">
    <w:nsid w:val="519E3149"/>
    <w:multiLevelType w:val="hybridMultilevel"/>
    <w:lvl w:ilvl="0">
      <w:lvlJc w:val="left"/>
      <w:lvlText w:val="[*]"/>
      <w:numFmt w:val="bullet"/>
      <w:start w:val="1"/>
    </w:lvl>
  </w:abstractNum>
  <w:abstractNum w:abstractNumId="89">
    <w:nsid w:val="2C6E4AFD"/>
    <w:multiLevelType w:val="hybridMultilevel"/>
    <w:lvl w:ilvl="0">
      <w:lvlJc w:val="left"/>
      <w:lvlText w:val="(%1)"/>
      <w:numFmt w:val="lowerLetter"/>
      <w:start w:val="5"/>
    </w:lvl>
  </w:abstractNum>
  <w:abstractNum w:abstractNumId="90">
    <w:nsid w:val="17A1B582"/>
    <w:multiLevelType w:val="hybridMultilevel"/>
    <w:lvl w:ilvl="0">
      <w:lvlJc w:val="left"/>
      <w:lvlText w:val="(%1)"/>
      <w:numFmt w:val="lowerLetter"/>
      <w:start w:val="1"/>
    </w:lvl>
  </w:abstractNum>
  <w:abstractNum w:abstractNumId="91">
    <w:nsid w:val="4DF72E4E"/>
    <w:multiLevelType w:val="hybridMultilevel"/>
    <w:lvl w:ilvl="0">
      <w:lvlJc w:val="left"/>
      <w:lvlText w:val="(%1)"/>
      <w:numFmt w:val="lowerLetter"/>
      <w:start w:val="2"/>
    </w:lvl>
  </w:abstractNum>
  <w:abstractNum w:abstractNumId="92">
    <w:nsid w:val="5046B5A9"/>
    <w:multiLevelType w:val="hybridMultilevel"/>
    <w:lvl w:ilvl="0">
      <w:lvlJc w:val="left"/>
      <w:lvlText w:val="(%1)"/>
      <w:numFmt w:val="lowerLetter"/>
      <w:start w:val="1"/>
    </w:lvl>
  </w:abstractNum>
  <w:abstractNum w:abstractNumId="93">
    <w:nsid w:val="5D888A08"/>
    <w:multiLevelType w:val="hybridMultilevel"/>
    <w:lvl w:ilvl="0">
      <w:lvlJc w:val="left"/>
      <w:lvlText w:val="(%1)"/>
      <w:numFmt w:val="lowerLetter"/>
      <w:start w:val="1"/>
    </w:lvl>
  </w:abstractNum>
  <w:abstractNum w:abstractNumId="94">
    <w:nsid w:val="2A082C70"/>
    <w:multiLevelType w:val="hybridMultilevel"/>
    <w:lvl w:ilvl="0">
      <w:lvlJc w:val="left"/>
      <w:lvlText w:val="(%1)"/>
      <w:numFmt w:val="lowerLetter"/>
      <w:start w:val="1"/>
    </w:lvl>
  </w:abstractNum>
  <w:abstractNum w:abstractNumId="95">
    <w:nsid w:val="5EC6AFD4"/>
    <w:multiLevelType w:val="hybridMultilevel"/>
    <w:lvl w:ilvl="0">
      <w:lvlJc w:val="left"/>
      <w:lvlText w:val="(%1)"/>
      <w:numFmt w:val="lowerLetter"/>
      <w:start w:val="1"/>
    </w:lvl>
  </w:abstractNum>
  <w:abstractNum w:abstractNumId="96">
    <w:nsid w:val="19E21BB2"/>
    <w:multiLevelType w:val="hybridMultilevel"/>
    <w:lvl w:ilvl="0">
      <w:lvlJc w:val="left"/>
      <w:lvlText w:val="(%1)"/>
      <w:numFmt w:val="lowerLetter"/>
      <w:start w:val="1"/>
    </w:lvl>
    <w:lvl w:ilvl="1">
      <w:lvlJc w:val="left"/>
      <w:lvlText w:val="(%2)"/>
      <w:numFmt w:val="lowerRoman"/>
      <w:start w:val="1"/>
    </w:lvl>
  </w:abstractNum>
  <w:abstractNum w:abstractNumId="97">
    <w:nsid w:val="75E0858A"/>
    <w:multiLevelType w:val="hybridMultilevel"/>
    <w:lvl w:ilvl="0">
      <w:lvlJc w:val="left"/>
      <w:lvlText w:val="(%1)"/>
      <w:numFmt w:val="lowerRoman"/>
      <w:start w:val="1"/>
    </w:lvl>
  </w:abstractNum>
  <w:abstractNum w:abstractNumId="98">
    <w:nsid w:val="57A61A29"/>
    <w:multiLevelType w:val="hybridMultilevel"/>
    <w:lvl w:ilvl="0">
      <w:lvlJc w:val="left"/>
      <w:lvlText w:val="(%1)"/>
      <w:numFmt w:val="decimal"/>
      <w:start w:val="1"/>
    </w:lvl>
  </w:abstractNum>
  <w:abstractNum w:abstractNumId="99">
    <w:nsid w:val="5399C654"/>
    <w:multiLevelType w:val="hybridMultilevel"/>
    <w:lvl w:ilvl="0">
      <w:lvlJc w:val="left"/>
      <w:lvlText w:val="(%1)"/>
      <w:numFmt w:val="lowerLetter"/>
      <w:start w:val="1"/>
    </w:lvl>
    <w:lvl w:ilvl="1">
      <w:lvlJc w:val="left"/>
      <w:lvlText w:val="(%2)"/>
      <w:numFmt w:val="upperLetter"/>
      <w:start w:val="1"/>
    </w:lvl>
  </w:abstractNum>
  <w:abstractNum w:abstractNumId="100">
    <w:nsid w:val="20EE1348"/>
    <w:multiLevelType w:val="hybridMultilevel"/>
    <w:lvl w:ilvl="0">
      <w:lvlJc w:val="left"/>
      <w:lvlText w:val="%1"/>
      <w:numFmt w:val="lowerLetter"/>
      <w:start w:val="1"/>
    </w:lvl>
    <w:lvl w:ilvl="1">
      <w:lvlJc w:val="left"/>
      <w:lvlText w:val="(%2)"/>
      <w:numFmt w:val="upperLetter"/>
      <w:start w:val="1"/>
    </w:lvl>
  </w:abstractNum>
  <w:abstractNum w:abstractNumId="101">
    <w:nsid w:val="4427069A"/>
    <w:multiLevelType w:val="hybridMultilevel"/>
    <w:lvl w:ilvl="0">
      <w:lvlJc w:val="left"/>
      <w:lvlText w:val="(%1)"/>
      <w:numFmt w:val="lowerLetter"/>
      <w:start w:val="4"/>
    </w:lvl>
    <w:lvl w:ilvl="1">
      <w:lvlJc w:val="left"/>
      <w:lvlText w:val="%2"/>
      <w:numFmt w:val="upperLetter"/>
      <w:start w:val="1"/>
    </w:lvl>
  </w:abstractNum>
  <w:abstractNum w:abstractNumId="102">
    <w:nsid w:val="B37E80A"/>
    <w:multiLevelType w:val="hybridMultilevel"/>
    <w:lvl w:ilvl="0">
      <w:lvlJc w:val="left"/>
      <w:lvlText w:val="(%1)"/>
      <w:numFmt w:val="lowerLetter"/>
      <w:start w:val="1"/>
    </w:lvl>
  </w:abstractNum>
  <w:abstractNum w:abstractNumId="103">
    <w:nsid w:val="2157F6BC"/>
    <w:multiLevelType w:val="hybridMultilevel"/>
    <w:lvl w:ilvl="0">
      <w:lvlJc w:val="left"/>
      <w:lvlText w:val="[*]."/>
      <w:numFmt w:val="bullet"/>
      <w:start w:val="1"/>
    </w:lvl>
  </w:abstractNum>
  <w:abstractNum w:abstractNumId="104">
    <w:nsid w:val="704E1DD5"/>
    <w:multiLevelType w:val="hybridMultilevel"/>
    <w:lvl w:ilvl="0">
      <w:lvlJc w:val="left"/>
      <w:lvlText w:val="(%1)"/>
      <w:numFmt w:val="lowerLetter"/>
      <w:start w:val="1"/>
    </w:lvl>
  </w:abstractNum>
  <w:abstractNum w:abstractNumId="105">
    <w:nsid w:val="57D2F10E"/>
    <w:multiLevelType w:val="hybridMultilevel"/>
    <w:lvl w:ilvl="0">
      <w:lvlJc w:val="left"/>
      <w:lvlText w:val="(%1)"/>
      <w:numFmt w:val="lowerLetter"/>
      <w:start w:val="2"/>
    </w:lvl>
  </w:abstractNum>
  <w:abstractNum w:abstractNumId="106">
    <w:nsid w:val="BFFAE18"/>
    <w:multiLevelType w:val="hybridMultilevel"/>
    <w:lvl w:ilvl="0">
      <w:lvlJc w:val="left"/>
      <w:lvlText w:val="(%1)"/>
      <w:numFmt w:val="lowerLetter"/>
      <w:start w:val="1"/>
    </w:lvl>
  </w:abstractNum>
  <w:abstractNum w:abstractNumId="107">
    <w:nsid w:val="E3E47A8"/>
    <w:multiLevelType w:val="hybridMultilevel"/>
    <w:lvl w:ilvl="0">
      <w:lvlJc w:val="left"/>
      <w:lvlText w:val="[*]"/>
      <w:numFmt w:val="bullet"/>
      <w:start w:val="1"/>
    </w:lvl>
    <w:lvl w:ilvl="1">
      <w:lvlJc w:val="left"/>
      <w:lvlText w:val="(%2)"/>
      <w:numFmt w:val="lowerLetter"/>
      <w:start w:val="2"/>
    </w:lvl>
  </w:abstractNum>
  <w:abstractNum w:abstractNumId="108">
    <w:nsid w:val="2E48F044"/>
    <w:multiLevelType w:val="hybridMultilevel"/>
    <w:lvl w:ilvl="0">
      <w:lvlJc w:val="left"/>
      <w:lvlText w:val="(%1)"/>
      <w:numFmt w:val="lowerLetter"/>
      <w:start w:val="1"/>
    </w:lvl>
  </w:abstractNum>
  <w:abstractNum w:abstractNumId="109">
    <w:nsid w:val="49D0FEAC"/>
    <w:multiLevelType w:val="hybridMultilevel"/>
    <w:lvl w:ilvl="0">
      <w:lvlJc w:val="left"/>
      <w:lvlText w:val="(%1)"/>
      <w:numFmt w:val="lowerLetter"/>
      <w:start w:val="3"/>
    </w:lvl>
  </w:abstractNum>
  <w:abstractNum w:abstractNumId="110">
    <w:nsid w:val="4BEE5A5B"/>
    <w:multiLevelType w:val="hybridMultilevel"/>
    <w:lvl w:ilvl="0">
      <w:lvlJc w:val="left"/>
      <w:lvlText w:val="(%1)"/>
      <w:numFmt w:val="lowerLetter"/>
      <w:start w:val="1"/>
    </w:lvl>
  </w:abstractNum>
  <w:abstractNum w:abstractNumId="111">
    <w:nsid w:val="5551B9F3"/>
    <w:multiLevelType w:val="hybridMultilevel"/>
    <w:lvl w:ilvl="0">
      <w:lvlJc w:val="left"/>
      <w:lvlText w:val="(%1)"/>
      <w:numFmt w:val="lowerLetter"/>
      <w:start w:val="1"/>
    </w:lvl>
  </w:abstractNum>
  <w:abstractNum w:abstractNumId="112">
    <w:nsid w:val="24F6AB8E"/>
    <w:multiLevelType w:val="hybridMultilevel"/>
    <w:lvl w:ilvl="0">
      <w:lvlJc w:val="left"/>
      <w:lvlText w:val="(%1)"/>
      <w:numFmt w:val="decimal"/>
      <w:start w:val="30"/>
    </w:lvl>
  </w:abstractNum>
  <w:abstractNum w:abstractNumId="113">
    <w:nsid w:val="634C574C"/>
    <w:multiLevelType w:val="hybridMultilevel"/>
    <w:lvl w:ilvl="0">
      <w:lvlJc w:val="left"/>
      <w:lvlText w:val="[*]"/>
      <w:numFmt w:val="bullet"/>
      <w:start w:val="1"/>
    </w:lvl>
  </w:abstractNum>
  <w:abstractNum w:abstractNumId="114">
    <w:nsid w:val="24E99DD7"/>
    <w:multiLevelType w:val="hybridMultilevel"/>
    <w:lvl w:ilvl="0">
      <w:lvlJc w:val="left"/>
      <w:lvlText w:val="%1"/>
      <w:numFmt w:val="lowerLetter"/>
      <w:start w:val="1"/>
    </w:lvl>
    <w:lvl w:ilvl="1">
      <w:lvlJc w:val="left"/>
      <w:lvlText w:val="(%2)"/>
      <w:numFmt w:val="lowerLetter"/>
      <w:start w:val="1"/>
    </w:lvl>
  </w:abstractNum>
  <w:abstractNum w:abstractNumId="115">
    <w:nsid w:val="2A31B62D"/>
    <w:multiLevelType w:val="hybridMultilevel"/>
    <w:lvl w:ilvl="0">
      <w:lvlJc w:val="left"/>
      <w:lvlText w:val="(%1)"/>
      <w:numFmt w:val="lowerLetter"/>
      <w:start w:val="2"/>
    </w:lvl>
    <w:lvl w:ilvl="1">
      <w:lvlJc w:val="left"/>
      <w:lvlText w:val="(%2)"/>
      <w:numFmt w:val="lowerLetter"/>
      <w:start w:val="3"/>
    </w:lvl>
  </w:abstractNum>
  <w:abstractNum w:abstractNumId="116">
    <w:nsid w:val="1849C29B"/>
    <w:multiLevelType w:val="hybridMultilevel"/>
    <w:lvl w:ilvl="0">
      <w:lvlJc w:val="left"/>
      <w:lvlText w:val="(%1)"/>
      <w:numFmt w:val="lowerLetter"/>
      <w:start w:val="1"/>
    </w:lvl>
  </w:abstractNum>
  <w:abstractNum w:abstractNumId="117">
    <w:nsid w:val="7DFF9D09"/>
    <w:multiLevelType w:val="hybridMultilevel"/>
    <w:lvl w:ilvl="0">
      <w:lvlJc w:val="left"/>
      <w:lvlText w:val="(%1)"/>
      <w:numFmt w:val="lowerLetter"/>
      <w:start w:val="1"/>
    </w:lvl>
  </w:abstractNum>
  <w:abstractNum w:abstractNumId="118">
    <w:nsid w:val="754342"/>
    <w:multiLevelType w:val="hybridMultilevel"/>
    <w:lvl w:ilvl="0">
      <w:lvlJc w:val="left"/>
      <w:lvlText w:val="(%1)"/>
      <w:numFmt w:val="lowerLetter"/>
      <w:start w:val="3"/>
    </w:lvl>
  </w:abstractNum>
  <w:abstractNum w:abstractNumId="119">
    <w:nsid w:val="69E7F3E5"/>
    <w:multiLevelType w:val="hybridMultilevel"/>
    <w:lvl w:ilvl="0">
      <w:lvlJc w:val="left"/>
      <w:lvlText w:val="(%1)"/>
      <w:numFmt w:val="lowerLetter"/>
      <w:start w:val="1"/>
    </w:lvl>
  </w:abstractNum>
  <w:abstractNum w:abstractNumId="120">
    <w:nsid w:val="2A6DE806"/>
    <w:multiLevelType w:val="hybridMultilevel"/>
    <w:lvl w:ilvl="0">
      <w:lvlJc w:val="left"/>
      <w:lvlText w:val="(%1)"/>
      <w:numFmt w:val="lowerLetter"/>
      <w:start w:val="1"/>
    </w:lvl>
  </w:abstractNum>
  <w:abstractNum w:abstractNumId="121">
    <w:nsid w:val="1816F8C4"/>
    <w:multiLevelType w:val="hybridMultilevel"/>
    <w:lvl w:ilvl="0">
      <w:lvlJc w:val="left"/>
      <w:lvlText w:val="(%1)"/>
      <w:numFmt w:val="lowerLetter"/>
      <w:start w:val="1"/>
    </w:lvl>
  </w:abstractNum>
  <w:abstractNum w:abstractNumId="122">
    <w:nsid w:val="37DF2233"/>
    <w:multiLevelType w:val="hybridMultilevel"/>
    <w:lvl w:ilvl="0">
      <w:lvlJc w:val="left"/>
      <w:lvlText w:val="(%1)"/>
      <w:numFmt w:val="lowerLetter"/>
      <w:start w:val="7"/>
    </w:lvl>
  </w:abstractNum>
  <w:abstractNum w:abstractNumId="123">
    <w:nsid w:val="7AB49DAF"/>
    <w:multiLevelType w:val="hybridMultilevel"/>
    <w:lvl w:ilvl="0">
      <w:lvlJc w:val="left"/>
      <w:lvlText w:val="(%1)"/>
      <w:numFmt w:val="lowerLetter"/>
      <w:start w:val="1"/>
    </w:lvl>
  </w:abstractNum>
  <w:abstractNum w:abstractNumId="124">
    <w:nsid w:val="759F82CD"/>
    <w:multiLevelType w:val="hybridMultilevel"/>
    <w:lvl w:ilvl="0">
      <w:lvlJc w:val="left"/>
      <w:lvlText w:val="(%1)"/>
      <w:numFmt w:val="lowerLetter"/>
      <w:start w:val="4"/>
    </w:lvl>
  </w:abstractNum>
  <w:abstractNum w:abstractNumId="125">
    <w:nsid w:val="61E74EA3"/>
    <w:multiLevelType w:val="hybridMultilevel"/>
    <w:lvl w:ilvl="0">
      <w:lvlJc w:val="left"/>
      <w:lvlText w:val="(%1)"/>
      <w:numFmt w:val="lowerLetter"/>
      <w:start w:val="1"/>
    </w:lvl>
  </w:abstractNum>
  <w:abstractNum w:abstractNumId="126">
    <w:nsid w:val="597B4D84"/>
    <w:multiLevelType w:val="hybridMultilevel"/>
    <w:lvl w:ilvl="0">
      <w:lvlJc w:val="left"/>
      <w:lvlText w:val="%1"/>
      <w:numFmt w:val="lowerLetter"/>
      <w:start w:val="1"/>
    </w:lvl>
    <w:lvl w:ilvl="1">
      <w:lvlJc w:val="left"/>
      <w:lvlText w:val="(%2)"/>
      <w:numFmt w:val="lowerLetter"/>
      <w:start w:val="3"/>
    </w:lvl>
  </w:abstractNum>
  <w:abstractNum w:abstractNumId="127">
    <w:nsid w:val="F819E7F"/>
    <w:multiLevelType w:val="hybridMultilevel"/>
    <w:lvl w:ilvl="0">
      <w:lvlJc w:val="left"/>
      <w:lvlText w:val="(%1)"/>
      <w:numFmt w:val="lowerLetter"/>
      <w:start w:val="9"/>
    </w:lvl>
    <w:lvl w:ilvl="1">
      <w:lvlJc w:val="left"/>
      <w:lvlText w:val="(%2)"/>
      <w:numFmt w:val="lowerLetter"/>
      <w:start w:val="4"/>
    </w:lvl>
  </w:abstractNum>
  <w:abstractNum w:abstractNumId="128">
    <w:nsid w:val="57C7D42D"/>
    <w:multiLevelType w:val="hybridMultilevel"/>
    <w:lvl w:ilvl="0">
      <w:lvlJc w:val="left"/>
      <w:lvlText w:val="(%1)"/>
      <w:numFmt w:val="lowerLetter"/>
      <w:start w:val="7"/>
    </w:lvl>
  </w:abstractNum>
  <w:abstractNum w:abstractNumId="129">
    <w:nsid w:val="312167AD"/>
    <w:multiLevelType w:val="hybridMultilevel"/>
    <w:lvl w:ilvl="0">
      <w:lvlJc w:val="left"/>
      <w:lvlText w:val="(%1)"/>
      <w:numFmt w:val="lowerLetter"/>
      <w:start w:val="1"/>
    </w:lvl>
  </w:abstractNum>
  <w:abstractNum w:abstractNumId="130">
    <w:nsid w:val="631B64D4"/>
    <w:multiLevelType w:val="hybridMultilevel"/>
    <w:lvl w:ilvl="0">
      <w:lvlJc w:val="left"/>
      <w:lvlText w:val="(%1)"/>
      <w:numFmt w:val="lowerLetter"/>
      <w:start w:val="1"/>
    </w:lvl>
  </w:abstractNum>
  <w:abstractNum w:abstractNumId="131">
    <w:nsid w:val="78B5E776"/>
    <w:multiLevelType w:val="hybridMultilevel"/>
    <w:lvl w:ilvl="0">
      <w:lvlJc w:val="left"/>
      <w:lvlText w:val="(%1)"/>
      <w:numFmt w:val="lowerLetter"/>
      <w:start w:val="1"/>
    </w:lvl>
  </w:abstractNum>
  <w:abstractNum w:abstractNumId="132">
    <w:nsid w:val="75486E47"/>
    <w:multiLevelType w:val="hybridMultilevel"/>
    <w:lvl w:ilvl="0">
      <w:lvlJc w:val="left"/>
      <w:lvlText w:val="(%1)"/>
      <w:numFmt w:val="lowerLetter"/>
      <w:start w:val="1"/>
    </w:lvl>
  </w:abstractNum>
  <w:abstractNum w:abstractNumId="133">
    <w:nsid w:val="6E534CDE"/>
    <w:multiLevelType w:val="hybridMultilevel"/>
    <w:lvl w:ilvl="0">
      <w:lvlJc w:val="left"/>
      <w:lvlText w:val="(%1)"/>
      <w:numFmt w:val="lowerLetter"/>
      <w:start w:val="1"/>
    </w:lvl>
  </w:abstractNum>
  <w:abstractNum w:abstractNumId="134">
    <w:nsid w:val="1A0DDE32"/>
    <w:multiLevelType w:val="hybridMultilevel"/>
    <w:lvl w:ilvl="0">
      <w:lvlJc w:val="left"/>
      <w:lvlText w:val="(%1)"/>
      <w:numFmt w:val="lowerLetter"/>
      <w:start w:val="1"/>
    </w:lvl>
  </w:abstractNum>
  <w:abstractNum w:abstractNumId="135">
    <w:nsid w:val="65968C1C"/>
    <w:multiLevelType w:val="hybridMultilevel"/>
    <w:lvl w:ilvl="0">
      <w:lvlJc w:val="left"/>
      <w:lvlText w:val="[*]"/>
      <w:numFmt w:val="bullet"/>
      <w:start w:val="1"/>
    </w:lvl>
  </w:abstractNum>
  <w:abstractNum w:abstractNumId="136">
    <w:nsid w:val="46263DEC"/>
    <w:multiLevelType w:val="hybridMultilevel"/>
    <w:lvl w:ilvl="0">
      <w:lvlJc w:val="left"/>
      <w:lvlText w:val="(%1)"/>
      <w:numFmt w:val="lowerLetter"/>
      <w:start w:val="1"/>
    </w:lvl>
  </w:abstractNum>
  <w:abstractNum w:abstractNumId="137">
    <w:nsid w:val="260D8C4A"/>
    <w:multiLevelType w:val="hybridMultilevel"/>
    <w:lvl w:ilvl="0">
      <w:lvlJc w:val="left"/>
      <w:lvlText w:val="(%1)"/>
      <w:numFmt w:val="lowerLetter"/>
      <w:start w:val="3"/>
    </w:lvl>
  </w:abstractNum>
  <w:abstractNum w:abstractNumId="138">
    <w:nsid w:val="73D4D3C4"/>
    <w:multiLevelType w:val="hybridMultilevel"/>
    <w:lvl w:ilvl="0">
      <w:lvlJc w:val="left"/>
      <w:lvlText w:val="(%1)"/>
      <w:numFmt w:val="lowerLetter"/>
      <w:start w:val="1"/>
    </w:lvl>
  </w:abstractNum>
  <w:abstractNum w:abstractNumId="139">
    <w:nsid w:val="746F2E30"/>
    <w:multiLevelType w:val="hybridMultilevel"/>
    <w:lvl w:ilvl="0">
      <w:lvlJc w:val="left"/>
      <w:lvlText w:val="(%1)"/>
      <w:numFmt w:val="lowerLetter"/>
      <w:start w:val="6"/>
    </w:lvl>
  </w:abstractNum>
  <w:abstractNum w:abstractNumId="140">
    <w:nsid w:val="6FDE8AF6"/>
    <w:multiLevelType w:val="hybridMultilevel"/>
    <w:lvl w:ilvl="0">
      <w:lvlJc w:val="left"/>
      <w:lvlText w:val="(%1)"/>
      <w:numFmt w:val="lowerLetter"/>
      <w:start w:val="1"/>
    </w:lvl>
  </w:abstractNum>
  <w:abstractNum w:abstractNumId="141">
    <w:nsid w:val="3FC32E20"/>
    <w:multiLevelType w:val="hybridMultilevel"/>
    <w:lvl w:ilvl="0">
      <w:lvlJc w:val="left"/>
      <w:lvlText w:val="(%1)"/>
      <w:numFmt w:val="lowerLetter"/>
      <w:start w:val="1"/>
    </w:lvl>
  </w:abstractNum>
  <w:abstractNum w:abstractNumId="142">
    <w:nsid w:val="49C0E823"/>
    <w:multiLevelType w:val="hybridMultilevel"/>
    <w:lvl w:ilvl="0">
      <w:lvlJc w:val="left"/>
      <w:lvlText w:val="(%1)"/>
      <w:numFmt w:val="lowerLetter"/>
      <w:start w:val="1"/>
    </w:lvl>
  </w:abstractNum>
  <w:abstractNum w:abstractNumId="143">
    <w:nsid w:val="14D53685"/>
    <w:multiLevelType w:val="hybridMultilevel"/>
    <w:lvl w:ilvl="0">
      <w:lvlJc w:val="left"/>
      <w:lvlText w:val="(%1)"/>
      <w:numFmt w:val="lowerLetter"/>
      <w:start w:val="1"/>
    </w:lvl>
  </w:abstractNum>
  <w:abstractNum w:abstractNumId="144">
    <w:nsid w:val="230F856C"/>
    <w:multiLevelType w:val="hybridMultilevel"/>
    <w:lvl w:ilvl="0">
      <w:lvlJc w:val="left"/>
      <w:lvlText w:val="%1"/>
      <w:numFmt w:val="lowerLetter"/>
      <w:start w:val="1"/>
    </w:lvl>
    <w:lvl w:ilvl="1">
      <w:lvlJc w:val="left"/>
      <w:lvlText w:val="(%2)"/>
      <w:numFmt w:val="lowerLetter"/>
      <w:start w:val="1"/>
    </w:lvl>
  </w:abstractNum>
  <w:abstractNum w:abstractNumId="145">
    <w:nsid w:val="6EAA85FB"/>
    <w:multiLevelType w:val="hybridMultilevel"/>
    <w:lvl w:ilvl="0">
      <w:lvlJc w:val="left"/>
      <w:lvlText w:val="(%1)"/>
      <w:numFmt w:val="lowerLetter"/>
      <w:start w:val="61"/>
    </w:lvl>
    <w:lvl w:ilvl="1">
      <w:lvlJc w:val="left"/>
      <w:lvlText w:val="%2"/>
      <w:numFmt w:val="lowerLetter"/>
      <w:start w:val="1"/>
    </w:lvl>
  </w:abstractNum>
  <w:abstractNum w:abstractNumId="146">
    <w:nsid w:val="3F06ECB2"/>
    <w:multiLevelType w:val="hybridMultilevel"/>
    <w:lvl w:ilvl="0">
      <w:lvlJc w:val="left"/>
      <w:lvlText w:val="%1"/>
      <w:numFmt w:val="decimal"/>
      <w:start w:val="1"/>
    </w:lvl>
    <w:lvl w:ilvl="1">
      <w:lvlJc w:val="left"/>
      <w:lvlText w:val="(%2)"/>
      <w:numFmt w:val="lowerLetter"/>
      <w:start w:val="1"/>
    </w:lvl>
  </w:abstractNum>
  <w:abstractNum w:abstractNumId="147">
    <w:nsid w:val="3B594807"/>
    <w:multiLevelType w:val="hybridMultilevel"/>
    <w:lvl w:ilvl="0">
      <w:lvlJc w:val="left"/>
      <w:lvlText w:val="(%1)"/>
      <w:numFmt w:val="decimal"/>
      <w:start w:val="2"/>
    </w:lvl>
    <w:lvl w:ilvl="1">
      <w:lvlJc w:val="left"/>
      <w:lvlText w:val="(%2)"/>
      <w:numFmt w:val="lowerLetter"/>
      <w:start w:val="2"/>
    </w:lvl>
  </w:abstractNum>
  <w:abstractNum w:abstractNumId="148">
    <w:nsid w:val="6CAA2304"/>
    <w:multiLevelType w:val="hybridMultilevel"/>
    <w:lvl w:ilvl="0">
      <w:lvlJc w:val="left"/>
      <w:lvlText w:val="(%1)"/>
      <w:numFmt w:val="lowerLetter"/>
      <w:start w:val="8"/>
    </w:lvl>
  </w:abstractNum>
  <w:abstractNum w:abstractNumId="149">
    <w:nsid w:val="3F7C2FF4"/>
    <w:multiLevelType w:val="hybridMultilevel"/>
    <w:lvl w:ilvl="0">
      <w:lvlJc w:val="left"/>
      <w:lvlText w:val="(%1)"/>
      <w:numFmt w:val="lowerLetter"/>
      <w:start w:val="1"/>
    </w:lvl>
  </w:abstractNum>
  <w:abstractNum w:abstractNumId="150">
    <w:nsid w:val="25413BEC"/>
    <w:multiLevelType w:val="hybridMultilevel"/>
    <w:lvl w:ilvl="0">
      <w:lvlJc w:val="left"/>
      <w:lvlText w:val="(%1)"/>
      <w:numFmt w:val="lowerLetter"/>
      <w:start w:val="12"/>
    </w:lvl>
  </w:abstractNum>
  <w:abstractNum w:abstractNumId="151">
    <w:nsid w:val="17180B0B"/>
    <w:multiLevelType w:val="hybridMultilevel"/>
    <w:lvl w:ilvl="0">
      <w:lvlJc w:val="left"/>
      <w:lvlText w:val="%1."/>
      <w:numFmt w:val="decimal"/>
      <w:start w:val="1"/>
    </w:lvl>
    <w:lvl w:ilvl="1">
      <w:lvlJc w:val="left"/>
      <w:lvlText w:val="%2."/>
      <w:numFmt w:val="lowerLetter"/>
      <w:start w:val="1"/>
    </w:lvl>
  </w:abstractNum>
  <w:abstractNum w:abstractNumId="152">
    <w:nsid w:val="579328B9"/>
    <w:multiLevelType w:val="hybridMultilevel"/>
    <w:lvl w:ilvl="0">
      <w:lvlJc w:val="left"/>
      <w:lvlText w:val="%1."/>
      <w:numFmt w:val="decimal"/>
      <w:start w:val="1"/>
    </w:lvl>
    <w:lvl w:ilvl="1">
      <w:lvlJc w:val="left"/>
      <w:lvlText w:val="%2."/>
      <w:numFmt w:val="lowerLetter"/>
      <w:start w:val="1"/>
    </w:lvl>
  </w:abstractNum>
  <w:abstractNum w:abstractNumId="153">
    <w:nsid w:val="5D205E20"/>
    <w:multiLevelType w:val="hybridMultilevel"/>
    <w:lvl w:ilvl="0">
      <w:lvlJc w:val="left"/>
      <w:lvlText w:val="%1."/>
      <w:numFmt w:val="decimal"/>
      <w:start w:val="1"/>
    </w:lvl>
  </w:abstractNum>
  <w:abstractNum w:abstractNumId="154">
    <w:nsid w:val="11CCA8BA"/>
    <w:multiLevelType w:val="hybridMultilevel"/>
    <w:lvl w:ilvl="0">
      <w:lvlJc w:val="left"/>
      <w:lvlText w:val="%1."/>
      <w:numFmt w:val="lowerRoman"/>
      <w:start w:val="1"/>
    </w:lvl>
  </w:abstractNum>
  <w:abstractNum w:abstractNumId="155">
    <w:nsid w:val="4D32AB86"/>
    <w:multiLevelType w:val="hybridMultilevel"/>
    <w:lvl w:ilvl="0">
      <w:lvlJc w:val="left"/>
      <w:lvlText w:val="%1."/>
      <w:numFmt w:val="lowerRoman"/>
      <w:start w:val="2"/>
    </w:lvl>
  </w:abstractNum>
  <w:abstractNum w:abstractNumId="156">
    <w:nsid w:val="3F07ACC3"/>
    <w:multiLevelType w:val="hybridMultilevel"/>
    <w:lvl w:ilvl="0">
      <w:lvlJc w:val="left"/>
      <w:lvlText w:val="%1."/>
      <w:numFmt w:val="lowerRoman"/>
      <w:start w:val="1"/>
    </w:lvl>
  </w:abstractNum>
  <w:abstractNum w:abstractNumId="157">
    <w:nsid w:val="6B47F63E"/>
    <w:multiLevelType w:val="hybridMultilevel"/>
    <w:lvl w:ilvl="0">
      <w:lvlJc w:val="left"/>
      <w:lvlText w:val="%1."/>
      <w:numFmt w:val="lowerRoman"/>
      <w:start w:val="2"/>
    </w:lvl>
  </w:abstractNum>
  <w:abstractNum w:abstractNumId="158">
    <w:nsid w:val="5CB44A05"/>
    <w:multiLevelType w:val="hybridMultilevel"/>
    <w:lvl w:ilvl="0">
      <w:lvlJc w:val="left"/>
      <w:lvlText w:val="%1."/>
      <w:numFmt w:val="lowerRoman"/>
      <w:start w:val="1"/>
    </w:lvl>
  </w:abstractNum>
  <w:abstractNum w:abstractNumId="159">
    <w:nsid w:val="16CF80F1"/>
    <w:multiLevelType w:val="hybridMultilevel"/>
    <w:lvl w:ilvl="0">
      <w:lvlJc w:val="left"/>
      <w:lvlText w:val="(%1)"/>
      <w:numFmt w:val="lowerRoman"/>
      <w:start w:val="1"/>
    </w:lvl>
  </w:abstractNum>
  <w:abstractNum w:abstractNumId="160">
    <w:nsid w:val="1C695DEC"/>
    <w:multiLevelType w:val="hybridMultilevel"/>
    <w:lvl w:ilvl="0">
      <w:lvlJc w:val="left"/>
      <w:lvlText w:val="%1."/>
      <w:numFmt w:val="lowerRoman"/>
      <w:start w:val="1"/>
    </w:lvl>
  </w:abstractNum>
  <w:abstractNum w:abstractNumId="161">
    <w:nsid w:val="3FCFAED9"/>
    <w:multiLevelType w:val="hybridMultilevel"/>
    <w:lvl w:ilvl="0">
      <w:lvlJc w:val="left"/>
      <w:lvlText w:val="%1."/>
      <w:numFmt w:val="decimal"/>
      <w:start w:val="1"/>
    </w:lvl>
  </w:abstractNum>
  <w:abstractNum w:abstractNumId="162">
    <w:nsid w:val="F856867"/>
    <w:multiLevelType w:val="hybridMultilevel"/>
    <w:lvl w:ilvl="0">
      <w:lvlJc w:val="left"/>
      <w:lvlText w:val="%1."/>
      <w:numFmt w:val="lowerRoman"/>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36"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05" Type="http://schemas.openxmlformats.org/officeDocument/2006/relationships/hyperlink" Target="http://www.sec.gov/Archives/edgar/data/1549595/000156459020046400/nrix-ex31_464.htm" TargetMode="External"/><Relationship Id="rId206" Type="http://schemas.openxmlformats.org/officeDocument/2006/relationships/hyperlink" Target="http://www.sec.gov/Archives/edgar/data/1549595/000119312522307328/d410964dex31.htm" TargetMode="External"/><Relationship Id="rId207" Type="http://schemas.openxmlformats.org/officeDocument/2006/relationships/hyperlink" Target="http://www.sec.gov/Archives/edgar/data/1549595/000119312520186809/d903927dex41.htm" TargetMode="External"/><Relationship Id="rId208" Type="http://schemas.openxmlformats.org/officeDocument/2006/relationships/hyperlink" Target="http://www.sec.gov/Archives/edgar/data/1549595/000119312520186809/d903927dex42.htm" TargetMode="External"/><Relationship Id="rId209" Type="http://schemas.openxmlformats.org/officeDocument/2006/relationships/hyperlink" Target="https://www.sec.gov/Archives/edgar/data/1549595/000154959523000021/nrix-20221130xexx43.htm" TargetMode="External"/><Relationship Id="rId210" Type="http://schemas.openxmlformats.org/officeDocument/2006/relationships/hyperlink" Target="http://www.sec.gov/Archives/edgar/data/1549595/000119312522190492/d355546dex41.htm" TargetMode="External"/><Relationship Id="rId211" Type="http://schemas.openxmlformats.org/officeDocument/2006/relationships/hyperlink" Target="http://www.sec.gov/Archives/edgar/data/1549595/000119312520186809/d903927dex101.htm" TargetMode="External"/><Relationship Id="rId212" Type="http://schemas.openxmlformats.org/officeDocument/2006/relationships/hyperlink" Target="http://www.sec.gov/Archives/edgar/data/1549595/000119312520186809/d903927dex102.htm" TargetMode="External"/><Relationship Id="rId213" Type="http://schemas.openxmlformats.org/officeDocument/2006/relationships/hyperlink" Target="http://www.sec.gov/Archives/edgar/data/1549595/000119312520195056/d903927dex103.htm" TargetMode="External"/><Relationship Id="rId214" Type="http://schemas.openxmlformats.org/officeDocument/2006/relationships/hyperlink" Target="http://www.sec.gov/Archives/edgar/data/1549595/000119312520195056/d903927dex104.htm" TargetMode="External"/><Relationship Id="rId215" Type="http://schemas.openxmlformats.org/officeDocument/2006/relationships/hyperlink" Target="http://www.sec.gov/Archives/edgar/data/1549595/000119312520195056/d903927dex105.htm" TargetMode="External"/><Relationship Id="rId216" Type="http://schemas.openxmlformats.org/officeDocument/2006/relationships/hyperlink" Target="http://www.sec.gov/Archives/edgar/data/1549595/000119312520186809/d903927dex1011.htm" TargetMode="External"/><Relationship Id="rId217" Type="http://schemas.openxmlformats.org/officeDocument/2006/relationships/hyperlink" Target="http://www.sec.gov/Archives/edgar/data/1549595/000119312520195056/d903927dex107.htm" TargetMode="External"/><Relationship Id="rId218" Type="http://schemas.openxmlformats.org/officeDocument/2006/relationships/hyperlink" Target="http://www.sec.gov/Archives/edgar/data/0001549595/000156459021006071/nrix-ex107_389.htm" TargetMode="External"/><Relationship Id="rId219" Type="http://schemas.openxmlformats.org/officeDocument/2006/relationships/hyperlink" Target="http://www.sec.gov/Archives/edgar/data/1549595/000156459022003007/nrix-ex109_580.htm" TargetMode="External"/><Relationship Id="rId220" Type="http://schemas.openxmlformats.org/officeDocument/2006/relationships/hyperlink" Target="http://www.sec.gov/Archives/edgar/data/1549595/000156459022003007/nrix-ex1011_579.htm" TargetMode="External"/><Relationship Id="rId221" Type="http://schemas.openxmlformats.org/officeDocument/2006/relationships/hyperlink" Target="http://www.sec.gov/Archives/edgar/data/1549595/000119312520186809/d903927dex108.htm" TargetMode="External"/><Relationship Id="rId222" Type="http://schemas.openxmlformats.org/officeDocument/2006/relationships/hyperlink" Target="http://www.sec.gov/Archives/edgar/data/0001549595/000156459021050851/nrix-ex102_26.htm" TargetMode="External"/><Relationship Id="rId225" Type="http://schemas.openxmlformats.org/officeDocument/2006/relationships/hyperlink" Target="https://www.sec.gov/Archives/edgar/data/1549595/000154959523000048/nrix-20230831xex101.htm" TargetMode="External"/><Relationship Id="rId226" Type="http://schemas.openxmlformats.org/officeDocument/2006/relationships/hyperlink" Target="http://www.sec.gov/Archives/edgar/data/1549595/000156459022013988/nrix-ex101_270.htm" TargetMode="External"/><Relationship Id="rId227" Type="http://schemas.openxmlformats.org/officeDocument/2006/relationships/hyperlink" Target="https://www.sec.gov/Archives/edgar/data/1549595/000154959523000048/nrix-20230831xex102.htm" TargetMode="External"/><Relationship Id="rId228" Type="http://schemas.openxmlformats.org/officeDocument/2006/relationships/hyperlink" Target="http://www.sec.gov/Archives/edgar/data/1549595/000119312520186809/d903927dex109.htm" TargetMode="External"/><Relationship Id="rId229" Type="http://schemas.openxmlformats.org/officeDocument/2006/relationships/hyperlink" Target="http://www.sec.gov/Archives/edgar/data/1549595/000156459022033709/nrix-ex102_182.htm" TargetMode="External"/><Relationship Id="rId230" Type="http://schemas.openxmlformats.org/officeDocument/2006/relationships/hyperlink" Target="http://www.sec.gov/Archives/edgar/data/1549595/000156459022033709/nrix-ex103_181.htm" TargetMode="External"/><Relationship Id="rId231" Type="http://schemas.openxmlformats.org/officeDocument/2006/relationships/hyperlink" Target="http://www.sec.gov/Archives/edgar/data/1549595/000119312520186809/d903927dex1010.htm" TargetMode="External"/><Relationship Id="rId232" Type="http://schemas.openxmlformats.org/officeDocument/2006/relationships/hyperlink" Target="http://www.sec.gov/Archives/edgar/data/0001549595/000156459021006071/nrix-ex1011_158.htm" TargetMode="External"/><Relationship Id="rId233" Type="http://schemas.openxmlformats.org/officeDocument/2006/relationships/hyperlink" Target="http://www.sec.gov/Archives/edgar/data/1549595/000156459022033709/nrix-ex104_180.htm" TargetMode="External"/><Relationship Id="rId234" Type="http://schemas.openxmlformats.org/officeDocument/2006/relationships/hyperlink" Target="http://www.sec.gov/Archives/edgar/data/1549595/000156459022033709/nrix-ex105_179.htm" TargetMode="External"/><Relationship Id="rId235" Type="http://schemas.openxmlformats.org/officeDocument/2006/relationships/hyperlink" Target="http://www.sec.gov/Archives/edgar/data/1549595/000156459022033709/nrix-ex106_183.htm" TargetMode="External"/><Relationship Id="rId237" Type="http://schemas.openxmlformats.org/officeDocument/2006/relationships/hyperlink" Target="http://www.sec.gov/Archives/edgar/data/1549595/000119312521236301/d211774dex12.htm" TargetMode="External"/><Relationship Id="rId238" Type="http://schemas.openxmlformats.org/officeDocument/2006/relationships/hyperlink" Target="https://www.sec.gov/Archives/edgar/data/1549595/000156459022003007/nrix-ex211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2024-02-15T15:27:11Z</dcterms:created>
  <dcterms:modified xsi:type="dcterms:W3CDTF">2024-02-15T15:27:11Z</dcterms:modified>
</cp:coreProperties>
</file>