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340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34047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Ring Christine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NURIX THERAPEUTICS,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1600 SIERRA POINT PKWY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Nurix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NRIX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04/30/2026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14"/>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60" w:type="dxa"/>
            <w:vAlign w:val="bottom"/>
            <w:gridSpan w:val="6"/>
          </w:tcPr>
          <w:p>
            <w:pPr>
              <w:jc w:val="right"/>
              <w:ind w:right="34"/>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2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94005</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5020" w:type="dxa"/>
            <w:vAlign w:val="bottom"/>
            <w:tcBorders>
              <w:bottom w:val="single" w:sz="8" w:color="2C2C2C"/>
            </w:tcBorders>
            <w:gridSpan w:val="10"/>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39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center"/>
              <w:ind w:left="39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89"/>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28,453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center"/>
              <w:ind w:left="39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3,750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89"/>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32,203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center"/>
              <w:ind w:left="39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2,858</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left="89"/>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2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35,061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90"/>
              <w:spacing w:after="0"/>
              <w:rPr>
                <w:sz w:val="20"/>
                <w:szCs w:val="20"/>
                <w:color w:val="auto"/>
              </w:rPr>
            </w:pPr>
            <w:r>
              <w:rPr>
                <w:rFonts w:ascii="Times New Roman" w:cs="Times New Roman" w:eastAsia="Times New Roman" w:hAnsi="Times New Roman"/>
                <w:sz w:val="17"/>
                <w:szCs w:val="17"/>
                <w:color w:val="0000FF"/>
              </w:rPr>
              <w:t>04/30/2026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3,214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16.6453</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31,847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2,000</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04/30/2026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2,000</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3,750</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04/30/2026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3,750</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15,000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2,858</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04/30/2026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2,858</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jc w:val="center"/>
              <w:ind w:left="160"/>
              <w:spacing w:after="0" w:line="143" w:lineRule="exact"/>
              <w:rPr>
                <w:sz w:val="20"/>
                <w:szCs w:val="20"/>
                <w:color w:val="auto"/>
              </w:rPr>
            </w:pPr>
            <w:r>
              <w:rPr>
                <w:rFonts w:ascii="Times New Roman" w:cs="Times New Roman" w:eastAsia="Times New Roman" w:hAnsi="Times New Roman"/>
                <w:sz w:val="13"/>
                <w:szCs w:val="13"/>
                <w:color w:val="0000FF"/>
              </w:rPr>
              <w:t>22,867</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-2818765</wp:posOffset>
            </wp:positionV>
            <wp:extent cx="29210" cy="282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3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required to be sold by the Reporting Person to cover tax withholding obligations in connection with the vesting of restricted stock units ("RSUs"). These sales are mandated by the Issuer's election under its equity incentive plans to require the satisfaction of tax withholding obligations to be funded by a "sell to cover" transaction and do not represent discretionary trades by the Reporting Person.</w:t>
      </w:r>
    </w:p>
    <w:p>
      <w:pPr>
        <w:spacing w:after="0" w:line="25" w:lineRule="exact"/>
        <w:rPr>
          <w:rFonts w:ascii="Times New Roman" w:cs="Times New Roman" w:eastAsia="Times New Roman" w:hAnsi="Times New Roman"/>
          <w:sz w:val="13"/>
          <w:szCs w:val="13"/>
          <w:color w:val="008000"/>
        </w:rPr>
      </w:pPr>
    </w:p>
    <w:p>
      <w:pPr>
        <w:ind w:left="40" w:right="2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 lowest price at which shares were sold was $16.51 and the highest price at which shares were sold was $16.78. The Reporting Person undertakes to provide upon request to the staff of the Securities and Exchange Commission, the Issuer or its stockholders, full information regarding the total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1/12 of the total award quarterly over three years, with the first quarterly increment vesting on July 30, 2023, subject to the Reporting Person's provision of services to the Issuer on each vesting date. Shares of the Issuer's common stock will be delivered to the Reporting Person following vesting.</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do not expire; they either vest or are canceled prior to the vest date.</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1/12 of the total award quarterly over three years, with the first quarterly increment vesting on July 30, 2024, subject to the Reporting Person's provision of services to the Issuer on each vesting date. Shares of the Issuer's common stock will be delivered to the Reporting Person following vesting.</w:t>
      </w:r>
    </w:p>
    <w:p>
      <w:pPr>
        <w:spacing w:after="0" w:line="1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1/12 of the total award quarterly over three years, with the first quarterly increment vesting on July 30, 2025, subject to the Reporting Person's provision of services to the Issuer on each vesting date. Shares of the Issuer's common stock will be delivered to the Reporting Person following vesting.</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Daniel Burbach,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47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Christine</w:t>
      </w:r>
      <w:r>
        <w:rPr>
          <w:sz w:val="20"/>
          <w:szCs w:val="20"/>
          <w:color w:val="auto"/>
        </w:rPr>
        <w:tab/>
      </w:r>
      <w:r>
        <w:rPr>
          <w:rFonts w:ascii="Times New Roman" w:cs="Times New Roman" w:eastAsia="Times New Roman" w:hAnsi="Times New Roman"/>
          <w:sz w:val="16"/>
          <w:szCs w:val="16"/>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2089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08915"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17199" TargetMode="External"/><Relationship Id="rId14" Type="http://schemas.openxmlformats.org/officeDocument/2006/relationships/hyperlink" Target="http://www.sec.gov/cgi-bin/browse-edgar?action=getcompany&amp;CIK=0001549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2026-04-30T16:48:27Z</dcterms:created>
  <dcterms:modified xsi:type="dcterms:W3CDTF">2026-04-30T16:48:27Z</dcterms:modified>
</cp:coreProperties>
</file>