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290830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307340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92710</wp:posOffset>
            </wp:positionV>
            <wp:extent cx="142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107315</wp:posOffset>
            </wp:positionV>
            <wp:extent cx="1420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 w:lineRule="exact"/>
        <w:rPr>
          <w:sz w:val="24"/>
          <w:szCs w:val="24"/>
          <w:color w:val="auto"/>
        </w:rPr>
      </w:pPr>
    </w:p>
    <w:p>
      <w:pPr>
        <w:ind w:left="3840" w:right="1820" w:hanging="3834"/>
        <w:spacing w:after="0" w:line="378" w:lineRule="auto"/>
        <w:tabs>
          <w:tab w:leader="none" w:pos="4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-395605</wp:posOffset>
            </wp:positionV>
            <wp:extent cx="85090" cy="86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65" w:lineRule="exact"/>
        <w:rPr>
          <w:sz w:val="24"/>
          <w:szCs w:val="24"/>
          <w:color w:val="auto"/>
        </w:rPr>
      </w:pPr>
    </w:p>
    <w:p>
      <w:pPr>
        <w:ind w:left="460" w:hanging="45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-103505</wp:posOffset>
            </wp:positionV>
            <wp:extent cx="85090" cy="86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91" w:lineRule="exact"/>
        <w:rPr>
          <w:sz w:val="24"/>
          <w:szCs w:val="24"/>
          <w:color w:val="auto"/>
        </w:rPr>
      </w:pPr>
    </w:p>
    <w:p>
      <w:pPr>
        <w:ind w:left="3480"/>
        <w:spacing w:after="0"/>
        <w:tabs>
          <w:tab w:leader="none" w:pos="6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1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99695</wp:posOffset>
            </wp:positionV>
            <wp:extent cx="142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NURIX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00" w:type="dxa"/>
            <w:vAlign w:val="bottom"/>
          </w:tcPr>
          <w:p>
            <w:pPr>
              <w:jc w:val="center"/>
              <w:ind w:left="688"/>
              <w:spacing w:after="0"/>
              <w:rPr>
                <w:sz w:val="20"/>
                <w:szCs w:val="20"/>
                <w:color w:val="auto"/>
              </w:rPr>
            </w:pPr>
            <w:r>
              <w:rPr>
                <w:rFonts w:ascii="Times New Roman" w:cs="Times New Roman" w:eastAsia="Times New Roman" w:hAnsi="Times New Roman"/>
                <w:sz w:val="18"/>
                <w:szCs w:val="18"/>
                <w:b w:val="1"/>
                <w:bCs w:val="1"/>
                <w:color w:val="auto"/>
                <w:w w:val="98"/>
              </w:rPr>
              <w:t>27-0838048</w:t>
            </w:r>
          </w:p>
        </w:tc>
        <w:tc>
          <w:tcPr>
            <w:tcW w:w="0" w:type="dxa"/>
            <w:vAlign w:val="bottom"/>
          </w:tcPr>
          <w:p>
            <w:pPr>
              <w:spacing w:after="0"/>
              <w:rPr>
                <w:sz w:val="1"/>
                <w:szCs w:val="1"/>
                <w:color w:val="auto"/>
              </w:rPr>
            </w:pPr>
          </w:p>
        </w:tc>
      </w:tr>
      <w:tr>
        <w:trPr>
          <w:trHeight w:val="132"/>
        </w:trPr>
        <w:tc>
          <w:tcPr>
            <w:tcW w:w="4500" w:type="dxa"/>
            <w:vAlign w:val="bottom"/>
            <w:gridSpan w:val="3"/>
          </w:tcPr>
          <w:p>
            <w:pPr>
              <w:jc w:val="center"/>
              <w:ind w:right="720"/>
              <w:spacing w:after="0" w:line="133"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500" w:type="dxa"/>
            <w:vAlign w:val="bottom"/>
          </w:tcPr>
          <w:p>
            <w:pPr>
              <w:jc w:val="center"/>
              <w:ind w:left="708"/>
              <w:spacing w:after="0" w:line="133"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2"/>
        </w:trPr>
        <w:tc>
          <w:tcPr>
            <w:tcW w:w="450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1700 Owens Street, Suite 205</w:t>
            </w:r>
          </w:p>
        </w:tc>
        <w:tc>
          <w:tcPr>
            <w:tcW w:w="4500" w:type="dxa"/>
            <w:vAlign w:val="bottom"/>
          </w:tcPr>
          <w:p>
            <w:pPr>
              <w:jc w:val="center"/>
              <w:ind w:left="708"/>
              <w:spacing w:after="0"/>
              <w:rPr>
                <w:sz w:val="20"/>
                <w:szCs w:val="20"/>
                <w:color w:val="auto"/>
              </w:rPr>
            </w:pPr>
            <w:r>
              <w:rPr>
                <w:rFonts w:ascii="Times New Roman" w:cs="Times New Roman" w:eastAsia="Times New Roman" w:hAnsi="Times New Roman"/>
                <w:sz w:val="12"/>
                <w:szCs w:val="12"/>
                <w:b w:val="1"/>
                <w:bCs w:val="1"/>
                <w:color w:val="auto"/>
              </w:rPr>
              <w:t>Identification No.)</w:t>
            </w:r>
          </w:p>
        </w:tc>
        <w:tc>
          <w:tcPr>
            <w:tcW w:w="0" w:type="dxa"/>
            <w:vAlign w:val="bottom"/>
          </w:tcPr>
          <w:p>
            <w:pPr>
              <w:spacing w:after="0"/>
              <w:rPr>
                <w:sz w:val="1"/>
                <w:szCs w:val="1"/>
                <w:color w:val="auto"/>
              </w:rPr>
            </w:pPr>
          </w:p>
        </w:tc>
      </w:tr>
      <w:tr>
        <w:trPr>
          <w:trHeight w:val="182"/>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San Francisco, CA 94158</w:t>
            </w: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(415) 660-5320</w:t>
            </w:r>
          </w:p>
        </w:tc>
        <w:tc>
          <w:tcPr>
            <w:tcW w:w="0" w:type="dxa"/>
            <w:vAlign w:val="bottom"/>
          </w:tcPr>
          <w:p>
            <w:pPr>
              <w:spacing w:after="0"/>
              <w:rPr>
                <w:sz w:val="1"/>
                <w:szCs w:val="1"/>
                <w:color w:val="auto"/>
              </w:rPr>
            </w:pPr>
          </w:p>
        </w:tc>
      </w:tr>
      <w:tr>
        <w:trPr>
          <w:trHeight w:val="147"/>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4500" w:type="dxa"/>
            <w:vAlign w:val="bottom"/>
            <w:gridSpan w:val="3"/>
            <w:vMerge w:val="continue"/>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5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vMerge w:val="restart"/>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0"/>
        </w:trPr>
        <w:tc>
          <w:tcPr>
            <w:tcW w:w="4500" w:type="dxa"/>
            <w:vAlign w:val="bottom"/>
            <w:gridSpan w:val="3"/>
            <w:vMerge w:val="continue"/>
          </w:tcPr>
          <w:p>
            <w:pPr>
              <w:spacing w:after="0"/>
              <w:rPr>
                <w:sz w:val="14"/>
                <w:szCs w:val="14"/>
                <w:color w:val="auto"/>
              </w:rPr>
            </w:pPr>
          </w:p>
        </w:tc>
        <w:tc>
          <w:tcPr>
            <w:tcW w:w="22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$0.001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6"/>
                <w:szCs w:val="16"/>
                <w:color w:val="auto"/>
              </w:rPr>
              <w:t>NRIX</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468"/>
              <w:spacing w:after="0"/>
              <w:rPr>
                <w:sz w:val="20"/>
                <w:szCs w:val="20"/>
                <w:color w:val="auto"/>
              </w:rPr>
            </w:pPr>
            <w:r>
              <w:rPr>
                <w:rFonts w:ascii="Times New Roman" w:cs="Times New Roman" w:eastAsia="Times New Roman" w:hAnsi="Times New Roman"/>
                <w:sz w:val="16"/>
                <w:szCs w:val="16"/>
                <w:color w:val="auto"/>
                <w:w w:val="98"/>
              </w:rPr>
              <w:t>Nasdaq Global Market</w:t>
            </w:r>
          </w:p>
        </w:tc>
        <w:tc>
          <w:tcPr>
            <w:tcW w:w="0" w:type="dxa"/>
            <w:vAlign w:val="bottom"/>
          </w:tcPr>
          <w:p>
            <w:pPr>
              <w:spacing w:after="0"/>
              <w:rPr>
                <w:sz w:val="1"/>
                <w:szCs w:val="1"/>
                <w:color w:val="auto"/>
              </w:rPr>
            </w:pPr>
          </w:p>
        </w:tc>
      </w:tr>
    </w:tbl>
    <w:p>
      <w:pPr>
        <w:spacing w:after="0" w:line="83" w:lineRule="exact"/>
        <w:rPr>
          <w:sz w:val="24"/>
          <w:szCs w:val="24"/>
          <w:color w:val="auto"/>
        </w:rPr>
      </w:pPr>
    </w:p>
    <w:p>
      <w:pPr>
        <w:ind w:right="220" w:firstLine="510"/>
        <w:spacing w:after="0" w:line="282"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1" w:lineRule="exact"/>
        <w:rPr>
          <w:sz w:val="24"/>
          <w:szCs w:val="24"/>
          <w:color w:val="auto"/>
        </w:rPr>
      </w:pPr>
    </w:p>
    <w:p>
      <w:pPr>
        <w:ind w:right="120" w:firstLine="5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1" w:lineRule="exact"/>
        <w:rPr>
          <w:sz w:val="24"/>
          <w:szCs w:val="24"/>
          <w:color w:val="auto"/>
        </w:rPr>
      </w:pPr>
    </w:p>
    <w:p>
      <w:pPr>
        <w:jc w:val="both"/>
        <w:ind w:right="40" w:firstLine="510"/>
        <w:spacing w:after="0" w:line="31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7"/>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54" w:lineRule="exact"/>
        <w:rPr>
          <w:sz w:val="24"/>
          <w:szCs w:val="24"/>
          <w:color w:val="auto"/>
        </w:rPr>
      </w:pPr>
    </w:p>
    <w:p>
      <w:pPr>
        <w:ind w:right="280" w:firstLine="51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280"/>
        <w:spacing w:after="0" w:line="26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7, 2020, the registrant had 38,855,439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457200</wp:posOffset>
            </wp:positionV>
            <wp:extent cx="71520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contained in this Quarterly Report on Form 10-Q other than statements of historical facts, including statements concerning our business strategy and plans, future operating results and financial position, as well as our objectives and expectations for our future operations, are forward-looking statements.</w:t>
      </w:r>
    </w:p>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79" w:lineRule="exact"/>
        <w:rPr>
          <w:sz w:val="20"/>
          <w:szCs w:val="20"/>
          <w:color w:val="auto"/>
        </w:rPr>
      </w:pPr>
    </w:p>
    <w:p>
      <w:pPr>
        <w:ind w:left="740" w:right="60" w:hanging="364"/>
        <w:spacing w:after="0" w:line="27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investigational new drug application submissions for our lead product candidates NX-2127 and NX-1607 and other drug candidates;</w:t>
      </w:r>
    </w:p>
    <w:p>
      <w:pPr>
        <w:spacing w:after="0" w:line="167" w:lineRule="exact"/>
        <w:rPr>
          <w:rFonts w:ascii="Times New Roman" w:cs="Times New Roman" w:eastAsia="Times New Roman" w:hAnsi="Times New Roman"/>
          <w:sz w:val="18"/>
          <w:szCs w:val="18"/>
          <w:color w:val="auto"/>
        </w:rPr>
      </w:pPr>
    </w:p>
    <w:p>
      <w:pPr>
        <w:ind w:left="740" w:right="140" w:hanging="364"/>
        <w:spacing w:after="0" w:line="27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product candidates NX-2127 and NX-1607 and other drug candidates, including statements regarding the timing of initiation of the clinical trials;</w:t>
      </w:r>
    </w:p>
    <w:p>
      <w:pPr>
        <w:spacing w:after="0" w:line="167"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product candidates NX-2127 and NX-1607 and other drug candidates;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product candidates;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DELigase platform and our product candidates;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and DELigase platform may potentially address a broad range of diseases;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Sanofi S.A. and Gilead Sciences, Inc.;</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product candidates;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product candidates;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coronavirus (COVID-19) pandemic on our business;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216"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332740</wp:posOffset>
            </wp:positionV>
            <wp:extent cx="71520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160"/>
          </w:cols>
          <w:pgMar w:left="320" w:top="331" w:right="41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t>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463550</wp:posOffset>
            </wp:positionV>
            <wp:extent cx="71520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4"/>
                <w:szCs w:val="14"/>
                <w:color w:val="auto"/>
              </w:rPr>
            </w:pPr>
          </w:p>
        </w:tc>
      </w:tr>
      <w:tr>
        <w:trPr>
          <w:trHeight w:val="323"/>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FINANCIAL INFORMATION</w:t>
              </w:r>
            </w:hyperlink>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Financial statements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r>
      <w:tr>
        <w:trPr>
          <w:trHeight w:val="225"/>
        </w:trPr>
        <w:tc>
          <w:tcPr>
            <w:tcW w:w="940" w:type="dxa"/>
            <w:vAlign w:val="bottom"/>
          </w:tcPr>
          <w:p>
            <w:pPr>
              <w:spacing w:after="0"/>
              <w:rPr>
                <w:sz w:val="19"/>
                <w:szCs w:val="19"/>
                <w:color w:val="auto"/>
              </w:rPr>
            </w:pP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balance sheets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19"/>
                <w:szCs w:val="19"/>
                <w:color w:val="auto"/>
              </w:rPr>
            </w:pP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operations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19"/>
                <w:szCs w:val="19"/>
                <w:color w:val="auto"/>
              </w:rPr>
            </w:pP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comprehensive loss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19"/>
                <w:szCs w:val="19"/>
                <w:color w:val="auto"/>
              </w:rPr>
            </w:pP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Condensed consolidated statements of redeemable convertible preferred stock and stockholders’ equity (deficit)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19"/>
                <w:szCs w:val="19"/>
                <w:color w:val="auto"/>
              </w:rPr>
            </w:pP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Condensed consolidated statements of cash flows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19"/>
                <w:szCs w:val="19"/>
                <w:color w:val="auto"/>
              </w:rPr>
            </w:pP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Controls and procedures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r>
      <w:tr>
        <w:trPr>
          <w:trHeight w:val="32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r>
      <w:tr>
        <w:trPr>
          <w:trHeight w:val="2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Defaults upon senior securities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Mine safety disclosures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680" w:type="dxa"/>
            <w:vAlign w:val="bottom"/>
          </w:tcPr>
          <w:p>
            <w:pPr>
              <w:ind w:left="200"/>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Exhibits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r>
      <w:tr>
        <w:trPr>
          <w:trHeight w:val="331"/>
        </w:trPr>
        <w:tc>
          <w:tcPr>
            <w:tcW w:w="94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Signatures</w:t>
              </w:r>
            </w:hyperlink>
          </w:p>
        </w:tc>
        <w:tc>
          <w:tcPr>
            <w:tcW w:w="96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4"/>
                <w:szCs w:val="24"/>
                <w:color w:val="auto"/>
              </w:rPr>
            </w:pPr>
          </w:p>
        </w:tc>
      </w:tr>
      <w:tr>
        <w:trPr>
          <w:trHeight w:val="1490"/>
        </w:trPr>
        <w:tc>
          <w:tcPr>
            <w:tcW w:w="94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0"/>
        </w:trPr>
        <w:tc>
          <w:tcPr>
            <w:tcW w:w="7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8"/>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5"/>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7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34,816</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19"/>
                <w:szCs w:val="19"/>
                <w:color w:val="auto"/>
              </w:rPr>
            </w:pPr>
          </w:p>
        </w:tc>
      </w:tr>
      <w:tr>
        <w:trPr>
          <w:trHeight w:val="225"/>
        </w:trPr>
        <w:tc>
          <w:tcPr>
            <w:tcW w:w="7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7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Borders>
              <w:bottom w:val="single" w:sz="8" w:color="CFF0FC"/>
            </w:tcBorders>
          </w:tcPr>
          <w:p>
            <w:pPr>
              <w:spacing w:after="0"/>
              <w:rPr>
                <w:sz w:val="19"/>
                <w:szCs w:val="19"/>
                <w:color w:val="auto"/>
              </w:rPr>
            </w:pPr>
          </w:p>
        </w:tc>
      </w:tr>
      <w:tr>
        <w:trPr>
          <w:trHeight w:val="218"/>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364,089</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39,354</w:t>
            </w:r>
          </w:p>
        </w:tc>
        <w:tc>
          <w:tcPr>
            <w:tcW w:w="120" w:type="dxa"/>
            <w:vAlign w:val="bottom"/>
            <w:shd w:val="clear" w:color="auto" w:fill="CFF0FC"/>
          </w:tcPr>
          <w:p>
            <w:pPr>
              <w:spacing w:after="0"/>
              <w:rPr>
                <w:sz w:val="18"/>
                <w:szCs w:val="18"/>
                <w:color w:val="auto"/>
              </w:rPr>
            </w:pPr>
          </w:p>
        </w:tc>
      </w:tr>
      <w:tr>
        <w:trPr>
          <w:trHeight w:val="218"/>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r>
      <w:tr>
        <w:trPr>
          <w:trHeight w:val="225"/>
        </w:trPr>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r>
      <w:tr>
        <w:trPr>
          <w:trHeight w:val="225"/>
        </w:trPr>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9"/>
                <w:szCs w:val="19"/>
                <w:color w:val="auto"/>
              </w:rPr>
            </w:pPr>
          </w:p>
        </w:tc>
      </w:tr>
      <w:tr>
        <w:trPr>
          <w:trHeight w:val="258"/>
        </w:trPr>
        <w:tc>
          <w:tcPr>
            <w:tcW w:w="77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411,874</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44,048</w:t>
            </w:r>
          </w:p>
        </w:tc>
        <w:tc>
          <w:tcPr>
            <w:tcW w:w="120" w:type="dxa"/>
            <w:vAlign w:val="bottom"/>
            <w:tcBorders>
              <w:bottom w:val="single" w:sz="8" w:color="CFF0FC"/>
            </w:tcBorders>
          </w:tcPr>
          <w:p>
            <w:pPr>
              <w:spacing w:after="0"/>
              <w:rPr>
                <w:sz w:val="22"/>
                <w:szCs w:val="22"/>
                <w:color w:val="auto"/>
              </w:rPr>
            </w:pPr>
          </w:p>
        </w:tc>
      </w:tr>
      <w:tr>
        <w:trPr>
          <w:trHeight w:val="205"/>
        </w:trPr>
        <w:tc>
          <w:tcPr>
            <w:tcW w:w="77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5"/>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7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tcPr>
          <w:p>
            <w:pPr>
              <w:spacing w:after="0"/>
              <w:rPr>
                <w:sz w:val="19"/>
                <w:szCs w:val="19"/>
                <w:color w:val="auto"/>
              </w:rPr>
            </w:pPr>
          </w:p>
        </w:tc>
      </w:tr>
      <w:tr>
        <w:trPr>
          <w:trHeight w:val="225"/>
        </w:trPr>
        <w:tc>
          <w:tcPr>
            <w:tcW w:w="7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20" w:type="dxa"/>
            <w:vAlign w:val="bottom"/>
            <w:shd w:val="clear" w:color="auto" w:fill="CFF0FC"/>
          </w:tcPr>
          <w:p>
            <w:pPr>
              <w:spacing w:after="0"/>
              <w:rPr>
                <w:sz w:val="19"/>
                <w:szCs w:val="19"/>
                <w:color w:val="auto"/>
              </w:rPr>
            </w:pPr>
          </w:p>
        </w:tc>
      </w:tr>
      <w:tr>
        <w:trPr>
          <w:trHeight w:val="218"/>
        </w:trPr>
        <w:tc>
          <w:tcPr>
            <w:tcW w:w="77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120" w:type="dxa"/>
            <w:vAlign w:val="bottom"/>
            <w:tcBorders>
              <w:bottom w:val="single" w:sz="8" w:color="CFF0FC"/>
            </w:tcBorders>
          </w:tcPr>
          <w:p>
            <w:pPr>
              <w:spacing w:after="0"/>
              <w:rPr>
                <w:sz w:val="18"/>
                <w:szCs w:val="18"/>
                <w:color w:val="auto"/>
              </w:rPr>
            </w:pPr>
          </w:p>
        </w:tc>
      </w:tr>
      <w:tr>
        <w:trPr>
          <w:trHeight w:val="218"/>
        </w:trPr>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35,693</w:t>
            </w:r>
          </w:p>
        </w:tc>
        <w:tc>
          <w:tcPr>
            <w:tcW w:w="120" w:type="dxa"/>
            <w:vAlign w:val="bottom"/>
            <w:shd w:val="clear" w:color="auto" w:fill="CFF0FC"/>
          </w:tcPr>
          <w:p>
            <w:pPr>
              <w:spacing w:after="0"/>
              <w:rPr>
                <w:sz w:val="18"/>
                <w:szCs w:val="18"/>
                <w:color w:val="auto"/>
              </w:rPr>
            </w:pPr>
          </w:p>
        </w:tc>
      </w:tr>
      <w:tr>
        <w:trPr>
          <w:trHeight w:val="225"/>
        </w:trPr>
        <w:tc>
          <w:tcPr>
            <w:tcW w:w="7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Borders>
              <w:bottom w:val="single" w:sz="8" w:color="CFF0FC"/>
            </w:tcBorders>
          </w:tcPr>
          <w:p>
            <w:pPr>
              <w:spacing w:after="0"/>
              <w:rPr>
                <w:sz w:val="19"/>
                <w:szCs w:val="19"/>
                <w:color w:val="auto"/>
              </w:rPr>
            </w:pPr>
          </w:p>
        </w:tc>
      </w:tr>
      <w:tr>
        <w:trPr>
          <w:trHeight w:val="218"/>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104,254</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53,567</w:t>
            </w:r>
          </w:p>
        </w:tc>
        <w:tc>
          <w:tcPr>
            <w:tcW w:w="120" w:type="dxa"/>
            <w:vAlign w:val="bottom"/>
            <w:shd w:val="clear" w:color="auto" w:fill="CFF0FC"/>
          </w:tcPr>
          <w:p>
            <w:pPr>
              <w:spacing w:after="0"/>
              <w:rPr>
                <w:sz w:val="18"/>
                <w:szCs w:val="18"/>
                <w:color w:val="auto"/>
              </w:rPr>
            </w:pPr>
          </w:p>
        </w:tc>
      </w:tr>
      <w:tr>
        <w:trPr>
          <w:trHeight w:val="218"/>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Redeemable convertible preferred stock, $0.001 par value—0 and 48,441,667 shares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as of August 31, 2020 and November 30, 2019, respectively; 0 and</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12,813,887 shares issued and outstanding (liquidation value—$0 and $48,383)</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 of August 31, 2020 and November 30, 2019, respectively</w:t>
            </w: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120" w:type="dxa"/>
            <w:vAlign w:val="bottom"/>
            <w:shd w:val="clear" w:color="auto" w:fill="CFF0FC"/>
          </w:tcPr>
          <w:p>
            <w:pPr>
              <w:spacing w:after="0"/>
              <w:rPr>
                <w:sz w:val="20"/>
                <w:szCs w:val="20"/>
                <w:color w:val="auto"/>
              </w:rPr>
            </w:pPr>
          </w:p>
        </w:tc>
      </w:tr>
      <w:tr>
        <w:trPr>
          <w:trHeight w:val="225"/>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7"/>
        </w:trPr>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Preferred stock, $0.001 par value—10,000,000 and 0 shares authorized as of</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August 31, 2020 and November 30, 2019, respectively; 0 shares issued and</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as of August 31, 2020 and November 30, 2019, respectively</w:t>
            </w: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$0.001 par value—500,000,000 and 65,000,000 shares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authorized as of August 31, 2020 and November 30, 2019, respectively;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38,845,196 and 3,595,334 shares issued and outstanding as of August 31, 2020</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November 30, 2019, respectively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r>
      <w:tr>
        <w:trPr>
          <w:trHeight w:val="225"/>
        </w:trPr>
        <w:tc>
          <w:tcPr>
            <w:tcW w:w="7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7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(83,784)</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(60,456)</w:t>
            </w:r>
          </w:p>
        </w:tc>
      </w:tr>
      <w:tr>
        <w:trPr>
          <w:trHeight w:val="218"/>
        </w:trPr>
        <w:tc>
          <w:tcPr>
            <w:tcW w:w="77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307,620</w:t>
            </w:r>
          </w:p>
        </w:tc>
        <w:tc>
          <w:tcPr>
            <w:tcW w:w="2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(57,714)</w:t>
            </w:r>
          </w:p>
        </w:tc>
        <w:tc>
          <w:tcPr>
            <w:tcW w:w="120" w:type="dxa"/>
            <w:vAlign w:val="bottom"/>
            <w:tcBorders>
              <w:bottom w:val="single" w:sz="8" w:color="CFF0FC"/>
            </w:tcBorders>
          </w:tcPr>
          <w:p>
            <w:pPr>
              <w:spacing w:after="0"/>
              <w:rPr>
                <w:sz w:val="18"/>
                <w:szCs w:val="18"/>
                <w:color w:val="auto"/>
              </w:rPr>
            </w:pPr>
          </w:p>
        </w:tc>
      </w:tr>
      <w:tr>
        <w:trPr>
          <w:trHeight w:val="200"/>
        </w:trPr>
        <w:tc>
          <w:tcPr>
            <w:tcW w:w="7740" w:type="dxa"/>
            <w:vAlign w:val="bottom"/>
            <w:shd w:val="clear" w:color="auto" w:fill="CFF0FC"/>
          </w:tcPr>
          <w:p>
            <w:pPr>
              <w:ind w:left="740"/>
              <w:spacing w:after="0" w:line="200"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7740" w:type="dxa"/>
            <w:vAlign w:val="bottom"/>
            <w:tcBorders>
              <w:bottom w:val="single" w:sz="8" w:color="CFF0FC"/>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equity (deficit)</w:t>
            </w: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411,874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5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28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6"/>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r>
              <w:rPr>
                <w:rFonts w:ascii="Times New Roman" w:cs="Times New Roman" w:eastAsia="Times New Roman" w:hAnsi="Times New Roman"/>
                <w:sz w:val="14"/>
                <w:szCs w:val="14"/>
                <w:color w:val="auto"/>
              </w:rPr>
              <w:t>(1)</w:t>
            </w: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5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(20,576)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280" w:type="dxa"/>
            <w:vAlign w:val="bottom"/>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(0.59)</w:t>
            </w:r>
          </w:p>
        </w:tc>
        <w:tc>
          <w:tcPr>
            <w:tcW w:w="40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3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c>
          <w:tcPr>
            <w:tcW w:w="400" w:type="dxa"/>
            <w:vAlign w:val="bottom"/>
            <w:gridSpan w:val="2"/>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31,383,936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3,667,335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27,688,972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3,433,809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left="500" w:right="520" w:hanging="494"/>
        <w:spacing w:after="0" w:line="301"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revenue for the three months ended August 31, 2020 and 2019 includes related party revenue of $0 and $9.7 million, respectively. Collaboration revenue for the nine months ended August 31, 2020 and 2019 includes related party revenue of $0 and $28.4 million, respectively.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0"/>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5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6"/>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1"/>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6"/>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18"/>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shd w:val="clear" w:color="auto" w:fill="CFF0FC"/>
          </w:tcPr>
          <w:p>
            <w:pPr>
              <w:spacing w:after="0"/>
              <w:rPr>
                <w:sz w:val="18"/>
                <w:szCs w:val="18"/>
                <w:color w:val="auto"/>
              </w:rPr>
            </w:pPr>
          </w:p>
        </w:tc>
      </w:tr>
      <w:tr>
        <w:trPr>
          <w:trHeight w:val="225"/>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(loss) gain on available-for-sale investments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1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120" w:type="dxa"/>
            <w:vAlign w:val="bottom"/>
            <w:tcBorders>
              <w:right w:val="single" w:sz="8" w:color="auto"/>
            </w:tcBorders>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2120" w:type="dxa"/>
            <w:vAlign w:val="bottom"/>
            <w:tcBorders>
              <w:right w:val="single" w:sz="8" w:color="auto"/>
            </w:tcBorders>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2120" w:type="dxa"/>
            <w:vAlign w:val="bottom"/>
            <w:tcBorders>
              <w:right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8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ind w:left="280"/>
              <w:spacing w:after="0" w:line="15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2"/>
              <w:spacing w:after="0" w:line="15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73"/>
              <w:spacing w:after="0" w:line="15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2"/>
              <w:spacing w:after="0" w:line="15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3"/>
              <w:spacing w:after="0" w:line="15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gridSpan w:val="2"/>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2"/>
              <w:spacing w:after="0" w:line="15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4"/>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(deficit)</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November 30, 2019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3,595,334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(57,714)</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Repurchase of unvested early</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early-exercised stock</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8"/>
                <w:szCs w:val="18"/>
                <w:color w:val="auto"/>
              </w:rPr>
              <w:t>(12,391)</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29, 2020</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3,667,037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Issuance of Series D redeemable</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convertible preferred stock at</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$12.75 per</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 net of issuance costs of</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$336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9,431,364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119,914</w:t>
            </w:r>
          </w:p>
        </w:tc>
        <w:tc>
          <w:tcPr>
            <w:tcW w:w="1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Vesting of early-exercised stock</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May 31, 2020</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22,245,251</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168,109</w:t>
            </w:r>
          </w:p>
        </w:tc>
        <w:tc>
          <w:tcPr>
            <w:tcW w:w="120" w:type="dxa"/>
            <w:vAlign w:val="bottom"/>
            <w:tcBorders>
              <w:top w:val="single" w:sz="8" w:color="CFF0FC"/>
              <w:right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3,792,745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(65,267)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(61,526)</w:t>
            </w: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redeemable</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into common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(22,245,251)</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(168,109)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22,245,251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initial</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public offering, net of offering</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$20,308</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218,130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218,143</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Repurchase of unvested early</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early-exercised stock</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available-for-</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8"/>
                <w:szCs w:val="18"/>
                <w:color w:val="auto"/>
              </w:rPr>
              <w:t>(18,517)</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August 31, 2020</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38,845,196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391,227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(83,784</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8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8" w:name="page9"/>
    <w:bookmarkEnd w:id="8"/>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9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52"/>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November 30, 2018</w:t>
            </w:r>
          </w:p>
        </w:tc>
        <w:tc>
          <w:tcPr>
            <w:tcW w:w="1120" w:type="dxa"/>
            <w:vAlign w:val="bottom"/>
            <w:gridSpan w:val="2"/>
          </w:tcPr>
          <w:p>
            <w:pPr>
              <w:ind w:left="240"/>
              <w:spacing w:after="0" w:line="15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680" w:type="dxa"/>
            <w:vAlign w:val="bottom"/>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3"/>
        </w:trPr>
        <w:tc>
          <w:tcPr>
            <w:tcW w:w="296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early-exercised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28, 2019</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unvested early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early-exercised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May 31, 2019</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unvested early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early-exercised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available-for-sale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August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1860" w:type="dxa"/>
            <w:vAlign w:val="bottom"/>
            <w:gridSpan w:val="4"/>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75"/>
        </w:trPr>
        <w:tc>
          <w:tcPr>
            <w:tcW w:w="186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2"/>
        </w:trPr>
        <w:tc>
          <w:tcPr>
            <w:tcW w:w="840" w:type="dxa"/>
            <w:vAlign w:val="bottom"/>
            <w:tcBorders>
              <w:bottom w:val="single" w:sz="8" w:color="auto"/>
            </w:tcBorders>
          </w:tcPr>
          <w:p>
            <w:pPr>
              <w:jc w:val="right"/>
              <w:ind w:right="133"/>
              <w:spacing w:after="0" w:line="15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3"/>
              <w:spacing w:after="0" w:line="15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900" w:type="dxa"/>
            <w:vAlign w:val="bottom"/>
            <w:tcBorders>
              <w:bottom w:val="single" w:sz="8" w:color="auto"/>
            </w:tcBorders>
            <w:gridSpan w:val="2"/>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3"/>
              <w:spacing w:after="0" w:line="15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4"/>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(deficit)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3,452,653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4"/>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4"/>
        </w:trPr>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3,468,638</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(7,882)</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3"/>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14"/>
        </w:trPr>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3,527,782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3"/>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19"/>
        </w:trPr>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3,521,098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-4655185</wp:posOffset>
            </wp:positionV>
            <wp:extent cx="7134860" cy="4655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46558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20"/>
            <w:col w:w="6120"/>
          </w:cols>
          <w:pgMar w:left="320" w:top="536" w:right="359" w:bottom="1440" w:gutter="0" w:footer="0" w:header="0"/>
        </w:sectPr>
      </w:pP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4"/>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2"/>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(23,328)</w:t>
            </w: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amortization (accretion) of premium (discount)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(3,856)</w:t>
            </w:r>
          </w:p>
        </w:tc>
        <w:tc>
          <w:tcPr>
            <w:tcW w:w="5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(4,394)</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(141,067)</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(3,647)</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8"/>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initial public offering, net of offering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219,301</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stock, net of issuance costs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unvested early exercised stock options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340,150</w:t>
            </w:r>
          </w:p>
        </w:tc>
        <w:tc>
          <w:tcPr>
            <w:tcW w:w="280" w:type="dxa"/>
            <w:vAlign w:val="bottom"/>
            <w:tcBorders>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230,711</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265,697</w:t>
            </w:r>
          </w:p>
        </w:tc>
        <w:tc>
          <w:tcPr>
            <w:tcW w:w="2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 and accrued liabilities</w:t>
            </w: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Borders>
              <w:bottom w:val="single" w:sz="8" w:color="CFF0FC"/>
            </w:tcBorders>
          </w:tcPr>
          <w:p>
            <w:pPr>
              <w:spacing w:after="0"/>
              <w:rPr>
                <w:sz w:val="23"/>
                <w:szCs w:val="23"/>
                <w:color w:val="auto"/>
              </w:rPr>
            </w:pPr>
          </w:p>
        </w:tc>
        <w:tc>
          <w:tcPr>
            <w:tcW w:w="5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tcBorders>
              <w:bottom w:val="single" w:sz="8" w:color="CFF0FC"/>
            </w:tcBorders>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Vesting of early exercised stock options</w:t>
            </w: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liabilities</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gridSpan w:val="2"/>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1,158</w:t>
            </w:r>
          </w:p>
        </w:tc>
        <w:tc>
          <w:tcPr>
            <w:tcW w:w="2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20" w:type="dxa"/>
            <w:vAlign w:val="bottom"/>
            <w:tcBorders>
              <w:top w:val="single" w:sz="8" w:color="CFF0FC"/>
            </w:tcBorders>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rPr>
              <w:t>Conversion of redeemable convertible preferred stock into common stock upon closing of</w:t>
            </w:r>
          </w:p>
        </w:tc>
        <w:tc>
          <w:tcPr>
            <w:tcW w:w="36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initial public offering</w:t>
            </w: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168,109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15" w:lineRule="exact"/>
        <w:rPr>
          <w:sz w:val="20"/>
          <w:szCs w:val="20"/>
          <w:color w:val="auto"/>
        </w:rPr>
      </w:pPr>
    </w:p>
    <w:p>
      <w:pPr>
        <w:ind w:right="100" w:firstLine="510"/>
        <w:spacing w:after="0" w:line="249" w:lineRule="auto"/>
        <w:rPr>
          <w:sz w:val="20"/>
          <w:szCs w:val="20"/>
          <w:color w:val="auto"/>
        </w:rPr>
      </w:pPr>
      <w:r>
        <w:rPr>
          <w:rFonts w:ascii="Times New Roman" w:cs="Times New Roman" w:eastAsia="Times New Roman" w:hAnsi="Times New Roman"/>
          <w:sz w:val="18"/>
          <w:szCs w:val="18"/>
          <w:color w:val="auto"/>
        </w:rPr>
        <w:t>Nurix Therapeutics, Inc. (the Company) previously known as Nurix, Inc., was incorporated in the state of Delaware on August 27, 2009 and is headquartered in San Francisco, California. The Company is a biopharmaceutical company focused on the discovery, development and commercialization of small molecule therapies designed to modulate cellular protein levels as a novel treatment approach for cancer and immune disorders.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to treat disease.</w:t>
      </w:r>
    </w:p>
    <w:p>
      <w:pPr>
        <w:spacing w:after="0" w:line="19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wholly owns a subsidiary, DeCART Therapeutics Inc. (DeCART), which was incorporated in the state of Delaware on June 22, 2020 and holds a license to three of the Company’s compounds, including NX-0255, for drug-enhanced isolation of T cells nonexclusively with respect to one chimeric antigen receptor T cell (CAR-T) therapy target and exclusively with respect to three novel CAR-T therapy targets.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15"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On July 17, 2020, the Company filed an amendment to the Company’s amended and restated certificate of incorporation to effect a reverse split of shares of the Company’s common stock and redeemable convertible preferred stock, each on a 1-for-3 basis (reverse stock split). The par value and authorized shares of the common stock and redeemable convertible preferred stock were not adjusted as a result of the reverse stock split. All issued and outstanding common stock, options to purchase common stock and per share amounts contained in the condensed consolidated financial statements have been retroactively adjusted to give effect to the reverse stock split for all periods presented.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15" w:lineRule="exact"/>
        <w:rPr>
          <w:sz w:val="20"/>
          <w:szCs w:val="20"/>
          <w:color w:val="auto"/>
        </w:rPr>
      </w:pPr>
    </w:p>
    <w:p>
      <w:pPr>
        <w:ind w:right="140" w:firstLine="510"/>
        <w:spacing w:after="0" w:line="249" w:lineRule="auto"/>
        <w:rPr>
          <w:sz w:val="20"/>
          <w:szCs w:val="20"/>
          <w:color w:val="auto"/>
        </w:rPr>
      </w:pPr>
      <w:r>
        <w:rPr>
          <w:rFonts w:ascii="Times New Roman" w:cs="Times New Roman" w:eastAsia="Times New Roman" w:hAnsi="Times New Roman"/>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Immediately prior to the closing of the IPO, all outstanding shares of the Company’s redeemable convertible preferred stock automatically converted into 22,245,251 shares of common stock. Net proceeds from the IPO, including the exercise of the underwriters’ option to purchase additional shares, were $218.1 million, after deducting underwriting discounts and commissions of $16.7 million and expenses of $3.6 million.</w:t>
      </w:r>
    </w:p>
    <w:p>
      <w:pPr>
        <w:spacing w:after="0" w:line="85"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Subsequent to the closing of the IPO, there were no shares of preferred stock outstanding. In connection with the closing of the IPO, the Company restated its Restated Certificate of Incorporation to change the authorized capital stock to 500,000,000 shares designated as common stock, and 10,000,000 shares designated as preferred stock, all with a par value of $0.001 per share.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5" w:lineRule="exact"/>
        <w:rPr>
          <w:sz w:val="20"/>
          <w:szCs w:val="20"/>
          <w:color w:val="auto"/>
        </w:rPr>
      </w:pPr>
    </w:p>
    <w:p>
      <w:pPr>
        <w:ind w:right="80" w:firstLine="510"/>
        <w:spacing w:after="0" w:line="250" w:lineRule="auto"/>
        <w:rPr>
          <w:sz w:val="20"/>
          <w:szCs w:val="20"/>
          <w:color w:val="auto"/>
        </w:rPr>
      </w:pPr>
      <w:r>
        <w:rPr>
          <w:rFonts w:ascii="Times New Roman" w:cs="Times New Roman" w:eastAsia="Times New Roman" w:hAnsi="Times New Roman"/>
          <w:sz w:val="18"/>
          <w:szCs w:val="18"/>
          <w:color w:val="auto"/>
        </w:rPr>
        <w:t>The Company’s operations have historically been financed through the issuance of common and redeemable convertible preferred stock and proceeds received under the Company’s collaboration and license agreements. Since inception, the Company has generally incurred significant losses and negative net cash flows from operations. During the nine months ended August 31, 2020, the Company incurred a net loss of $23.3 million and had positive net cash flows from operating activities of $20.4 million. The Company had an accumulated deficit as of August 31, 2020 of $83.8 million and will require substantial additional capital for research and development activities. The Company anticipates incurring additional losses until such time, if ever, that it can generate significant sales of its product candidates currently in development.</w:t>
      </w:r>
    </w:p>
    <w:p>
      <w:pPr>
        <w:spacing w:after="0" w:line="189"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Management believes that its cash, cash equivalents and investments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 w:name="page12"/>
    <w:bookmarkEnd w:id="11"/>
    <w:p>
      <w:pPr>
        <w:ind w:right="180"/>
        <w:spacing w:after="0" w:line="271" w:lineRule="auto"/>
        <w:rPr>
          <w:sz w:val="20"/>
          <w:szCs w:val="20"/>
          <w:color w:val="auto"/>
        </w:rPr>
      </w:pPr>
      <w:r>
        <w:rPr>
          <w:rFonts w:ascii="Times New Roman" w:cs="Times New Roman" w:eastAsia="Times New Roman" w:hAnsi="Times New Roman"/>
          <w:sz w:val="18"/>
          <w:szCs w:val="18"/>
          <w:color w:val="auto"/>
        </w:rPr>
        <w:t>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115"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product candidates, ability to raise additional capital, development of new technological innovations by its competitors and delay or inability to obtain drug substance and finished drug product from the Company’s third-party contract manufacturers necessary for the Company’s product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19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183" w:lineRule="exact"/>
        <w:rPr>
          <w:sz w:val="20"/>
          <w:szCs w:val="20"/>
          <w:color w:val="auto"/>
        </w:rPr>
      </w:pPr>
    </w:p>
    <w:p>
      <w:pPr>
        <w:ind w:right="140" w:firstLine="51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the Company’s financial statements is highly uncertain and subject to change. Management considered the potential impact of the COVID-19 pandemic on its estimates and assumptions and there was not a material impact to the Company’s condensed consolidated financial statements as of and for the three and nine months ended August 31, 2020; however, actual results could differ from those estimates and there may be changes to management’s estimates in future periods.</w:t>
      </w:r>
    </w:p>
    <w:p>
      <w:pPr>
        <w:spacing w:after="0" w:line="189" w:lineRule="exact"/>
        <w:rPr>
          <w:sz w:val="20"/>
          <w:szCs w:val="20"/>
          <w:color w:val="auto"/>
        </w:rPr>
      </w:pPr>
    </w:p>
    <w:p>
      <w:pPr>
        <w:ind w:right="400" w:firstLine="510"/>
        <w:spacing w:after="0" w:line="271"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product candidates. Disruption from these manufacturers or suppliers would have a negative impact on the Company’s business, financial position and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ind w:right="360" w:firstLine="510"/>
        <w:spacing w:after="0" w:line="27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U.S. generally accepted accounting principles (U.S. GAAP) and applicable rules and regulations of the Securities and Exchange Commission (SEC) regarding interim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5" w:lineRule="exact"/>
        <w:rPr>
          <w:sz w:val="20"/>
          <w:szCs w:val="20"/>
          <w:color w:val="auto"/>
        </w:rPr>
      </w:pPr>
    </w:p>
    <w:p>
      <w:pPr>
        <w:ind w:right="400" w:firstLine="510"/>
        <w:spacing w:after="0" w:line="27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Nurix Therapeutics, Inc. and its wholly owned subsidiary, DeCART. All intercompany balances and transactions have been eliminated in consolidation.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115"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 xml:space="preserve">The condensed consolidated balance sheet as of August 31, 2020 and the condensed consolidated statements of operations, comprehensive loss, cash flows, and redeemable convertible preferred stock and stockholders’ equity (deficit) for the three and nine months ended August 31, 2020 and 2019 are unaudited. Except for the adoption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described in the revenue recognition policy within this same note, the unaudited interim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August 31, 2020 and its results for the three and nine months ended August 31, 2020 and 2019. The financial data and the other financial information disclosed in these notes related to the three and nine months ended August 31, 2020 and 2019 are also unaudited. The condensed consolidated balance sheet as of November 30, 2019, included herein was derived from the audited financial statements as of that date. Certain information and footnote disclosures normally included in financial statements prepared in accordance with U.S. GAAP have been condensed or omitted from these interim condensed consolidated financial statements. These unaudited condensed consolidated financial statements should be read in conjunction with the Company’s audited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2" w:name="page13"/>
    <w:bookmarkEnd w:id="12"/>
    <w:p>
      <w:pPr>
        <w:ind w:right="260"/>
        <w:spacing w:after="0" w:line="280" w:lineRule="auto"/>
        <w:rPr>
          <w:sz w:val="20"/>
          <w:szCs w:val="20"/>
          <w:color w:val="auto"/>
        </w:rPr>
      </w:pPr>
      <w:r>
        <w:rPr>
          <w:rFonts w:ascii="Times New Roman" w:cs="Times New Roman" w:eastAsia="Times New Roman" w:hAnsi="Times New Roman"/>
          <w:sz w:val="17"/>
          <w:szCs w:val="17"/>
          <w:color w:val="auto"/>
        </w:rPr>
        <w:t>and the notes thereto, which are included in the Company’s prospectus for the IPO dated July 23, 2020 and filed with the SEC on July 24, 2020 pursuant to Rule 424(b)(4) under the Securities Act of 1933, as amended. The results of operations for the three and nine months ended August 31, 2020 are not necessarily indicative of the results to be expected for the year ending November 30, 2020, or for any other future annual or interim period.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15" w:lineRule="exact"/>
        <w:rPr>
          <w:sz w:val="20"/>
          <w:szCs w:val="20"/>
          <w:color w:val="auto"/>
        </w:rPr>
      </w:pPr>
    </w:p>
    <w:p>
      <w:pPr>
        <w:jc w:val="both"/>
        <w:ind w:right="280" w:firstLine="510"/>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Company’s chief executive officer, who is the chief operating decision maker, reviews consolidated financial information on a company-wide basis for purposes of allocating resources and assessing financial performance.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5" w:lineRule="exact"/>
        <w:rPr>
          <w:sz w:val="20"/>
          <w:szCs w:val="20"/>
          <w:color w:val="auto"/>
        </w:rPr>
      </w:pPr>
    </w:p>
    <w:p>
      <w:pPr>
        <w:ind w:right="40" w:firstLine="51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15"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color w:val="auto"/>
        </w:rPr>
        <w:t>The Company capitalizes within other assets certain legal, accounting and other third-party fees that are directly related to the Company’s in-process equity financings, including the IPO, until such financings are consummated. After consummation of an equity financing, these costs are recorded as a reduction of the carrying value of redeemable convertible preferred stock or, for issuances of common stock, in stockholder’s equity (deficit) as a reduction of additional paid-in capital generated as a result of the offering. Should a planned equity financing be abandoned, terminated or significantly delayed, the deferred offering costs are immediately written off to operating expenses. There were no deferred offering costs capitalized as of August 31, 2020 and November 30, 2019. Upon the closing of the IPO on July 28, 2020, the offering costs of $20.3 million were recorded in stockholder’s equity (deficit) as a reduction of additional paid-in capital generated as a result of the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 xml:space="preserve">Prior to December 1, 2019, the Company recognized revenue in accordance with the Financial Accounting Standards Board’s (FASB)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Accordingly, revenue is recognized for each unit of accounting when all of the following criteria are met:</w:t>
      </w:r>
    </w:p>
    <w:p>
      <w:pPr>
        <w:spacing w:after="0" w:line="74" w:lineRule="exact"/>
        <w:rPr>
          <w:sz w:val="20"/>
          <w:szCs w:val="20"/>
          <w:color w:val="auto"/>
        </w:rPr>
      </w:pPr>
    </w:p>
    <w:p>
      <w:pPr>
        <w:ind w:left="1020" w:hanging="511"/>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rendered;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price to the buyer is fixed or determinable;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Collectibility is reasonably assured.</w:t>
      </w:r>
    </w:p>
    <w:p>
      <w:pPr>
        <w:spacing w:after="0" w:line="217" w:lineRule="exact"/>
        <w:rPr>
          <w:sz w:val="20"/>
          <w:szCs w:val="20"/>
          <w:color w:val="auto"/>
        </w:rPr>
      </w:pPr>
    </w:p>
    <w:p>
      <w:pPr>
        <w:ind w:firstLine="510"/>
        <w:spacing w:after="0" w:line="271" w:lineRule="auto"/>
        <w:rPr>
          <w:sz w:val="20"/>
          <w:szCs w:val="20"/>
          <w:color w:val="auto"/>
        </w:rPr>
      </w:pPr>
      <w:r>
        <w:rPr>
          <w:rFonts w:ascii="Times New Roman" w:cs="Times New Roman" w:eastAsia="Times New Roman" w:hAnsi="Times New Roman"/>
          <w:sz w:val="18"/>
          <w:szCs w:val="18"/>
          <w:color w:val="auto"/>
        </w:rPr>
        <w:t>The Company evaluates multiple element arrangements to determine if each deliverable represents a separate unit of accounting based on the following criteria:</w:t>
      </w:r>
    </w:p>
    <w:p>
      <w:pPr>
        <w:spacing w:after="0" w:line="62" w:lineRule="exact"/>
        <w:rPr>
          <w:sz w:val="20"/>
          <w:szCs w:val="20"/>
          <w:color w:val="auto"/>
        </w:rPr>
      </w:pPr>
    </w:p>
    <w:p>
      <w:pPr>
        <w:ind w:left="1020" w:hanging="511"/>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item or items have value to the customer on a standalone basis, and</w:t>
      </w:r>
    </w:p>
    <w:p>
      <w:pPr>
        <w:spacing w:after="0" w:line="110" w:lineRule="exact"/>
        <w:rPr>
          <w:rFonts w:ascii="Times New Roman" w:cs="Times New Roman" w:eastAsia="Times New Roman" w:hAnsi="Times New Roman"/>
          <w:sz w:val="18"/>
          <w:szCs w:val="18"/>
          <w:color w:val="auto"/>
        </w:rPr>
      </w:pPr>
    </w:p>
    <w:p>
      <w:pPr>
        <w:ind w:left="1020" w:right="200" w:hanging="511"/>
        <w:spacing w:after="0" w:line="27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arrangement includes a general right of return relative to the delivered item or items, delivery or performance of the undelivered item or items is considered probable and substantially in control of the Company.</w:t>
      </w:r>
    </w:p>
    <w:p>
      <w:pPr>
        <w:spacing w:after="0" w:line="168" w:lineRule="exact"/>
        <w:rPr>
          <w:sz w:val="20"/>
          <w:szCs w:val="20"/>
          <w:color w:val="auto"/>
        </w:rPr>
      </w:pPr>
    </w:p>
    <w:p>
      <w:pPr>
        <w:ind w:right="120" w:firstLine="510"/>
        <w:spacing w:after="0" w:line="249" w:lineRule="auto"/>
        <w:rPr>
          <w:sz w:val="20"/>
          <w:szCs w:val="20"/>
          <w:color w:val="auto"/>
        </w:rPr>
      </w:pPr>
      <w:r>
        <w:rPr>
          <w:rFonts w:ascii="Times New Roman" w:cs="Times New Roman" w:eastAsia="Times New Roman" w:hAnsi="Times New Roman"/>
          <w:sz w:val="18"/>
          <w:szCs w:val="18"/>
          <w:color w:val="auto"/>
        </w:rPr>
        <w:t>The arrangement’s consideration that is fixed or determinable is then allocated to each separate unit of accounting based on the relative selling price methodology in accordance with the selling price hierarchy, which includes vendor-specific objective evidence (VSOE) of selling price, if available, or third-party evidence of selling price if VSOE is not available, or the best estimate of selling price, if neither VSOE nor third-party evidence is available. The provisions of ASC 605 are then applied to each unit of accounting to determine the appropriate revenue recognition. In the event that a deliverable of a multiple element arrangement does not represent a separate unit of accounting, primarily because a deliverable does not provide value on a standalone basis, the Company recognizes revenue from the combined unit of accounting using the input/proportional performance approach as research is delivered or on a straight-line basis over the estimated period of performance when there is no discernable pattern of performance.</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439" w:right="359" w:bottom="1440" w:gutter="0" w:footer="0" w:header="0"/>
        </w:sectPr>
      </w:pPr>
    </w:p>
    <w:bookmarkStart w:id="13" w:name="page14"/>
    <w:bookmarkEnd w:id="13"/>
    <w:p>
      <w:pPr>
        <w:ind w:firstLine="510"/>
        <w:spacing w:after="0" w:line="248" w:lineRule="auto"/>
        <w:rPr>
          <w:sz w:val="20"/>
          <w:szCs w:val="20"/>
          <w:color w:val="auto"/>
        </w:rPr>
      </w:pPr>
      <w:r>
        <w:rPr>
          <w:rFonts w:ascii="Times New Roman" w:cs="Times New Roman" w:eastAsia="Times New Roman" w:hAnsi="Times New Roman"/>
          <w:sz w:val="18"/>
          <w:szCs w:val="18"/>
          <w:color w:val="auto"/>
        </w:rPr>
        <w:t xml:space="preserve">The Company evaluates potential milestone payments associated with research and development arrangements in accordance with ASC 605-28, </w:t>
      </w:r>
      <w:r>
        <w:rPr>
          <w:rFonts w:ascii="Times New Roman" w:cs="Times New Roman" w:eastAsia="Times New Roman" w:hAnsi="Times New Roman"/>
          <w:sz w:val="18"/>
          <w:szCs w:val="18"/>
          <w:i w:val="1"/>
          <w:iCs w:val="1"/>
          <w:color w:val="auto"/>
        </w:rPr>
        <w:t xml:space="preserve">Milestone Method. </w:t>
      </w:r>
      <w:r>
        <w:rPr>
          <w:rFonts w:ascii="Times New Roman" w:cs="Times New Roman" w:eastAsia="Times New Roman" w:hAnsi="Times New Roman"/>
          <w:sz w:val="18"/>
          <w:szCs w:val="18"/>
          <w:color w:val="auto"/>
        </w:rPr>
        <w:t>Under the milestone method, the Company may recognize revenue contingent upon the achievement of a milestone in its entirety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which the milestone is achieved, only if the milestone meets all the criteria within the guidance to be considered a substantive milestone. The Company evaluates each contingent payment on an individual basis to determine whether they are considered substantive milestones, specifically reviewing factors such as the degree of certainty in achieving the milestone, the research and development risk and other risks that must be overcome to achieve the milestone, as well as the level of effort and investment required and whether the milestone consideration is reasonable relative to all deliverables and payment terms in the arrangement.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Revenues from milestones, if they are nonrefundable and deemed substantive, are recognized upon achievement of the milestones.</w:t>
      </w:r>
    </w:p>
    <w:p>
      <w:pPr>
        <w:spacing w:after="0" w:line="188" w:lineRule="exact"/>
        <w:rPr>
          <w:sz w:val="20"/>
          <w:szCs w:val="20"/>
          <w:color w:val="auto"/>
        </w:rPr>
      </w:pPr>
    </w:p>
    <w:p>
      <w:pPr>
        <w:ind w:right="300" w:firstLine="510"/>
        <w:spacing w:after="0" w:line="251" w:lineRule="auto"/>
        <w:rPr>
          <w:sz w:val="20"/>
          <w:szCs w:val="20"/>
          <w:color w:val="auto"/>
        </w:rPr>
      </w:pPr>
      <w:r>
        <w:rPr>
          <w:rFonts w:ascii="Times New Roman" w:cs="Times New Roman" w:eastAsia="Times New Roman" w:hAnsi="Times New Roman"/>
          <w:sz w:val="18"/>
          <w:szCs w:val="18"/>
          <w:color w:val="auto"/>
        </w:rPr>
        <w:t>To the extent that non-substantive milestones are achieved, and the Company has remaining deliverables, milestone payments are deferred and recognized as revenue over the estimated remaining performance period using the appropriate measure of progress as determined for each agreement. The Company recognizes revenue associated with the non-substantive milestones upon achievement of the milestone if the Company has no remaining deliverables. During the nine months ended November 30, 2019, no milestone payments were received, no milestone revenues were recognized and no milestones were considered substantive.</w:t>
      </w:r>
    </w:p>
    <w:p>
      <w:pPr>
        <w:spacing w:after="0" w:line="186"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17"/>
          <w:szCs w:val="17"/>
          <w:color w:val="auto"/>
        </w:rPr>
        <w:t xml:space="preserve">Effective December 1, 2019, the Company adopted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using the modified retrospective method, which was only applied to contracts that were not completed as of the adoption date. As of the adoption date, the Company had only one contract, a collaboration agreement with Gilead, not completed. Under Topic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Topic 606, the Company performs the following five steps:</w:t>
      </w:r>
    </w:p>
    <w:p>
      <w:pPr>
        <w:spacing w:after="0" w:line="67" w:lineRule="exact"/>
        <w:rPr>
          <w:sz w:val="20"/>
          <w:szCs w:val="20"/>
          <w:color w:val="auto"/>
        </w:rPr>
      </w:pPr>
    </w:p>
    <w:p>
      <w:pPr>
        <w:ind w:left="1020" w:hanging="511"/>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17" w:lineRule="exact"/>
        <w:rPr>
          <w:sz w:val="20"/>
          <w:szCs w:val="20"/>
          <w:color w:val="auto"/>
        </w:rPr>
      </w:pPr>
    </w:p>
    <w:p>
      <w:pPr>
        <w:jc w:val="both"/>
        <w:ind w:right="200" w:firstLine="510"/>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17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186" w:lineRule="exact"/>
        <w:rPr>
          <w:sz w:val="20"/>
          <w:szCs w:val="20"/>
          <w:color w:val="auto"/>
        </w:rPr>
      </w:pPr>
    </w:p>
    <w:p>
      <w:pPr>
        <w:ind w:right="120" w:firstLine="510"/>
        <w:spacing w:after="0" w:line="268" w:lineRule="auto"/>
        <w:rPr>
          <w:sz w:val="20"/>
          <w:szCs w:val="20"/>
          <w:color w:val="auto"/>
        </w:rPr>
      </w:pPr>
      <w:r>
        <w:rPr>
          <w:rFonts w:ascii="Times New Roman" w:cs="Times New Roman" w:eastAsia="Times New Roman" w:hAnsi="Times New Roman"/>
          <w:sz w:val="17"/>
          <w:szCs w:val="17"/>
          <w:i w:val="1"/>
          <w:iCs w:val="1"/>
          <w:color w:val="auto"/>
        </w:rPr>
        <w:t>Research and collaboration licenses</w:t>
      </w:r>
      <w:r>
        <w:rPr>
          <w:rFonts w:ascii="Times New Roman" w:cs="Times New Roman" w:eastAsia="Times New Roman" w:hAnsi="Times New Roman"/>
          <w:sz w:val="17"/>
          <w:szCs w:val="17"/>
          <w:color w:val="auto"/>
        </w:rPr>
        <w:t>: If a license is determined to be distinct from the other promises identified in the arrangement,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173"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research, development, or regulatory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180"/>
          </w:cols>
          <w:pgMar w:left="320" w:top="545" w:right="399" w:bottom="1440" w:gutter="0" w:footer="0" w:header="0"/>
        </w:sectPr>
      </w:pPr>
    </w:p>
    <w:bookmarkStart w:id="14" w:name="page15"/>
    <w:bookmarkEnd w:id="14"/>
    <w:p>
      <w:pPr>
        <w:ind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Sales-based milestones and royalties</w:t>
      </w:r>
      <w:r>
        <w:rPr>
          <w:rFonts w:ascii="Times New Roman" w:cs="Times New Roman" w:eastAsia="Times New Roman" w:hAnsi="Times New Roman"/>
          <w:sz w:val="18"/>
          <w:szCs w:val="18"/>
          <w:color w:val="auto"/>
        </w:rPr>
        <w:t>: For arrangements that include sales-based milestone or royalty payments based on the level of sales, and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183"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i w:val="1"/>
          <w:iCs w:val="1"/>
          <w:color w:val="auto"/>
        </w:rPr>
        <w:t>Customer options</w:t>
      </w:r>
      <w:r>
        <w:rPr>
          <w:rFonts w:ascii="Times New Roman" w:cs="Times New Roman" w:eastAsia="Times New Roman" w:hAnsi="Times New Roman"/>
          <w:sz w:val="18"/>
          <w:szCs w:val="18"/>
          <w:color w:val="auto"/>
        </w:rPr>
        <w:t>: Customer options, such as options granted to allow a licensee to extend a license or research term, to select additional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187"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Deferred revenue, which is a contract liability, represents amounts received by the Company for which the related revenues have not been recognized because one or more of the revenue recognition criteria have not been met. The current portion of deferred revenue represents the amount to be recognized within one year from the condensed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revenue was derived from customers located in the United States during the three and nine months ended August 31, 2020 and 2019.</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Research and development costs include, but are not limited to, payroll and personnel expenses, laboratory supplies, preclinical studies, compound manufacturing costs, consulting costs and allocated overhead, including rent, equipment, depreciation and utilities.</w:t>
      </w:r>
    </w:p>
    <w:p>
      <w:pPr>
        <w:spacing w:after="0" w:line="179"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The Company records accrued expenses for estimated costs of research and development activities conducted by third-party service providers, which include preclinical studies and clinical trials and contract manufacturing activities. The Company records the estimated costs of research and development activities based upon the estimated amount of services provided but not yet invoiced and includes these costs in accrued expenses and other current liabilities on the condensed consolidated balance sheets.</w:t>
      </w:r>
    </w:p>
    <w:p>
      <w:pPr>
        <w:spacing w:after="0" w:line="183" w:lineRule="exact"/>
        <w:rPr>
          <w:sz w:val="20"/>
          <w:szCs w:val="20"/>
          <w:color w:val="auto"/>
        </w:rPr>
      </w:pPr>
    </w:p>
    <w:p>
      <w:pPr>
        <w:ind w:right="60" w:firstLine="510"/>
        <w:spacing w:after="0" w:line="270" w:lineRule="auto"/>
        <w:rPr>
          <w:sz w:val="20"/>
          <w:szCs w:val="20"/>
          <w:color w:val="auto"/>
        </w:rPr>
      </w:pPr>
      <w:r>
        <w:rPr>
          <w:rFonts w:ascii="Times New Roman" w:cs="Times New Roman" w:eastAsia="Times New Roman" w:hAnsi="Times New Roman"/>
          <w:sz w:val="17"/>
          <w:szCs w:val="17"/>
          <w:color w:val="auto"/>
        </w:rPr>
        <w:t>The Company estimates the amount of work completed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the Company adjusts its accrued estimates. The Company’s accrued expenses are dependent, in part, upon the receipt of timely and accurate reporting from clinical research organizations and other third-party service providers. The Company records advance payments to service providers as prepaid assets, which are expensed as the contracted services are performed.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5"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The Company accounts for stock-based compensation using a fair value-based method, which requires the recognition of compensation expense for costs related to all stock-based payments including stock options and purchase rights under the employee stock purchase plan. The Company estimates the fair value of stock-based payment awards on the date of grant using the Black-Scholes option pricing model. The model requires management to make a number of assumptions including expected volatility, expected term, risk-free interest rate and expected dividend yield. Prior to its IPO, the fair value of the Company’s common stock was determined by the Company’s board of directors with assistance from management and an independent third party valuation firm, using significant judgment and several factors including important developments in the Company’s operations, sales of preferred stock and the lack of liquidity of the common stock. Subsequent to the IPO, the Company determines the fair value using the market closing price of the Company’s common stock on the date of grant.</w:t>
      </w:r>
    </w:p>
    <w:p>
      <w:pPr>
        <w:spacing w:after="0" w:line="188"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 xml:space="preserve">For stock-based payments with service conditions only, the Company uses the straight-line method to allocate compensation cost to reporting periods over the requisite service period, which is generally the vesting period. Subsequent to the adoption of ASU 2018-07, </w:t>
      </w:r>
      <w:r>
        <w:rPr>
          <w:rFonts w:ascii="Times New Roman" w:cs="Times New Roman" w:eastAsia="Times New Roman" w:hAnsi="Times New Roman"/>
          <w:sz w:val="18"/>
          <w:szCs w:val="18"/>
          <w:i w:val="1"/>
          <w:iCs w:val="1"/>
          <w:color w:val="auto"/>
        </w:rPr>
        <w:t>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Nonemployee Share-Based Payment Accounting </w:t>
      </w:r>
      <w:r>
        <w:rPr>
          <w:rFonts w:ascii="Times New Roman" w:cs="Times New Roman" w:eastAsia="Times New Roman" w:hAnsi="Times New Roman"/>
          <w:sz w:val="18"/>
          <w:szCs w:val="18"/>
          <w:color w:val="auto"/>
        </w:rPr>
        <w:t>as of December 1, 2019,</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 w:name="page16"/>
    <w:bookmarkEnd w:id="15"/>
    <w:p>
      <w:pPr>
        <w:ind w:right="20"/>
        <w:spacing w:after="0" w:line="251" w:lineRule="auto"/>
        <w:rPr>
          <w:sz w:val="20"/>
          <w:szCs w:val="20"/>
          <w:color w:val="auto"/>
        </w:rPr>
      </w:pPr>
      <w:r>
        <w:rPr>
          <w:rFonts w:ascii="Times New Roman" w:cs="Times New Roman" w:eastAsia="Times New Roman" w:hAnsi="Times New Roman"/>
          <w:sz w:val="18"/>
          <w:szCs w:val="18"/>
          <w:color w:val="auto"/>
        </w:rPr>
        <w:t>stock-based compensation expense for non-employee stock-based awards is also measured based on the grant date fair value with the estimated fair value expensed over the period for which the non-employee is required to provide service in exchange for the award. For stock-based payments with performance conditions, the Company evaluates the probability of achieving performance conditions at each reporting date. The Company begins to recognize compensation cost using an accelerated attribution method when it is deemed probable that the performance condition will be met. The Company accounts for forfeitures as they occur.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1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Company had $170,000 of restricted cash recorded as a non-current asset as of August 31, 2020 and November 30, 2019. Restricted cash consisted of $100,000 that serves as collateral for a business credit card account and $70,000 for a letter of credit required under a facility operating lease executed in 2014. These balances are included within the cash, cash equivalents and restricted cash balance in the accompanying condensed consolidated statements of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5" w:lineRule="exact"/>
        <w:rPr>
          <w:sz w:val="20"/>
          <w:szCs w:val="20"/>
          <w:color w:val="auto"/>
        </w:rPr>
      </w:pPr>
    </w:p>
    <w:p>
      <w:pPr>
        <w:ind w:right="200" w:firstLine="510"/>
        <w:spacing w:after="0" w:line="25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at times, exceed federally insured limits, but minimal credit risk exists. The Company invests its cash equivalents in highly rated money market funds. The Company has not experienced any credit losses on its deposits of cash and cash equivalents.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5" w:lineRule="exact"/>
        <w:rPr>
          <w:sz w:val="20"/>
          <w:szCs w:val="20"/>
          <w:color w:val="auto"/>
        </w:rPr>
      </w:pPr>
    </w:p>
    <w:p>
      <w:pPr>
        <w:ind w:right="20" w:firstLine="510"/>
        <w:spacing w:after="0" w:line="27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equivalents, which consist primarily of money market funds, are stated at fair value.</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Cash, cash equivalents and restricted cash as reported within the condensed consolidated statements of cash flows as of August 31, 2020 and 2019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2019 and 2018 consisted of the following (in thousands):</w:t>
      </w:r>
    </w:p>
    <w:p>
      <w:pPr>
        <w:spacing w:after="0" w:line="272"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4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6"/>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9"/>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6"/>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265,527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100" w:type="dxa"/>
            <w:vAlign w:val="bottom"/>
            <w:shd w:val="clear" w:color="auto" w:fill="CFF0FC"/>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FF0FC"/>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265,697</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5"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Investments consist of money market funds, U.S. Treasuries, corporate debt securities, U.S. government agency securities, corporate commercial paper and municipal securities. All of the Company’s investments are classified as available-for-sale and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w:t>
      </w:r>
    </w:p>
    <w:p>
      <w:pPr>
        <w:spacing w:after="0" w:line="188" w:lineRule="exact"/>
        <w:rPr>
          <w:sz w:val="20"/>
          <w:szCs w:val="20"/>
          <w:color w:val="auto"/>
        </w:rPr>
      </w:pPr>
    </w:p>
    <w:p>
      <w:pPr>
        <w:ind w:right="60" w:firstLine="510"/>
        <w:spacing w:after="0" w:line="251" w:lineRule="auto"/>
        <w:rPr>
          <w:sz w:val="20"/>
          <w:szCs w:val="20"/>
          <w:color w:val="auto"/>
        </w:rPr>
      </w:pPr>
      <w:r>
        <w:rPr>
          <w:rFonts w:ascii="Times New Roman" w:cs="Times New Roman" w:eastAsia="Times New Roman" w:hAnsi="Times New Roman"/>
          <w:sz w:val="18"/>
          <w:szCs w:val="18"/>
          <w:color w:val="auto"/>
        </w:rPr>
        <w:t>Unrealized gains and losses on available-for-sale investments are reported in accumulated other comprehensive income (loss) as a separate component of stockholders’ equity (deficit). Investments are regularly reviewed for other-than-temporary declines in fair value. The review includes the consideration of the cause of the impairment, including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5" w:lineRule="exact"/>
        <w:rPr>
          <w:sz w:val="20"/>
          <w:szCs w:val="20"/>
          <w:color w:val="auto"/>
        </w:rPr>
      </w:pPr>
    </w:p>
    <w:p>
      <w:pPr>
        <w:jc w:val="both"/>
        <w:ind w:right="440" w:firstLine="510"/>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equivalents, investments, accounts payable and accrued liabilities included in the Company’s condensed consolidated financial statements approximate their fair value due to short maturities or the nature of the financial instruments.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00"/>
          </w:cols>
          <w:pgMar w:left="320" w:top="545"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5"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as amended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condensed consolidated financial statements may not be comparable to companies that comply with the new or revised accounting pronouncements as of the public company effective 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 recent accounting pronouncements</w:t>
      </w:r>
    </w:p>
    <w:p>
      <w:pPr>
        <w:spacing w:after="0" w:line="113" w:lineRule="exact"/>
        <w:rPr>
          <w:sz w:val="20"/>
          <w:szCs w:val="20"/>
          <w:color w:val="auto"/>
        </w:rPr>
      </w:pPr>
    </w:p>
    <w:p>
      <w:pPr>
        <w:ind w:firstLine="510"/>
        <w:spacing w:after="0" w:line="247"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and has subsequently issued a number of amendments to Topic 606. As amended, Topic 606 provides a single comprehensive model to be used in the accounting for revenue arising from contracts with customers and supersedes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Topic 606 also requires entities to disclose both qualitative and quantitative information that enables users of financial statements to understand the nature, amount, timing and uncertainty of revenue and cash flows arising from contracts with customers, including disclosure of significant judgments affecting the recognition of revenue. The Company adopted Topic 606 as of December 1, 2019 using the modified retrospective method, which was only applied to contracts that were not completed as of the adoption date. As of the adoption date, the Company had only one contract, the collaboration agreement with Gilead, not completed. The Company did not elect to use any of the practical expedients permitted related to adoption. The adoption of Topic 606 did not result in a cumulative adjustment to the accumulated deficit as it did not change the timing and pattern of revenue recognition for the collaboration agreement with Gilead. For the nine months ended August 31, 2020, there would have been no difference between the revenue recognized under Topic 606 and the revenue recognized under ASC 605 for the collaboration agreement with Gilead. The adoption of Topic 606 did not have a material impact on the Company’s condensed consolidated financial statements.</w:t>
      </w:r>
    </w:p>
    <w:p>
      <w:pPr>
        <w:spacing w:after="0" w:line="195" w:lineRule="exact"/>
        <w:rPr>
          <w:sz w:val="20"/>
          <w:szCs w:val="20"/>
          <w:color w:val="auto"/>
        </w:rPr>
      </w:pPr>
    </w:p>
    <w:p>
      <w:pPr>
        <w:ind w:right="140" w:firstLine="510"/>
        <w:spacing w:after="0" w:line="250"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 Accounting </w:t>
      </w:r>
      <w:r>
        <w:rPr>
          <w:rFonts w:ascii="Times New Roman" w:cs="Times New Roman" w:eastAsia="Times New Roman" w:hAnsi="Times New Roman"/>
          <w:sz w:val="18"/>
          <w:szCs w:val="18"/>
          <w:color w:val="auto"/>
        </w:rPr>
        <w:t>(ASU 2018-07), which expands the scope of Topic 718 to include share-based payment transactions for acquiring goods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non-employees.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ASU 2018-07 is effective for annual periods beginning after December 15, 2019, and interim periods within annual periods beginning after December 15, 2020. Early adoption is permitted, but no earlier than an entity’s adoption date of Topic 606. The Company adopted ASU 2018-07 as of December 1, 2019. The adoption did not have a material impact on the Company’s condensed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3"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for operating leases requires the lessee to recognize a right-of-use asset and a lease liability, initially measured at the present value of lease payments, in its balance sheet. A modified retrospective transition approach is required for leases existing at, or entered into after, the beginning of the earliest comparative period presented in the financial statements, including a number of optional practical expedients that entities may elect to apply. ASU 2016-02 is effective for annual periods beginning after December 15, 2021 and interim periods within annual periods beginning after December 15, 2022. Early adoption is permitted. The Company is in the process of evaluating the impact of this new guidance on its financial statements.</w:t>
      </w:r>
    </w:p>
    <w:p>
      <w:pPr>
        <w:spacing w:after="0" w:line="183" w:lineRule="exact"/>
        <w:rPr>
          <w:sz w:val="20"/>
          <w:szCs w:val="20"/>
          <w:color w:val="auto"/>
        </w:rPr>
      </w:pPr>
    </w:p>
    <w:p>
      <w:pPr>
        <w:ind w:right="120" w:firstLine="510"/>
        <w:spacing w:after="0" w:line="249"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(ASU 2016-13), which requires that financial assets measured at amortized cost be presented at the net amount expected to be collected. The measurement of expected credit losses is based on historical experience, current conditions, and reasonable and supportable forecasts that affect collectibility. ASU 2016-13 also eliminates the concept of “other-than-temporary” impairment when evaluating available-for-sale debt investments and instead focuses on determining whether any impairment is a result of a credit loss or other factors. An entity will recognize an allowance for credit losses on available-for-sale debt investments rather than an other-than-temporary impairment that reduces the cost basis of the investment. ASU 2016-13 is effective for annual periods beginning after December 15, 2022, including interim periods within those annual periods. Early adoption is permitted. The Company is in the process of evaluating the impact of this new guidance on its financial statements.</w:t>
      </w:r>
    </w:p>
    <w:p>
      <w:pPr>
        <w:spacing w:after="0" w:line="188" w:lineRule="exact"/>
        <w:rPr>
          <w:sz w:val="20"/>
          <w:szCs w:val="20"/>
          <w:color w:val="auto"/>
        </w:rPr>
      </w:pPr>
    </w:p>
    <w:p>
      <w:pPr>
        <w:ind w:right="500" w:firstLine="510"/>
        <w:spacing w:after="0" w:line="27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Measurements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(ASU 2018-13), which modifies the disclosure requirements on fair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17" w:name="page18"/>
    <w:bookmarkEnd w:id="17"/>
    <w:p>
      <w:pPr>
        <w:ind w:right="20"/>
        <w:spacing w:after="0" w:line="273" w:lineRule="auto"/>
        <w:rPr>
          <w:sz w:val="20"/>
          <w:szCs w:val="20"/>
          <w:color w:val="auto"/>
        </w:rPr>
      </w:pPr>
      <w:r>
        <w:rPr>
          <w:rFonts w:ascii="Times New Roman" w:cs="Times New Roman" w:eastAsia="Times New Roman" w:hAnsi="Times New Roman"/>
          <w:sz w:val="17"/>
          <w:szCs w:val="17"/>
          <w:color w:val="auto"/>
        </w:rPr>
        <w:t>value measurements by removing the requirement to disclose amounts of and reasons for transfers between Level 1 and Level 2 of the fair value hierarchy, the policy for timing of transfers between levels, and the valuation process for Level 3 fair value measurements, among other modifications to fair value measurement disclosure requirements. ASU 2018-13 is effective for all entities for annual periods, and interim periods within those annual periods, beginning after December 15, 2019. Early adoption is permitted. The Company does not expect the adoption to have a material impact on its financial statements.</w:t>
      </w:r>
    </w:p>
    <w:p>
      <w:pPr>
        <w:spacing w:after="0" w:line="167"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 Clarifying the Interaction between Topic 808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606 </w:t>
      </w:r>
      <w:r>
        <w:rPr>
          <w:rFonts w:ascii="Times New Roman" w:cs="Times New Roman" w:eastAsia="Times New Roman" w:hAnsi="Times New Roman"/>
          <w:sz w:val="18"/>
          <w:szCs w:val="18"/>
          <w:color w:val="auto"/>
        </w:rPr>
        <w:t>(ASU 2018-18). ASU 2018-18 clarifies that certain transactions between collaborative arrangement participants should be accounted for as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collaborative arrangement participant is a customer in the context of a unit of account and precludes recognizing as revenue consideration received from a collaborative arrangement participant if the participant is not a customer. ASU 2018-18 is effective for annual periods beginning after December 15, 2020, and interim periods within annual periods beginning after December 15, 2021. ASU 2018-18 requires retrospective adoption to the date the Company adopted Topic 606 by recognizing a cumulative-effect adjustment to the opening balance of retained earnings of the earliest annual period presented. Early adoption is permitted, but no earlier than an entity’s adoption date of Topic 606. The Company does not expect the adoption to have a material impact on its financial statements.</w:t>
      </w:r>
    </w:p>
    <w:p>
      <w:pPr>
        <w:spacing w:after="0" w:line="188"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740)—Simplifying the Accounting for Income Taxes</w:t>
      </w:r>
      <w:r>
        <w:rPr>
          <w:rFonts w:ascii="Times New Roman" w:cs="Times New Roman" w:eastAsia="Times New Roman" w:hAnsi="Times New Roman"/>
          <w:sz w:val="18"/>
          <w:szCs w:val="18"/>
          <w:color w:val="auto"/>
        </w:rPr>
        <w:t xml:space="preserve"> (ASU 2019-12), which is intended to simplify accounting for income taxes. It removes certain exceptions to the general principles in Topic 740 and amends existing guidance to improve consistent application. ASU 2019-12 is effective for annual periods beginning after December 15, 2021, and interim periods within annual periods beginning after December 15, 2022. Early adoption is permitted. The Company is in the process of evaluating the impact of this new guidance on its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Celgene (a related party)</w:t>
      </w:r>
    </w:p>
    <w:p>
      <w:pPr>
        <w:spacing w:after="0" w:line="115" w:lineRule="exact"/>
        <w:rPr>
          <w:sz w:val="20"/>
          <w:szCs w:val="20"/>
          <w:color w:val="auto"/>
        </w:rPr>
      </w:pPr>
    </w:p>
    <w:p>
      <w:pPr>
        <w:ind w:right="500" w:firstLine="510"/>
        <w:spacing w:after="0" w:line="258" w:lineRule="auto"/>
        <w:rPr>
          <w:sz w:val="20"/>
          <w:szCs w:val="20"/>
          <w:color w:val="auto"/>
        </w:rPr>
      </w:pPr>
      <w:r>
        <w:rPr>
          <w:rFonts w:ascii="Times New Roman" w:cs="Times New Roman" w:eastAsia="Times New Roman" w:hAnsi="Times New Roman"/>
          <w:sz w:val="18"/>
          <w:szCs w:val="18"/>
          <w:color w:val="auto"/>
        </w:rPr>
        <w:t>In September 2015, the Company entered into a collaboration agreement with Celgene Corporation (the Celgene Agreement and Celgene, respectively), which was later acquired by Bristol-Myers Squibb Company (BMS) in November 2019, with an initial research term of four years for the discovery, development and commercialization of novel small molecule therapeutics in oncology, inflammation and immunology.</w:t>
      </w:r>
    </w:p>
    <w:p>
      <w:pPr>
        <w:spacing w:after="0" w:line="17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Under the terms of the Celgene Agreement, the Company received an upfront payment of $150.0 million in September 2015. In addition, in September 2015, Celgene purchased 1,622,222 shares of Series C redeemable convertible preferred stock at a price of $10.50 per share, resulting in net proceeds of $17.0 million. As of November 30, 2019, BMS held approximately 10% of total shares outstanding on an as-converted basis.</w:t>
      </w:r>
    </w:p>
    <w:p>
      <w:pPr>
        <w:spacing w:after="0" w:line="179"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In January 2019, Celgene and BMS entered into a definitive merger agreement pursuant to which Celgene agreed to be acquired by BMS. Based on the Company’s request for notification of the future disposition of the agreement, in June 2019, Celgene notified the Company that it was terminating the Celgene Agreement. Upon termination of the Celgene Agreement in June 2019, any rights that Celgene had under the agreement reverted to the Company and no termination payments were due or payable. The Company determined it had no remaining deliverables to be performed under the Celgene Agreement and as a result recognized all remaining deferred revenue in June 2019.</w:t>
      </w:r>
    </w:p>
    <w:p>
      <w:pPr>
        <w:spacing w:after="0" w:line="18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Collaboration revenue related to the Celgene Agreement was $0 and $9.7 million for the three months ended August 31, 2020 and 2019, respectively, and $0 and $28.4 million for the nine months ended August 31, 2020 and 2019, respectively. As of August 31, 2020 and November 30, 2019, deferred revenue of $0 was recorded on the condensed consolidated balance sheet.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15"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18" w:name="page19"/>
    <w:bookmarkEnd w:id="18"/>
    <w:p>
      <w:pPr>
        <w:ind w:right="80" w:firstLine="510"/>
        <w:spacing w:after="0" w:line="268" w:lineRule="auto"/>
        <w:rPr>
          <w:sz w:val="20"/>
          <w:szCs w:val="20"/>
          <w:color w:val="auto"/>
        </w:rPr>
      </w:pPr>
      <w:r>
        <w:rPr>
          <w:rFonts w:ascii="Times New Roman" w:cs="Times New Roman" w:eastAsia="Times New Roman" w:hAnsi="Times New Roman"/>
          <w:sz w:val="17"/>
          <w:szCs w:val="17"/>
          <w:color w:val="auto"/>
        </w:rPr>
        <w:t>Under the Gilead Agreement, Gilead has the option to license drug candidates directed to up to five targets resulting from the collaboration and is responsible for the clinical development and commercialization of product candidates resulting from the collaboration. The Company retains the option to co-develop and co-promote, under a profit share structure, up to two product candidates in the United States, provided that the Company may only exercise such option once per licensed product and Gilead retains the right to veto the Company’s option selection for any one product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173" w:lineRule="exact"/>
        <w:rPr>
          <w:sz w:val="20"/>
          <w:szCs w:val="20"/>
          <w:color w:val="auto"/>
        </w:rPr>
      </w:pPr>
    </w:p>
    <w:p>
      <w:pPr>
        <w:ind w:right="80" w:firstLine="510"/>
        <w:spacing w:after="0" w:line="249"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188" w:lineRule="exact"/>
        <w:rPr>
          <w:sz w:val="20"/>
          <w:szCs w:val="20"/>
          <w:color w:val="auto"/>
        </w:rPr>
      </w:pPr>
    </w:p>
    <w:p>
      <w:pPr>
        <w:ind w:right="40" w:firstLine="510"/>
        <w:spacing w:after="0" w:line="248" w:lineRule="auto"/>
        <w:rPr>
          <w:sz w:val="20"/>
          <w:szCs w:val="20"/>
          <w:color w:val="auto"/>
        </w:rPr>
      </w:pPr>
      <w:r>
        <w:rPr>
          <w:rFonts w:ascii="Times New Roman" w:cs="Times New Roman" w:eastAsia="Times New Roman" w:hAnsi="Times New Roman"/>
          <w:sz w:val="18"/>
          <w:szCs w:val="18"/>
          <w:color w:val="auto"/>
        </w:rPr>
        <w:t>Upon signing the Gilead Agreement, Gilead agreed to pay the Company an upfront payment of $45.0 million plus $3.0 million in additional fees, and the Company is eligible to receive up to approximately $2.3 billion in total additional payments, including up to $700.0 million upon the achievement of specified development milestones, up to $1.5 billion upon the achievement of specified sales milestones, subject to reduction for any product for which the Company exercises its option to co-develop and co-promote, and up to $145.8 million in certain additional fees related to target licensing, reservation and selection and research term extensions.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 In June 2019, the Company received the $45.0 million upfront payment and $3.0 million in additional fees. In February 2020, the Company achieved a research milestone, resulting in a $2.5 million additional payment, which was received by the Company in April 2020. In May 2020, the Company recorded $1.0 million in additional fees related to certain target reservation, which was received in June 2020.</w:t>
      </w:r>
    </w:p>
    <w:p>
      <w:pPr>
        <w:spacing w:after="0" w:line="190" w:lineRule="exact"/>
        <w:rPr>
          <w:sz w:val="20"/>
          <w:szCs w:val="20"/>
          <w:color w:val="auto"/>
        </w:rPr>
      </w:pPr>
    </w:p>
    <w:p>
      <w:pPr>
        <w:ind w:right="80" w:firstLine="510"/>
        <w:spacing w:after="0" w:line="270"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w:t>
      </w:r>
    </w:p>
    <w:p>
      <w:pPr>
        <w:spacing w:after="0" w:line="1" w:lineRule="exact"/>
        <w:rPr>
          <w:sz w:val="20"/>
          <w:szCs w:val="20"/>
          <w:color w:val="auto"/>
        </w:rPr>
      </w:pPr>
    </w:p>
    <w:p>
      <w:pPr>
        <w:ind w:firstLine="6"/>
        <w:spacing w:after="0" w:line="246" w:lineRule="auto"/>
        <w:tabs>
          <w:tab w:leader="none" w:pos="2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192"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The Company identified the following promises in the Gilead Agreement: (1) the research licenses, (2) the research services, including selection campaign research services for certain replacement targets and (3) the obligation to share information during the research and to participate in the joint research committee and joint steering committee. The Company determined that the research licenses are not capable of being distinct due to the specialized nature of the research services to be provided by the Company, and, accordingly, this promise was combined with the research services and participation in the joint research committee as one single performance obligation. The Company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190" w:lineRule="exact"/>
        <w:rPr>
          <w:sz w:val="20"/>
          <w:szCs w:val="20"/>
          <w:color w:val="auto"/>
        </w:rPr>
      </w:pPr>
    </w:p>
    <w:p>
      <w:pPr>
        <w:ind w:right="100" w:firstLine="510"/>
        <w:spacing w:after="0" w:line="250"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milestones and additional fees were considered variable consideration, which were not included in the transaction price based on the most likely amount method as of August 31, 2020. The Company will re-evaluate the transaction price in each reporting period and as uncertain events are resolved or other changes in circumstances occur. The Company determined that the transaction price at the inception of the Gilead Agreement consists of the upfront payment of $45.0 million and $3.0 million in additional fees. Upon the achievement of a research milestone in February 2020 and additional fees related to a target reservation in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19" w:name="page20"/>
    <w:bookmarkEnd w:id="19"/>
    <w:p>
      <w:pPr>
        <w:ind w:right="40"/>
        <w:spacing w:after="0" w:line="270" w:lineRule="auto"/>
        <w:rPr>
          <w:sz w:val="20"/>
          <w:szCs w:val="20"/>
          <w:color w:val="auto"/>
        </w:rPr>
      </w:pPr>
      <w:r>
        <w:rPr>
          <w:rFonts w:ascii="Times New Roman" w:cs="Times New Roman" w:eastAsia="Times New Roman" w:hAnsi="Times New Roman"/>
          <w:sz w:val="17"/>
          <w:szCs w:val="17"/>
          <w:color w:val="auto"/>
        </w:rPr>
        <w:t>May 2020, $3.5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 The contract term was determined to be the five-year initial research term which represents the estimated timing of completion of the identified deliverables. Additionally, the Company considered the impact of Gilead terminating the agreement prior to the completion of the research services during the initial five-year research term and determined that there were significant economic costs to Gilead for doing so, and as such, did not adjust the contract term.</w:t>
      </w:r>
    </w:p>
    <w:p>
      <w:pPr>
        <w:spacing w:after="0" w:line="171" w:lineRule="exact"/>
        <w:rPr>
          <w:sz w:val="20"/>
          <w:szCs w:val="20"/>
          <w:color w:val="auto"/>
        </w:rPr>
      </w:pPr>
    </w:p>
    <w:p>
      <w:pPr>
        <w:ind w:right="180" w:firstLine="510"/>
        <w:spacing w:after="0" w:line="251"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The cumulative effect of revisions to estimated costs to complete the Company’s performance obligation will be recorded in the period in which changes are identified and amounts can be reasonably estimated. These actual costs consist primarily of internal FTE efforts and third party contract costs related to the Gilead Agreement.</w:t>
      </w:r>
    </w:p>
    <w:p>
      <w:pPr>
        <w:spacing w:after="0" w:line="188" w:lineRule="exact"/>
        <w:rPr>
          <w:sz w:val="20"/>
          <w:szCs w:val="20"/>
          <w:color w:val="auto"/>
        </w:rPr>
      </w:pPr>
    </w:p>
    <w:p>
      <w:pPr>
        <w:ind w:right="80" w:firstLine="510"/>
        <w:spacing w:after="0" w:line="270" w:lineRule="auto"/>
        <w:rPr>
          <w:sz w:val="20"/>
          <w:szCs w:val="20"/>
          <w:color w:val="auto"/>
        </w:rPr>
      </w:pPr>
      <w:r>
        <w:rPr>
          <w:rFonts w:ascii="Times New Roman" w:cs="Times New Roman" w:eastAsia="Times New Roman" w:hAnsi="Times New Roman"/>
          <w:sz w:val="17"/>
          <w:szCs w:val="17"/>
          <w:color w:val="auto"/>
        </w:rPr>
        <w:t>For the three and nine months ended August 31, 2020, the Company recognized collaboration revenue related to the Gilead Agreement of $2.1 million and $6.9 million, respectively, of which $1.9 million and $6.0 million, respectively, were included in deferred revenue as of November 30, 2019, and</w:t>
      </w:r>
    </w:p>
    <w:p>
      <w:pPr>
        <w:spacing w:after="0" w:line="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$0.2 million and $0.7 million, respectively, were related to performance obligation satisfied in previous periods. For the three and nine months ended August 31, 2019, the Company recognized revenue related to the Gilead Agreement of $0.8 million and $0.8 million, respectively. As of August 31, 2020,</w:t>
      </w:r>
    </w:p>
    <w:p>
      <w:pPr>
        <w:spacing w:after="0" w:line="2" w:lineRule="exact"/>
        <w:rPr>
          <w:sz w:val="20"/>
          <w:szCs w:val="20"/>
          <w:color w:val="auto"/>
        </w:rPr>
      </w:pPr>
    </w:p>
    <w:p>
      <w:pPr>
        <w:ind w:right="580"/>
        <w:spacing w:after="0" w:line="251" w:lineRule="auto"/>
        <w:rPr>
          <w:sz w:val="20"/>
          <w:szCs w:val="20"/>
          <w:color w:val="auto"/>
        </w:rPr>
      </w:pPr>
      <w:r>
        <w:rPr>
          <w:rFonts w:ascii="Times New Roman" w:cs="Times New Roman" w:eastAsia="Times New Roman" w:hAnsi="Times New Roman"/>
          <w:sz w:val="18"/>
          <w:szCs w:val="18"/>
          <w:color w:val="auto"/>
        </w:rPr>
        <w:t>$41.9 million was recorded as deferred revenue, of which $12.5 million was current, on the condensed consolidated balance sheet related to the Gilead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15"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In December 2019, the Company entered into a strategic collaboration with Sanofi, which became effective in January 2020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with an option by Sanofi to expand to a total of five targets. Over time and subject to certain limitations, Sanofi may elect to replace the drug targets with other reserved targets.</w:t>
      </w:r>
    </w:p>
    <w:p>
      <w:pPr>
        <w:spacing w:after="0" w:line="169" w:lineRule="exact"/>
        <w:rPr>
          <w:sz w:val="20"/>
          <w:szCs w:val="20"/>
          <w:color w:val="auto"/>
        </w:rPr>
      </w:pPr>
    </w:p>
    <w:p>
      <w:pPr>
        <w:ind w:right="80" w:firstLine="510"/>
        <w:spacing w:after="0" w:line="249"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product candidates resulting from the collaboration while the Company retains the option to co-develop, co-promote and co-commercialize up to two targets, one of which must be selected from a list of targets designated at the execution of the Sanofi Agreement and one of which must be selected from targets identified by Sanofi in the future.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191"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188"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7"/>
          <w:szCs w:val="17"/>
          <w:color w:val="auto"/>
        </w:rPr>
        <w:t>Upon signing the Sanofi Agreement, Sanofi agreed to pay an upfront payment of $55.0 million, which was received in January 2020, and the Company is eligible to receive additional payments if Sanofi exercises its option to expand the number of targets beyond the initial targets included in the collaboration or exercises an option to extend the license term with respect to a particular target. In addition, the Company is eligible to receive up to approximately</w:t>
      </w:r>
    </w:p>
    <w:p>
      <w:pPr>
        <w:ind w:right="240"/>
        <w:spacing w:after="0" w:line="259" w:lineRule="auto"/>
        <w:rPr>
          <w:sz w:val="20"/>
          <w:szCs w:val="20"/>
          <w:color w:val="auto"/>
        </w:rPr>
      </w:pPr>
      <w:r>
        <w:rPr>
          <w:rFonts w:ascii="Times New Roman" w:cs="Times New Roman" w:eastAsia="Times New Roman" w:hAnsi="Times New Roman"/>
          <w:sz w:val="17"/>
          <w:szCs w:val="17"/>
          <w:color w:val="auto"/>
        </w:rPr>
        <w:t>$2.5 billion in total payments, including payments of up to $500.0 million upon the achievement of specified development milestones, up to $625.0 million upon the achievement of specified regulatory milestones and up to $1.3 billion upon the achievement of certain sales milestones, as well as up to</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$170.1 million in certain additional fees related to target licensing and reservation. In addition, the Company is eligible to receive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20" w:name="page21"/>
    <w:bookmarkEnd w:id="20"/>
    <w:p>
      <w:pPr>
        <w:ind w:firstLine="510"/>
        <w:spacing w:after="0" w:line="249" w:lineRule="auto"/>
        <w:rPr>
          <w:sz w:val="20"/>
          <w:szCs w:val="20"/>
          <w:color w:val="auto"/>
        </w:rPr>
      </w:pPr>
      <w:r>
        <w:rPr>
          <w:rFonts w:ascii="Times New Roman" w:cs="Times New Roman" w:eastAsia="Times New Roman" w:hAnsi="Times New Roman"/>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are not capable of being distinct due to the specialized nature of the research services to be provided by the Company, and, accordingly, this promise was combined with the research services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191" w:lineRule="exact"/>
        <w:rPr>
          <w:sz w:val="20"/>
          <w:szCs w:val="20"/>
          <w:color w:val="auto"/>
        </w:rPr>
      </w:pPr>
    </w:p>
    <w:p>
      <w:pPr>
        <w:ind w:right="20" w:firstLine="510"/>
        <w:spacing w:after="0" w:line="262"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Milestone and additional fees were considered variable consideration, which were not included in the transaction price based on the most likely amount method as of August 31, 2020. The Company will re-evaluate the transaction price in each reporting period and as uncertain events are resolved or other changes in circumstances occur. The Company determined that the transaction price consists of the upfront payment of $55.0 million at the inception of the Sanofi Agreement and as of August 31, 2020. To account for the material right related to the two additional targets, instead of determining the standalone selling price for the option directly, the Company applied the practical alternative to allocating the transaction price by determining the consideration that it expects to receive in exchange for the research activities that it expects to provide on the two additional targets for a total of five targets. The practical alternative can be applied as the research activities for the two additional targets are similar to the research activities for the initial three targets. Consequently, for the purpose of applying the practical alternative to estimating the standalone selling price of the material right, an expected consideration of $77.0 million was used for revenue recognition allocation, which represents the $55.0 million paid upfront for the three initial drug targets, and the $22.0 million for the additional consideration related to two additional targets which was included as part of applying the practical alternative, but for which the option has not been exercised. Revenue is recognized over the research term of four years, the contractual initial research period, using the cost-based input method, which the Company determined most faithfully depicts the transfer of its performance obligations to Sanofi,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 These actual costs consist primarily of internal FTE efforts and third party contract costs related to the Sanofi Agreement.</w:t>
      </w:r>
    </w:p>
    <w:p>
      <w:pPr>
        <w:spacing w:after="0" w:line="399" w:lineRule="exact"/>
        <w:rPr>
          <w:sz w:val="20"/>
          <w:szCs w:val="20"/>
          <w:color w:val="auto"/>
        </w:rPr>
      </w:pPr>
    </w:p>
    <w:p>
      <w:pPr>
        <w:jc w:val="both"/>
        <w:ind w:right="40" w:firstLine="51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August 31, 2020, the Company recognized collaboration revenue related to the Sanofi Agreement of $2.0 million and $4.2 million, respectively. As of August 31, 2020, $50.8 million was recorded as deferred revenue, of which $17.8 million was current, on the condensed consolidated balance sheet related to the Sanofi Agreement.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Condensed consolidated balance sheet components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0"/>
        </w:trPr>
        <w:tc>
          <w:tcPr>
            <w:tcW w:w="52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18"/>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00" w:type="dxa"/>
            <w:vAlign w:val="bottom"/>
            <w:shd w:val="clear" w:color="auto" w:fill="CFF0FC"/>
          </w:tcPr>
          <w:p>
            <w:pPr>
              <w:spacing w:after="0"/>
              <w:rPr>
                <w:sz w:val="18"/>
                <w:szCs w:val="18"/>
                <w:color w:val="auto"/>
              </w:rPr>
            </w:pPr>
          </w:p>
        </w:tc>
      </w:tr>
      <w:tr>
        <w:trPr>
          <w:trHeight w:val="22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9"/>
                <w:szCs w:val="19"/>
                <w:color w:val="auto"/>
              </w:rPr>
            </w:pPr>
          </w:p>
        </w:tc>
      </w:tr>
      <w:tr>
        <w:trPr>
          <w:trHeight w:val="225"/>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19"/>
                <w:szCs w:val="19"/>
                <w:color w:val="auto"/>
              </w:rPr>
            </w:pPr>
          </w:p>
        </w:tc>
      </w:tr>
      <w:tr>
        <w:trPr>
          <w:trHeight w:val="22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r>
      <w:tr>
        <w:trPr>
          <w:trHeight w:val="225"/>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19"/>
                <w:szCs w:val="19"/>
                <w:color w:val="auto"/>
              </w:rPr>
            </w:pPr>
          </w:p>
        </w:tc>
      </w:tr>
      <w:tr>
        <w:trPr>
          <w:trHeight w:val="225"/>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tcPr>
          <w:p>
            <w:pPr>
              <w:spacing w:after="0"/>
              <w:rPr>
                <w:sz w:val="19"/>
                <w:szCs w:val="19"/>
                <w:color w:val="auto"/>
              </w:rPr>
            </w:pPr>
          </w:p>
        </w:tc>
      </w:tr>
      <w:tr>
        <w:trPr>
          <w:trHeight w:val="218"/>
        </w:trPr>
        <w:tc>
          <w:tcPr>
            <w:tcW w:w="5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100" w:type="dxa"/>
            <w:vAlign w:val="bottom"/>
            <w:shd w:val="clear" w:color="auto" w:fill="CFF0FC"/>
          </w:tcPr>
          <w:p>
            <w:pPr>
              <w:spacing w:after="0"/>
              <w:rPr>
                <w:sz w:val="18"/>
                <w:szCs w:val="18"/>
                <w:color w:val="auto"/>
              </w:rPr>
            </w:pPr>
          </w:p>
        </w:tc>
      </w:tr>
      <w:tr>
        <w:trPr>
          <w:trHeight w:val="22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(12,539)</w:t>
            </w: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(11,003)</w:t>
            </w:r>
          </w:p>
        </w:tc>
      </w:tr>
      <w:tr>
        <w:trPr>
          <w:trHeight w:val="218"/>
        </w:trPr>
        <w:tc>
          <w:tcPr>
            <w:tcW w:w="5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right="280" w:firstLine="510"/>
        <w:spacing w:after="0" w:line="301" w:lineRule="auto"/>
        <w:rPr>
          <w:sz w:val="20"/>
          <w:szCs w:val="20"/>
          <w:color w:val="auto"/>
        </w:rPr>
      </w:pPr>
      <w:r>
        <w:rPr>
          <w:rFonts w:ascii="Times New Roman" w:cs="Times New Roman" w:eastAsia="Times New Roman" w:hAnsi="Times New Roman"/>
          <w:sz w:val="17"/>
          <w:szCs w:val="17"/>
          <w:color w:val="auto"/>
        </w:rPr>
        <w:t>Depreciation and amortization expense was $0.6 million and $0.6 million for the three months ended August 31, 2020 and 2019, respectively, and $1.5 million and $1.8 million for the nine months ended August 31, 2020 and 2019, respectively. All long-lived assets are maintained in the United States.</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180"/>
          </w:cols>
          <w:pgMar w:left="320" w:top="545"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0"/>
        </w:trPr>
        <w:tc>
          <w:tcPr>
            <w:tcW w:w="5240" w:type="dxa"/>
            <w:vAlign w:val="bottom"/>
          </w:tcPr>
          <w:p>
            <w:pPr>
              <w:spacing w:after="0"/>
              <w:rPr>
                <w:sz w:val="14"/>
                <w:szCs w:val="14"/>
                <w:color w:val="auto"/>
              </w:rPr>
            </w:pP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r>
      <w:tr>
        <w:trPr>
          <w:trHeight w:val="218"/>
        </w:trPr>
        <w:tc>
          <w:tcPr>
            <w:tcW w:w="5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top w:val="single" w:sz="8" w:color="CFF0FC"/>
            </w:tcBorders>
            <w:shd w:val="clear" w:color="auto" w:fill="CFF0FC"/>
          </w:tcPr>
          <w:p>
            <w:pPr>
              <w:spacing w:after="0"/>
              <w:rPr>
                <w:sz w:val="18"/>
                <w:szCs w:val="18"/>
                <w:color w:val="auto"/>
              </w:rPr>
            </w:pPr>
          </w:p>
        </w:tc>
      </w:tr>
      <w:tr>
        <w:trPr>
          <w:trHeight w:val="22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r>
      <w:tr>
        <w:trPr>
          <w:trHeight w:val="225"/>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9"/>
                <w:szCs w:val="19"/>
                <w:color w:val="auto"/>
              </w:rPr>
            </w:pPr>
          </w:p>
        </w:tc>
      </w:tr>
      <w:tr>
        <w:trPr>
          <w:trHeight w:val="22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r>
      <w:tr>
        <w:trPr>
          <w:trHeight w:val="225"/>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19"/>
                <w:szCs w:val="19"/>
                <w:color w:val="auto"/>
              </w:rPr>
            </w:pPr>
          </w:p>
        </w:tc>
      </w:tr>
      <w:tr>
        <w:trPr>
          <w:trHeight w:val="218"/>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13"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2" w:lineRule="exact"/>
        <w:rPr>
          <w:sz w:val="20"/>
          <w:szCs w:val="20"/>
          <w:color w:val="auto"/>
        </w:rPr>
      </w:pPr>
    </w:p>
    <w:p>
      <w:pPr>
        <w:ind w:left="520" w:right="60"/>
        <w:spacing w:after="0" w:line="271"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62" w:lineRule="exact"/>
        <w:rPr>
          <w:sz w:val="20"/>
          <w:szCs w:val="20"/>
          <w:color w:val="auto"/>
        </w:rPr>
      </w:pPr>
    </w:p>
    <w:p>
      <w:pPr>
        <w:ind w:left="520" w:right="380"/>
        <w:spacing w:after="0" w:line="271"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217"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79" w:lineRule="exact"/>
        <w:rPr>
          <w:sz w:val="20"/>
          <w:szCs w:val="20"/>
          <w:color w:val="auto"/>
        </w:rPr>
      </w:pPr>
    </w:p>
    <w:p>
      <w:pPr>
        <w:ind w:right="620" w:firstLine="510"/>
        <w:spacing w:after="0" w:line="271" w:lineRule="auto"/>
        <w:rPr>
          <w:sz w:val="20"/>
          <w:szCs w:val="20"/>
          <w:color w:val="auto"/>
        </w:rPr>
      </w:pPr>
      <w:r>
        <w:rPr>
          <w:rFonts w:ascii="Times New Roman" w:cs="Times New Roman" w:eastAsia="Times New Roman" w:hAnsi="Times New Roman"/>
          <w:sz w:val="18"/>
          <w:szCs w:val="18"/>
          <w:color w:val="auto"/>
        </w:rPr>
        <w:t>The following tables presents the Company’s financial assets, which consist of cash equivalents and investments classified as available-for-sale investments, that are measured at fair value on a recurring basis as of August 31, 2020 and November 30, 2019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August 31, 2020</w:t>
            </w:r>
          </w:p>
        </w:tc>
        <w:tc>
          <w:tcPr>
            <w:tcW w:w="1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08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5"/>
              </w:rPr>
              <w:t>Level 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265,527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265,527</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2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CFF0FC"/>
            </w:tcBorders>
            <w:gridSpan w:val="2"/>
          </w:tcPr>
          <w:p>
            <w:pPr>
              <w:ind w:left="480"/>
              <w:spacing w:after="0"/>
              <w:rPr>
                <w:sz w:val="20"/>
                <w:szCs w:val="20"/>
                <w:color w:val="auto"/>
              </w:rPr>
            </w:pPr>
            <w:r>
              <w:rPr>
                <w:rFonts w:ascii="Times New Roman" w:cs="Times New Roman" w:eastAsia="Times New Roman" w:hAnsi="Times New Roman"/>
                <w:sz w:val="18"/>
                <w:szCs w:val="18"/>
                <w:color w:val="auto"/>
              </w:rPr>
              <w:t>Municipal securities</w:t>
            </w:r>
          </w:p>
        </w:tc>
        <w:tc>
          <w:tcPr>
            <w:tcW w:w="1240" w:type="dxa"/>
            <w:vAlign w:val="bottom"/>
            <w:tcBorders>
              <w:bottom w:val="single" w:sz="8" w:color="CFF0FC"/>
            </w:tcBorders>
            <w:gridSpan w:val="2"/>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395,003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395,141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bottom w:val="single" w:sz="8" w:color="CFF0FC"/>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646"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0"/>
        </w:trPr>
        <w:tc>
          <w:tcPr>
            <w:tcW w:w="52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120" w:type="dxa"/>
            <w:vAlign w:val="bottom"/>
          </w:tcPr>
          <w:p>
            <w:pPr>
              <w:spacing w:after="0"/>
              <w:rPr>
                <w:sz w:val="14"/>
                <w:szCs w:val="14"/>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8"/>
        </w:trPr>
        <w:tc>
          <w:tcPr>
            <w:tcW w:w="508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5"/>
              </w:rPr>
              <w:t>Level 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23,834</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00" w:type="dxa"/>
            <w:vAlign w:val="bottom"/>
            <w:gridSpan w:val="2"/>
            <w:vMerge w:val="continue"/>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firstLine="510"/>
        <w:spacing w:after="0" w:line="271"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168" w:lineRule="exact"/>
        <w:rPr>
          <w:sz w:val="20"/>
          <w:szCs w:val="20"/>
          <w:color w:val="auto"/>
        </w:rPr>
      </w:pPr>
    </w:p>
    <w:p>
      <w:pPr>
        <w:ind w:right="80" w:firstLine="510"/>
        <w:spacing w:after="0" w:line="268" w:lineRule="auto"/>
        <w:rPr>
          <w:sz w:val="20"/>
          <w:szCs w:val="20"/>
          <w:color w:val="auto"/>
        </w:rPr>
      </w:pPr>
      <w:r>
        <w:rPr>
          <w:rFonts w:ascii="Times New Roman" w:cs="Times New Roman" w:eastAsia="Times New Roman" w:hAnsi="Times New Roman"/>
          <w:sz w:val="17"/>
          <w:szCs w:val="17"/>
          <w:color w:val="auto"/>
        </w:rPr>
        <w:t>The Company classifies its investments in corporate debt securities, U.S. government agency securities, corporate commercial paper, and municipal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nine months ended August 31, 2020 and 2019.</w:t>
      </w:r>
    </w:p>
    <w:p>
      <w:pPr>
        <w:spacing w:after="0" w:line="17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As of August 31, 2020 and November 30, 2019, none of the Company’s available-for-sale investments that were in an unrealized loss position had been in an unrealized loss position for more than 12 months. During the three and nine months ended August 31, 2020 and 2019, the Company did not recognize any other-than-temporary impairment losses.</w:t>
      </w:r>
    </w:p>
    <w:p>
      <w:pPr>
        <w:spacing w:after="0" w:line="179" w:lineRule="exact"/>
        <w:rPr>
          <w:sz w:val="20"/>
          <w:szCs w:val="20"/>
          <w:color w:val="auto"/>
        </w:rPr>
      </w:pPr>
    </w:p>
    <w:p>
      <w:pPr>
        <w:ind w:right="420" w:firstLine="510"/>
        <w:spacing w:after="0" w:line="271" w:lineRule="auto"/>
        <w:rPr>
          <w:sz w:val="20"/>
          <w:szCs w:val="20"/>
          <w:color w:val="auto"/>
        </w:rPr>
      </w:pPr>
      <w:r>
        <w:rPr>
          <w:rFonts w:ascii="Times New Roman" w:cs="Times New Roman" w:eastAsia="Times New Roman" w:hAnsi="Times New Roman"/>
          <w:sz w:val="18"/>
          <w:szCs w:val="18"/>
          <w:color w:val="auto"/>
        </w:rPr>
        <w:t>The Company’s short-term investments have maturities of less than one year from the respective condensed consolidated balance sheet dates. The Company’s long-term investments have maturities of between one and two years from the respective condensed consolidated balance sheet dates.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August 31, 2020, the Company had no outstanding, pending or threatened litigation.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15"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191" w:lineRule="exact"/>
        <w:rPr>
          <w:sz w:val="20"/>
          <w:szCs w:val="20"/>
          <w:color w:val="auto"/>
        </w:rPr>
      </w:pPr>
    </w:p>
    <w:p>
      <w:pPr>
        <w:ind w:right="40" w:firstLine="510"/>
        <w:spacing w:after="0" w:line="268" w:lineRule="auto"/>
        <w:rPr>
          <w:sz w:val="20"/>
          <w:szCs w:val="20"/>
          <w:color w:val="auto"/>
        </w:rPr>
      </w:pPr>
      <w:r>
        <w:rPr>
          <w:rFonts w:ascii="Times New Roman" w:cs="Times New Roman" w:eastAsia="Times New Roman" w:hAnsi="Times New Roman"/>
          <w:sz w:val="17"/>
          <w:szCs w:val="17"/>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5"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The Company leases office and laboratory facilities in San Francisco, California under a lease agreement. The original lease term was scheduled to end 60 months following the Company’s full occupancy of the leased premises, which occurred in April 2015. In October 2015, the Company entered into a second lease agreement for additional space in the same building as its existing office and laboratory facilities. In November 2017, the Company entered into an amendment to its original lease agreement that combined the Company’s two leases into a single lease agreement and extended the term of the lease agreement through April 30, 2025. The Company is required to pay base rent plus the tenant’s proportionate share of operating expenses as defined in the lease agreement. Under the terms of the lease agreement, the Company paid the landlord security deposits totaling $91,000 and issued a letter of credit to the landlord in the amount of $70,000, which is collateralized by a restricted deposit of $70,000. In June 2020, the Company entered into a new lease agreement for additional space in the same building as the Company’s existing office for a 14-month term ending on July 31, 2021.</w:t>
      </w:r>
    </w:p>
    <w:p>
      <w:pPr>
        <w:spacing w:after="0" w:line="188" w:lineRule="exact"/>
        <w:rPr>
          <w:sz w:val="20"/>
          <w:szCs w:val="20"/>
          <w:color w:val="auto"/>
        </w:rPr>
      </w:pPr>
    </w:p>
    <w:p>
      <w:pPr>
        <w:ind w:right="80" w:firstLine="510"/>
        <w:spacing w:after="0" w:line="250" w:lineRule="auto"/>
        <w:rPr>
          <w:sz w:val="20"/>
          <w:szCs w:val="20"/>
          <w:color w:val="auto"/>
        </w:rPr>
      </w:pPr>
      <w:r>
        <w:rPr>
          <w:rFonts w:ascii="Times New Roman" w:cs="Times New Roman" w:eastAsia="Times New Roman" w:hAnsi="Times New Roman"/>
          <w:sz w:val="18"/>
          <w:szCs w:val="18"/>
          <w:color w:val="auto"/>
        </w:rPr>
        <w:t>In December 2015, the Company entered into its first sublease agreement under which a portion of the Company’s leased space is subleased to another tenant. The term of the sublease, which was originally scheduled to end on December 31, 2017, was extended through December 31, 2018 as the result of an amendment executed in November 2017. The sublessee defaulted on this sublease agreement in August 2018, upon which a new creditor negotiated a second amendment to sublease dated October 2018 and the sublease agreement became a month to month agreement that ended in February 2019. The Company entered into its second sublease agreement with a different tenant in November 2018, which was subsequently amended in March 2019 to increase the size of the space. The term of the second sublease ended in August 2019.</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Rent expense and sublease income was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 August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jc w:val="right"/>
              <w:ind w:right="83"/>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ind w:right="97"/>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36"/>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3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 expense under operating leases</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8"/>
        </w:trPr>
        <w:tc>
          <w:tcPr>
            <w:tcW w:w="4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rent expense</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9660" w:type="dxa"/>
            <w:vAlign w:val="bottom"/>
            <w:gridSpan w:val="16"/>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lease agreement as of August 31, 2020 were as follows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260" w:type="dxa"/>
            <w:vAlign w:val="bottom"/>
          </w:tcPr>
          <w:p>
            <w:pPr>
              <w:spacing w:after="0"/>
              <w:rPr>
                <w:sz w:val="24"/>
                <w:szCs w:val="24"/>
                <w:color w:val="auto"/>
              </w:rPr>
            </w:pPr>
          </w:p>
        </w:tc>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November 30,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260" w:type="dxa"/>
            <w:vAlign w:val="bottom"/>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(remaining 3 months)</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Borders>
              <w:top w:val="single" w:sz="8" w:color="CFF0FC"/>
            </w:tcBorders>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8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8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2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Borders>
              <w:bottom w:val="single" w:sz="8" w:color="CFF0FC"/>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60" w:type="dxa"/>
            <w:vAlign w:val="bottom"/>
          </w:tcPr>
          <w:p>
            <w:pPr>
              <w:spacing w:after="0"/>
              <w:rPr>
                <w:sz w:val="18"/>
                <w:szCs w:val="18"/>
                <w:color w:val="auto"/>
              </w:rPr>
            </w:pPr>
          </w:p>
        </w:tc>
        <w:tc>
          <w:tcPr>
            <w:tcW w:w="3180" w:type="dxa"/>
            <w:vAlign w:val="bottom"/>
            <w:tcBorders>
              <w:bottom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13" w:lineRule="exact"/>
        <w:rPr>
          <w:sz w:val="20"/>
          <w:szCs w:val="20"/>
          <w:color w:val="auto"/>
        </w:rPr>
      </w:pPr>
    </w:p>
    <w:p>
      <w:pPr>
        <w:ind w:right="80" w:firstLine="510"/>
        <w:spacing w:after="0" w:line="251" w:lineRule="auto"/>
        <w:rPr>
          <w:sz w:val="20"/>
          <w:szCs w:val="20"/>
          <w:color w:val="auto"/>
        </w:rPr>
      </w:pPr>
      <w:r>
        <w:rPr>
          <w:rFonts w:ascii="Times New Roman" w:cs="Times New Roman" w:eastAsia="Times New Roman" w:hAnsi="Times New Roman"/>
          <w:sz w:val="18"/>
          <w:szCs w:val="18"/>
          <w:color w:val="auto"/>
        </w:rPr>
        <w:t>The Company’s Certificate of Incorporation, as amended, authorizes the Company to issue up to 500,000,000 and 65,000,000 shares of $0.001 par value common stock as of August 31, 2020 and November 30, 2019, respectively. Common stockholders are entitled to dividends when and if declared by the Company’s board of directors, subject to the prior rights of the preferred stockholders. The holder of each share of common stock is entitled to one vote. The common stockholders voting as a class are entitled to elect one member to the Company’s board of directors. As of August 31, 2020, no dividends have been declared.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4" w:name="page25"/>
    <w:bookmarkEnd w:id="24"/>
    <w:p>
      <w:pPr>
        <w:ind w:right="160" w:firstLine="510"/>
        <w:spacing w:after="0" w:line="271" w:lineRule="auto"/>
        <w:rPr>
          <w:sz w:val="20"/>
          <w:szCs w:val="20"/>
          <w:color w:val="auto"/>
        </w:rPr>
      </w:pPr>
      <w:r>
        <w:rPr>
          <w:rFonts w:ascii="Times New Roman" w:cs="Times New Roman" w:eastAsia="Times New Roman" w:hAnsi="Times New Roman"/>
          <w:sz w:val="18"/>
          <w:szCs w:val="18"/>
          <w:color w:val="auto"/>
        </w:rPr>
        <w:t>Common stock reserved for future issuance, on an as-if converted basis, as of August 31, 2020 and November 30, 2019, consists of the following and has been adjusted for the 1-for-3 reverse stock split:</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0"/>
        </w:trPr>
        <w:tc>
          <w:tcPr>
            <w:tcW w:w="46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18"/>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80" w:type="dxa"/>
            <w:vAlign w:val="bottom"/>
            <w:shd w:val="clear" w:color="auto" w:fill="CFF0FC"/>
          </w:tcPr>
          <w:p>
            <w:pPr>
              <w:spacing w:after="0"/>
              <w:rPr>
                <w:sz w:val="18"/>
                <w:szCs w:val="18"/>
                <w:color w:val="auto"/>
              </w:rPr>
            </w:pPr>
          </w:p>
        </w:tc>
      </w:tr>
      <w:tr>
        <w:trPr>
          <w:trHeight w:val="22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options under stock option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3,460,677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1,913,792</w:t>
            </w:r>
          </w:p>
        </w:tc>
        <w:tc>
          <w:tcPr>
            <w:tcW w:w="80" w:type="dxa"/>
            <w:vAlign w:val="bottom"/>
          </w:tcPr>
          <w:p>
            <w:pPr>
              <w:spacing w:after="0"/>
              <w:rPr>
                <w:sz w:val="19"/>
                <w:szCs w:val="19"/>
                <w:color w:val="auto"/>
              </w:rPr>
            </w:pPr>
          </w:p>
        </w:tc>
      </w:tr>
      <w:tr>
        <w:trPr>
          <w:trHeight w:val="225"/>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future stock option grants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3,982,545</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412,204</w:t>
            </w:r>
          </w:p>
        </w:tc>
        <w:tc>
          <w:tcPr>
            <w:tcW w:w="80" w:type="dxa"/>
            <w:vAlign w:val="bottom"/>
            <w:shd w:val="clear" w:color="auto" w:fill="CFF0FC"/>
          </w:tcPr>
          <w:p>
            <w:pPr>
              <w:spacing w:after="0"/>
              <w:rPr>
                <w:sz w:val="19"/>
                <w:szCs w:val="19"/>
                <w:color w:val="auto"/>
              </w:rPr>
            </w:pPr>
          </w:p>
        </w:tc>
      </w:tr>
      <w:tr>
        <w:trPr>
          <w:trHeight w:val="20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 under employee stock</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730,000</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8,173,222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15,139,883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113" w:lineRule="exact"/>
        <w:rPr>
          <w:sz w:val="20"/>
          <w:szCs w:val="20"/>
          <w:color w:val="auto"/>
        </w:rPr>
      </w:pPr>
    </w:p>
    <w:p>
      <w:pPr>
        <w:ind w:right="360" w:firstLine="510"/>
        <w:spacing w:after="0" w:line="280" w:lineRule="auto"/>
        <w:rPr>
          <w:sz w:val="20"/>
          <w:szCs w:val="20"/>
          <w:color w:val="auto"/>
        </w:rPr>
      </w:pPr>
      <w:r>
        <w:rPr>
          <w:rFonts w:ascii="Times New Roman" w:cs="Times New Roman" w:eastAsia="Times New Roman" w:hAnsi="Times New Roman"/>
          <w:sz w:val="17"/>
          <w:szCs w:val="17"/>
          <w:color w:val="auto"/>
        </w:rPr>
        <w:t>The Company’s Certificate of Incorporation, as amended, authorizes the Company to issue zero and 48,441,667 shares of redeemable convertible preferred stock as of August 31, 2020 and November 30, 2019, respectively, with a par value of $0.001 per share. Designated and outstanding redeemable convertible preferred stock and its principal terms were as follows at November 30, 2019 (in thousands, except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authorized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A-1</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2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Series A-2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6,625,000</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2,208,332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35,150,000</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8,383,333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Series C</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4,866,667</w:t>
            </w:r>
          </w:p>
        </w:tc>
        <w:tc>
          <w:tcPr>
            <w:tcW w:w="28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1,622,222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17,033</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48,441,667</w:t>
            </w:r>
          </w:p>
        </w:tc>
        <w:tc>
          <w:tcPr>
            <w:tcW w:w="2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In March 2020, the Company issued 9,431,364 shares of Series D redeemable convertible preferred stock at an issuance price of $12.75 per share, resulting in net proceeds of $119.9 million. The Series D redeemable convertible preferred stock had a liquidation price per share equal to the original issue price per share.</w:t>
      </w:r>
    </w:p>
    <w:p>
      <w:pPr>
        <w:spacing w:after="0" w:line="179"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of the IPO in July 2020, all shares of redeemable convertible preferred stock then outstanding, including 9,431,364 shares of Series D redeemable convertible preferred stock, converted into 22,245,251 shares of common stock. There were no shares of redeemable convertible preferred stock outstanding as of August 31, 2020.</w:t>
      </w:r>
    </w:p>
    <w:p>
      <w:pPr>
        <w:spacing w:after="0" w:line="179" w:lineRule="exact"/>
        <w:rPr>
          <w:sz w:val="20"/>
          <w:szCs w:val="20"/>
          <w:color w:val="auto"/>
        </w:rPr>
      </w:pPr>
    </w:p>
    <w:p>
      <w:pPr>
        <w:jc w:val="both"/>
        <w:ind w:right="40" w:firstLine="510"/>
        <w:spacing w:after="0" w:line="258" w:lineRule="auto"/>
        <w:rPr>
          <w:sz w:val="20"/>
          <w:szCs w:val="20"/>
          <w:color w:val="auto"/>
        </w:rPr>
      </w:pPr>
      <w:r>
        <w:rPr>
          <w:rFonts w:ascii="Times New Roman" w:cs="Times New Roman" w:eastAsia="Times New Roman" w:hAnsi="Times New Roman"/>
          <w:sz w:val="18"/>
          <w:szCs w:val="18"/>
          <w:color w:val="auto"/>
        </w:rPr>
        <w:t>The redeemable convertible preferred stock was recorded in mezzanine equity because while it was not mandatorily redeemable, it would have become redeemable at the option of the preferred stockholders upon the occurrence of a deemed liquidation event that was considered not solely within the Company’s control.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15" w:lineRule="exact"/>
        <w:rPr>
          <w:sz w:val="20"/>
          <w:szCs w:val="20"/>
          <w:color w:val="auto"/>
        </w:rPr>
      </w:pPr>
    </w:p>
    <w:p>
      <w:pPr>
        <w:ind w:right="20" w:firstLine="510"/>
        <w:spacing w:after="0" w:line="249" w:lineRule="auto"/>
        <w:rPr>
          <w:sz w:val="20"/>
          <w:szCs w:val="20"/>
          <w:color w:val="auto"/>
        </w:rPr>
      </w:pPr>
      <w:r>
        <w:rPr>
          <w:rFonts w:ascii="Times New Roman" w:cs="Times New Roman" w:eastAsia="Times New Roman" w:hAnsi="Times New Roman"/>
          <w:sz w:val="18"/>
          <w:szCs w:val="18"/>
          <w:color w:val="auto"/>
        </w:rPr>
        <w:t>In July 2020, the Company’s board of directors approved, and the Company adopted the 2020 Equity Incentive Plan (the 2020 Plan). The 2020 Plan became effective on July 22, 2020. The 2020 Plan provides for the granting of stock options, stock appreciation rights (SARs), restricted stock awards (RSAs), restricted stock units (RSUs), performance awards and stock bonus awards to employees, directors, consultants, independent contractors and advisors of the Company. Under the 2020 Plan, the Company generally grants stock-based awards with service-based vesting conditions only. Options granted typically vest over a four-year period but may be granted with different vesting terms.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w:t>
      </w:r>
    </w:p>
    <w:p>
      <w:pPr>
        <w:spacing w:after="0" w:line="188" w:lineRule="exact"/>
        <w:rPr>
          <w:sz w:val="20"/>
          <w:szCs w:val="20"/>
          <w:color w:val="auto"/>
        </w:rPr>
      </w:pPr>
    </w:p>
    <w:p>
      <w:pPr>
        <w:jc w:val="both"/>
        <w:ind w:right="140" w:firstLine="510"/>
        <w:spacing w:after="0" w:line="254" w:lineRule="auto"/>
        <w:rPr>
          <w:sz w:val="20"/>
          <w:szCs w:val="20"/>
          <w:color w:val="auto"/>
        </w:rPr>
      </w:pPr>
      <w:r>
        <w:rPr>
          <w:rFonts w:ascii="Times New Roman" w:cs="Times New Roman" w:eastAsia="Times New Roman" w:hAnsi="Times New Roman"/>
          <w:sz w:val="18"/>
          <w:szCs w:val="18"/>
          <w:color w:val="auto"/>
        </w:rPr>
        <w:t>Following the effectiveness of the 2020 Plan, the Company ceased making grants under the 2012 Equity Incentive Plan (the 2012 Plan). However, the 2012 Plan continues to govern the terms and conditions of the outstanding awards granted under it. Shares of common stock subject to awards granted under the 2012 Plan that cease to be subject to such awards by forfeiture or otherwise after the termination of the 2012 Plan will be available for issuance under the 2020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As of August 31, 2020, there were 3,982,545 shares of common stock reserved for future issuance pursuant to the 2020 Plan.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Equity Incentive Plan</w:t>
      </w:r>
    </w:p>
    <w:p>
      <w:pPr>
        <w:spacing w:after="0" w:line="115"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In April 2012, the Company’s board of directors approved, and the Company adopted the 2012 Plan. The 2012 Plan provides for the granting of stock options, SARs, RSAs, and RSUs to employees, directors, consultants and advisors of the Company. Options granted under the 2012 Plan generally vest over four years. Options granted under the 2012 Plan may, but need not, be exercisable immediately, with any shares issued on exercise being subject to the Company’s right of repurchase.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August 31, 2020, there were no shares of common stock reserved for issuance pursuant to the 2012 Plan.</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Activity under the 2020 Plan and 2012 Plan is set forth below and has been adjusted for the 1-for-3 reverse stock split (in thousands, except per share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life (in years)</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6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November 30,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1,913,792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2,078,576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(456,460)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forfeited</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(75,231)</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repurchased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August 31, 2020</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3,460,677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Options vested and expected to vest as of August 31,</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0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00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14"/>
                <w:szCs w:val="14"/>
                <w:color w:val="auto"/>
              </w:rPr>
              <w:t>(2)</w:t>
            </w:r>
          </w:p>
        </w:tc>
        <w:tc>
          <w:tcPr>
            <w:tcW w:w="280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3,625,569</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660" w:type="dxa"/>
            <w:vAlign w:val="bottom"/>
            <w:tcBorders>
              <w:top w:val="single" w:sz="8" w:color="CFF0FC"/>
              <w:bottom w:val="single" w:sz="8" w:color="CFF0FC"/>
            </w:tcBorders>
            <w:gridSpan w:val="2"/>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Options exercisable as of August 31, 2020</w:t>
            </w:r>
          </w:p>
        </w:tc>
        <w:tc>
          <w:tcPr>
            <w:tcW w:w="90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2,993,112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FF0FC"/>
              <w:bottom w:val="single" w:sz="8" w:color="CFF0FC"/>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4.92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CFF0FC"/>
              <w:bottom w:val="single" w:sz="8" w:color="CFF0FC"/>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8.89</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55,306</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1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500" w:right="160" w:hanging="494"/>
        <w:spacing w:after="0" w:line="200" w:lineRule="auto"/>
        <w:tabs>
          <w:tab w:leader="none" w:pos="50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aggregate intrinsic values were calculated as the pre-tax difference between the exercise price of stock options and the quoted market price of the Company’s common stock on August 31, 2020 for all in-the-money stock options.</w:t>
      </w:r>
    </w:p>
    <w:p>
      <w:pPr>
        <w:ind w:left="500" w:hanging="494"/>
        <w:spacing w:after="0" w:line="232" w:lineRule="auto"/>
        <w:tabs>
          <w:tab w:leader="none" w:pos="50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Certain stock options granted by the Company prior to the date of IPO are exercisable at the date of grant, with unvested shares subject to repurchase by the Company in the event of voluntary or involuntary termination of employment of the stockholder. Such exercises are recorded as a liability in the condensed consolidated balance sheets and reclassified into equity as the options vest. As of August 31, 2020, a total of 164,892 share of common stock were subject to repurchase by the Company at the lower of (i) the fair market value of such shares on the date of repurchase, or (ii) the original exercise price of such shares. The corresponding exercise value of $0.6 million as of August 31, 2020 is recorded in share-based compensation liability.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15"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In July 2020, the Company’s board of directors adopted the 2020 Employee Stock Purchase Plan (the 2020 ESPP) that became effective upon the date of the IPO in order to enable eligible employees to purchase shares of common stock with accumulated payroll deductions. The 2020 ESPP is intended to qualify under Section 423 of the Internal Revenue Code, as amended. Under the 2020 ESPP, eligible employees are offered the option to purchase shares of common stock at a discount over a series of offering periods. Each offering period may consist of one or more purchase periods. The purchase price for shares of common stock purchased under the 2020 ESPP will be 85% of the lesser of the fair market value of the Company’s common stock on (i) the first trading day of the applicable offering period or (ii) the last trading day of each purchase period in the applicable offering period.</w:t>
      </w:r>
    </w:p>
    <w:p>
      <w:pPr>
        <w:spacing w:after="0" w:line="189"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8"/>
          <w:szCs w:val="18"/>
          <w:color w:val="auto"/>
        </w:rPr>
        <w:t>As of August 31, 2020, there were 730,000 shares of common stock reserved for issuance pursuant to the 2020 ESPP. The first offering period commenced as of July 23, 2020, the date on which the Company’s registration statement on Form S-1 relating to its IPO of common stock became effective, and it will end on February 15, 2021. The first purchase period will be the same as the first offering period and the first purchase date will be the last trading day of the purchase period, which is February 12, 2021.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26" w:name="page27"/>
    <w:bookmarkEnd w:id="26"/>
    <w:p>
      <w:pPr>
        <w:ind w:right="440" w:firstLine="510"/>
        <w:spacing w:after="0" w:line="271" w:lineRule="auto"/>
        <w:rPr>
          <w:sz w:val="20"/>
          <w:szCs w:val="20"/>
          <w:color w:val="auto"/>
        </w:rPr>
      </w:pPr>
      <w:r>
        <w:rPr>
          <w:rFonts w:ascii="Times New Roman" w:cs="Times New Roman" w:eastAsia="Times New Roman" w:hAnsi="Times New Roman"/>
          <w:sz w:val="18"/>
          <w:szCs w:val="18"/>
          <w:color w:val="auto"/>
        </w:rPr>
        <w:t>The following table sets forth stock-based compensation expense related to stock options and ESPP that is included in the Company’s condensed consolidated statements of operations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August 31,</w:t>
            </w:r>
          </w:p>
        </w:tc>
        <w:tc>
          <w:tcPr>
            <w:tcW w:w="180" w:type="dxa"/>
            <w:vAlign w:val="bottom"/>
          </w:tcPr>
          <w:p>
            <w:pPr>
              <w:spacing w:after="0"/>
              <w:rPr>
                <w:sz w:val="14"/>
                <w:szCs w:val="14"/>
                <w:color w:val="auto"/>
              </w:rPr>
            </w:pPr>
          </w:p>
        </w:tc>
        <w:tc>
          <w:tcPr>
            <w:tcW w:w="21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r>
      <w:tr>
        <w:trPr>
          <w:trHeight w:val="152"/>
        </w:trPr>
        <w:tc>
          <w:tcPr>
            <w:tcW w:w="46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6"/>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6"/>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6"/>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6"/>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18"/>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FF0FC"/>
          </w:tcPr>
          <w:p>
            <w:pPr>
              <w:spacing w:after="0"/>
              <w:rPr>
                <w:sz w:val="18"/>
                <w:szCs w:val="18"/>
                <w:color w:val="auto"/>
              </w:rPr>
            </w:pPr>
          </w:p>
        </w:tc>
      </w:tr>
      <w:tr>
        <w:trPr>
          <w:trHeight w:val="225"/>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FF0FC"/>
            </w:tcBorders>
          </w:tcPr>
          <w:p>
            <w:pPr>
              <w:spacing w:after="0"/>
              <w:rPr>
                <w:sz w:val="19"/>
                <w:szCs w:val="19"/>
                <w:color w:val="auto"/>
              </w:rPr>
            </w:pPr>
          </w:p>
        </w:tc>
      </w:tr>
      <w:tr>
        <w:trPr>
          <w:trHeight w:val="218"/>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0" w:lineRule="exact"/>
        <w:rPr>
          <w:sz w:val="20"/>
          <w:szCs w:val="20"/>
          <w:color w:val="auto"/>
        </w:rPr>
      </w:pPr>
    </w:p>
    <w:p>
      <w:pPr>
        <w:ind w:right="460" w:firstLine="563"/>
        <w:spacing w:after="0" w:line="271" w:lineRule="auto"/>
        <w:rPr>
          <w:sz w:val="20"/>
          <w:szCs w:val="20"/>
          <w:color w:val="auto"/>
        </w:rPr>
      </w:pPr>
      <w:r>
        <w:rPr>
          <w:rFonts w:ascii="Times New Roman" w:cs="Times New Roman" w:eastAsia="Times New Roman" w:hAnsi="Times New Roman"/>
          <w:sz w:val="18"/>
          <w:szCs w:val="18"/>
          <w:color w:val="auto"/>
        </w:rPr>
        <w:t>As of August 31, 2020, the total compensation cost related to stock-based awards not yet recognized was $12.5 million, which is expected to be amortized on a straight-line basis over the weighted-average remaining vesting period of approximately 3.48 years.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Defined contribution plan</w:t>
      </w:r>
    </w:p>
    <w:p>
      <w:pPr>
        <w:spacing w:after="0" w:line="113" w:lineRule="exact"/>
        <w:rPr>
          <w:sz w:val="20"/>
          <w:szCs w:val="20"/>
          <w:color w:val="auto"/>
        </w:rPr>
      </w:pPr>
    </w:p>
    <w:p>
      <w:pPr>
        <w:ind w:right="140" w:firstLine="510"/>
        <w:spacing w:after="0" w:line="250" w:lineRule="auto"/>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The Company made contributions to the 401(k) Plan during the three and nine months ended August 31, 2020 and 2019. The Company recorded contribution expense of $57,000 and $39,000 during the three months ended August 31, 2020 and 2019, respectively, and $0.3 million and $0.3 million during the nine months ended August 31, 2020 and 2019,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3" w:lineRule="exact"/>
        <w:rPr>
          <w:sz w:val="20"/>
          <w:szCs w:val="20"/>
          <w:color w:val="auto"/>
        </w:rPr>
      </w:pPr>
    </w:p>
    <w:p>
      <w:pPr>
        <w:ind w:right="40" w:firstLine="510"/>
        <w:spacing w:after="0" w:line="247"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in response to the COVID-19 pandemic. The CARES Act, among other things, permits net operating loss (NOL) carryovers and carrybacks to offset 100% of taxable income for taxable years beginning before 2021. In addition, the CARES Act allows NOLs incurred in taxable years 2018, 2019, and 2020 to be carried back to each of the five preceding taxable years to generate a refund of previously paid income taxes. Any tax benefit as a result of the CARES Act is primarily due to the carryback of NOLs to prior taxable years and increased interest expense deductions. In the second fiscal quarter of 2020, the Company filed a refund claim of $15.7 million to carryback its NOLs generated in the fiscal year ended November 30, 2018, and the Company intends to file an additional refund claim to carryback its NOLs generated in the fiscal year ended November 30, 2019 to recover an additional $3.9 million of income tax. Additionally, as a result of the CARES Act, the Company anticipates its NOL carryback claims will displace certain research and development credits that were originally used to offset previous tax expense. As a result, the Company recorded a discrete income tax benefit of $20.6 million, which consist of the carryback claims and the reversal of the uncertain tax liabilities, in the condensed statement of operations for the nine months ended August 31, 2020. During the third fiscal quarter of 2020, the Company received cash for the first refund claim of $16.3 million including an interest income of $567,000, leaving the remaining income tax receivable of $3.9 million for the anticipated tax refund claims on the condensed consolidated balance sheet as of August 31, 2020.</w:t>
      </w:r>
    </w:p>
    <w:p>
      <w:pPr>
        <w:spacing w:after="0" w:line="197" w:lineRule="exact"/>
        <w:rPr>
          <w:sz w:val="20"/>
          <w:szCs w:val="20"/>
          <w:color w:val="auto"/>
        </w:rPr>
      </w:pPr>
    </w:p>
    <w:p>
      <w:pPr>
        <w:ind w:right="80" w:firstLine="510"/>
        <w:spacing w:after="0" w:line="249" w:lineRule="auto"/>
        <w:rPr>
          <w:sz w:val="20"/>
          <w:szCs w:val="20"/>
          <w:color w:val="auto"/>
        </w:rPr>
      </w:pPr>
      <w:r>
        <w:rPr>
          <w:rFonts w:ascii="Times New Roman" w:cs="Times New Roman" w:eastAsia="Times New Roman" w:hAnsi="Times New Roman"/>
          <w:sz w:val="18"/>
          <w:szCs w:val="18"/>
          <w:color w:val="auto"/>
        </w:rPr>
        <w:t>For the three months ended August 31, 2020 and 2019, the Company recorded a current income tax expense of $0 and $10,000, respectively. For the nine months ended August 31, 2020 and 2019, the Company recorded an income tax benefit of $20.6 million and a current income tax expense of $29,000, respectively.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had generated losses since inception and has established a valuation allowance to offset deferred tax assets as of August 31, 2020 and November 30, 2019 due to the uncertainty of realizing future tax benefits from its NOL carryforwards and other deferred tax assets.</w:t>
      </w:r>
    </w:p>
    <w:p>
      <w:pPr>
        <w:spacing w:after="0" w:line="191"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in the states of California and New Jersey. The Internal Revenue Service (IRS) commenced an examination of the Company’s U.S. income tax return for the years ended December 31, 2016 and November 30, 2017 that is anticipated to be completed in 2021. In 2019, the IRS gave the Company a proposed adjustment denying a portion of the Company’s research and development (R&amp;D) credits. The Company did not agree with the IRS’s position. However, pursuant to a measurement analysis the Company recorded an unrecognized tax benefit related to the 2016 and 2017 R&amp;D credits. In September 2020, the Company and the IRS reached a settlement on the R&amp;D credit issue. As a result, the Company removed the associated unrecognized tax benefit and decreased its R&amp;D credit carryforward. See Note 14, “Subsequent events” for details. Additionally, the California Franchise Tax Board (the FTB) initiated an examination of the Company’s California tax return for the years ended December 31, 2015 and 2016. As of the issuance date of these condensed consolidated financial statements, the FTB has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180"/>
          </w:cols>
          <w:pgMar w:left="320" w:top="545" w:right="399" w:bottom="1440" w:gutter="0" w:footer="0" w:header="0"/>
        </w:sectPr>
      </w:pPr>
    </w:p>
    <w:bookmarkStart w:id="27" w:name="page28"/>
    <w:bookmarkEnd w:id="27"/>
    <w:p>
      <w:pPr>
        <w:ind w:right="560"/>
        <w:spacing w:after="0" w:line="271" w:lineRule="auto"/>
        <w:rPr>
          <w:sz w:val="20"/>
          <w:szCs w:val="20"/>
          <w:color w:val="auto"/>
        </w:rPr>
      </w:pPr>
      <w:r>
        <w:rPr>
          <w:rFonts w:ascii="Times New Roman" w:cs="Times New Roman" w:eastAsia="Times New Roman" w:hAnsi="Times New Roman"/>
          <w:sz w:val="18"/>
          <w:szCs w:val="18"/>
          <w:color w:val="auto"/>
        </w:rPr>
        <w:t>not yet issued any assessments. The Company’s tax years will remain open for examination by the federal and state authorities for three and four years, respectively, from the date of utilization of any NOL or credits.</w:t>
      </w:r>
    </w:p>
    <w:p>
      <w:pPr>
        <w:spacing w:after="0" w:line="168" w:lineRule="exact"/>
        <w:rPr>
          <w:sz w:val="20"/>
          <w:szCs w:val="20"/>
          <w:color w:val="auto"/>
        </w:rPr>
      </w:pPr>
    </w:p>
    <w:p>
      <w:pPr>
        <w:ind w:right="240" w:firstLine="510"/>
        <w:spacing w:after="0" w:line="251" w:lineRule="auto"/>
        <w:rPr>
          <w:sz w:val="20"/>
          <w:szCs w:val="20"/>
          <w:color w:val="auto"/>
        </w:rPr>
      </w:pPr>
      <w:r>
        <w:rPr>
          <w:rFonts w:ascii="Times New Roman" w:cs="Times New Roman" w:eastAsia="Times New Roman" w:hAnsi="Times New Roman"/>
          <w:sz w:val="18"/>
          <w:szCs w:val="18"/>
          <w:color w:val="auto"/>
        </w:rPr>
        <w:t>In the second fiscal quarter of 2020, the Company reclassified its liability for uncertain tax positions on the condensed consolidated balance sheet against its deferred tax asset balance, with an adjustment to the valuation allowance for deferred taxes for the same amount, as a result of the impact of the CARES Act upon the Company’s NOL carryback claims. Due to the Company’s NOL carryback claims, any federal audit settlements are recorded as adjustments to the Company’s R&amp;D credit carryforwards and NOL balances instead of a cash tax payment. As of August 31, 2020 and November 30, 2019, there are no tax benefits included in the balance of unrecognized tax benefits that, if recognized, would affect the effective tax rate.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13" w:lineRule="exact"/>
        <w:rPr>
          <w:sz w:val="20"/>
          <w:szCs w:val="20"/>
          <w:color w:val="auto"/>
        </w:rPr>
      </w:pPr>
    </w:p>
    <w:p>
      <w:pPr>
        <w:ind w:right="500" w:firstLine="510"/>
        <w:spacing w:after="0" w:line="301"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August 31,</w:t>
            </w:r>
          </w:p>
        </w:tc>
        <w:tc>
          <w:tcPr>
            <w:tcW w:w="300" w:type="dxa"/>
            <w:vAlign w:val="bottom"/>
          </w:tcPr>
          <w:p>
            <w:pPr>
              <w:spacing w:after="0"/>
              <w:rPr>
                <w:sz w:val="14"/>
                <w:szCs w:val="14"/>
                <w:color w:val="auto"/>
              </w:rPr>
            </w:pPr>
          </w:p>
        </w:tc>
        <w:tc>
          <w:tcPr>
            <w:tcW w:w="26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r>
      <w:tr>
        <w:trPr>
          <w:trHeight w:val="152"/>
        </w:trPr>
        <w:tc>
          <w:tcPr>
            <w:tcW w:w="468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9"/>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6"/>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9"/>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18"/>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5"/>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(2,427)</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(23,328)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(8,180)</w:t>
            </w:r>
          </w:p>
        </w:tc>
      </w:tr>
      <w:tr>
        <w:trPr>
          <w:trHeight w:val="218"/>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number of shares outstanding, basic</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and diluted</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31,383,936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3,667,335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27,688,972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3,433,809</w:t>
            </w:r>
          </w:p>
        </w:tc>
        <w:tc>
          <w:tcPr>
            <w:tcW w:w="100" w:type="dxa"/>
            <w:vAlign w:val="bottom"/>
            <w:tcBorders>
              <w:bottom w:val="single" w:sz="8" w:color="CFF0FC"/>
            </w:tcBorders>
          </w:tcPr>
          <w:p>
            <w:pPr>
              <w:spacing w:after="0"/>
              <w:rPr>
                <w:sz w:val="19"/>
                <w:szCs w:val="19"/>
                <w:color w:val="auto"/>
              </w:rPr>
            </w:pPr>
          </w:p>
        </w:tc>
      </w:tr>
      <w:tr>
        <w:trPr>
          <w:trHeight w:val="200"/>
        </w:trPr>
        <w:tc>
          <w:tcPr>
            <w:tcW w:w="4680" w:type="dxa"/>
            <w:vAlign w:val="bottom"/>
            <w:shd w:val="clear" w:color="auto" w:fill="CFF0FC"/>
          </w:tcPr>
          <w:p>
            <w:pPr>
              <w:ind w:left="240"/>
              <w:spacing w:after="0" w:line="201"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(0.66)</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ind w:right="400" w:firstLine="510"/>
        <w:spacing w:after="0" w:line="271"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7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and Nine Months Ended August 31,</w:t>
            </w:r>
          </w:p>
        </w:tc>
      </w:tr>
      <w:tr>
        <w:trPr>
          <w:trHeight w:val="152"/>
        </w:trPr>
        <w:tc>
          <w:tcPr>
            <w:tcW w:w="20" w:type="dxa"/>
            <w:vAlign w:val="bottom"/>
          </w:tcPr>
          <w:p>
            <w:pPr>
              <w:spacing w:after="0"/>
              <w:rPr>
                <w:sz w:val="13"/>
                <w:szCs w:val="13"/>
                <w:color w:val="auto"/>
              </w:rPr>
            </w:pPr>
          </w:p>
        </w:tc>
        <w:tc>
          <w:tcPr>
            <w:tcW w:w="6340" w:type="dxa"/>
            <w:vAlign w:val="bottom"/>
            <w:tcBorders>
              <w:bottom w:val="single" w:sz="8" w:color="CFF0FC"/>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637"/>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635"/>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on an as-converted basis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12,813,887</w:t>
            </w:r>
          </w:p>
        </w:tc>
        <w:tc>
          <w:tcPr>
            <w:tcW w:w="80" w:type="dxa"/>
            <w:vAlign w:val="bottom"/>
            <w:shd w:val="clear" w:color="auto" w:fill="CFF0FC"/>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3,460,677</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1,803,136</w:t>
            </w:r>
          </w:p>
        </w:tc>
        <w:tc>
          <w:tcPr>
            <w:tcW w:w="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early exercised subject to vesting</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164,892</w:t>
            </w: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146,441</w:t>
            </w:r>
          </w:p>
        </w:tc>
        <w:tc>
          <w:tcPr>
            <w:tcW w:w="80" w:type="dxa"/>
            <w:vAlign w:val="bottom"/>
            <w:shd w:val="clear" w:color="auto" w:fill="CFF0FC"/>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62,104</w:t>
            </w:r>
          </w:p>
        </w:tc>
        <w:tc>
          <w:tcPr>
            <w:tcW w:w="28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8"/>
                <w:szCs w:val="18"/>
                <w:color w:val="auto"/>
              </w:rPr>
            </w:pPr>
          </w:p>
        </w:tc>
        <w:tc>
          <w:tcPr>
            <w:tcW w:w="6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3,687,673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14,763,464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13" w:lineRule="exact"/>
        <w:rPr>
          <w:sz w:val="20"/>
          <w:szCs w:val="20"/>
          <w:color w:val="auto"/>
        </w:rPr>
      </w:pPr>
    </w:p>
    <w:p>
      <w:pPr>
        <w:ind w:right="100" w:firstLine="510"/>
        <w:spacing w:after="0" w:line="250" w:lineRule="auto"/>
        <w:rPr>
          <w:sz w:val="20"/>
          <w:szCs w:val="20"/>
          <w:color w:val="auto"/>
        </w:rPr>
      </w:pPr>
      <w:r>
        <w:rPr>
          <w:rFonts w:ascii="Times New Roman" w:cs="Times New Roman" w:eastAsia="Times New Roman" w:hAnsi="Times New Roman"/>
          <w:sz w:val="18"/>
          <w:szCs w:val="18"/>
          <w:color w:val="auto"/>
        </w:rPr>
        <w:t>As of August 31, 2020 and November 30, 2019, post-acquisition of Celgene, BMS owned 1,622,222 shares of the Company’s common stock and 1,622,222 shares of the Company’s Series C redeemable convertible preferred stock, respectively. For the three months ended August 31, 2020 and 2019, the Company recorded collaboration revenue of $0 and $9.7 million, respectively, and for the nine months ended August 31, 2020 and 2019, the Company recorded collaboration revenue of $0 and $28.4 million, respectively. As of August 31, 2020 and November 30, 2019, deferred revenue related to the Celgene agreement was $0. In June 2019, the Celgene Agreement was terminated in its entirety with no further payments from Celgene and no remaining deliverables from the Company. See Note 3, “Collaboration agreements—Celgene (a related party)” for a discussion of the Celgene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3" w:lineRule="exact"/>
        <w:rPr>
          <w:sz w:val="20"/>
          <w:szCs w:val="20"/>
          <w:color w:val="auto"/>
        </w:rPr>
      </w:pPr>
    </w:p>
    <w:p>
      <w:pPr>
        <w:ind w:right="160" w:firstLine="510"/>
        <w:spacing w:after="0" w:line="270" w:lineRule="auto"/>
        <w:rPr>
          <w:sz w:val="20"/>
          <w:szCs w:val="20"/>
          <w:color w:val="auto"/>
        </w:rPr>
      </w:pPr>
      <w:r>
        <w:rPr>
          <w:rFonts w:ascii="Times New Roman" w:cs="Times New Roman" w:eastAsia="Times New Roman" w:hAnsi="Times New Roman"/>
          <w:sz w:val="17"/>
          <w:szCs w:val="17"/>
          <w:color w:val="auto"/>
        </w:rPr>
        <w:t>In 2019, the IRS gave the Company a proposed adjustment denying a portion of the Company’s R&amp;D credits. The amount of a proposed adjustment was $0.8 million and $0.9 million for 2016 and 2017, respectively. On September 21, 2020, the Company participated in a Fast Track settlement, a voluntary mediation program offered by the IRS, and agreed to accept a reduction of $0.6 million and $0.5 million for the 2016 and 2017 R&amp;D credits, respectively. Accordingly, the Company has decreased the amount of its R&amp;D credit carryforward by $1.1 million and recorded a decrease to the associated unrecognized tax benefit with an offset to the valuation allowance for deferred taxes. The settlement did not result in adjustments to the provision for income taxes.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ind w:right="140" w:firstLine="510"/>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our final prospectus (Prospectus) dated July 23, 2020 and filed with the U.S. Securities and Exchange Commission (SEC) pursuant to Rule 424(b) under the Securities Act of 1933, as amended (the Securities Act) on July 24, 2020.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Prospectus.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ind w:firstLine="510"/>
        <w:spacing w:after="0" w:line="263" w:lineRule="auto"/>
        <w:rPr>
          <w:sz w:val="20"/>
          <w:szCs w:val="20"/>
          <w:color w:val="auto"/>
        </w:rPr>
      </w:pPr>
      <w:r>
        <w:rPr>
          <w:rFonts w:ascii="Times New Roman" w:cs="Times New Roman" w:eastAsia="Times New Roman" w:hAnsi="Times New Roman"/>
          <w:sz w:val="17"/>
          <w:szCs w:val="17"/>
          <w:color w:val="auto"/>
        </w:rPr>
        <w:t>We are a biopharmaceutical company focused on the discovery, development and commercialization of small molecule therapies designed to modulate cellular protein levels as a novel treatment approach for cancer and immune disorders.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pipeline comprises targeted protein degraders of Bruton’s tyrosine kinase (BTK), a B-cell signaling protein, and inhibitors of CBL-B, an E3 ligase that regulates T cell activation. Our lead drug candidate from our protein degradation portfolio, NX-2127, is an orally available BTK degrader for the treatment of relapsed or refractory B-cell malignancies. We expect to file an investigational new drug application (IND) for NX-2127 with the U.S. Food and Drug Administration (FDA) in late fourth quarter of 2020 or the first quarter of 2021 and to commence a Phase 1 clinical trial thereafter. Our lead drug candidate from our E3 ligase inhibitor portfolio, NX-1607, is an orally available CBL-B inhibitor for immuno-oncology indications. We expect to file an IND for NX-1607 with the FDA in the third quarter of 2021 and to commence a Phase 1 clinical trial thereafter. We have two additional clinical candidates, NX-5948, an orally available BTK degrader, and DeTIL-0255, a drug-enhanced tumor infiltrating lymphocyte adoptive cellular therapy, for which we anticipate filing INDs in the second half of 2021. All expected IND submission timings are based on calendar quarters. Beyond these preclinical programs, we are advancing additional drug discovery programs, either independently or through our established strategic collaborations with Sanofi S.A. (Sanofi), Gilead Sciences, Inc. (Gilead).</w:t>
      </w:r>
    </w:p>
    <w:p>
      <w:pPr>
        <w:spacing w:after="0" w:line="177" w:lineRule="exact"/>
        <w:rPr>
          <w:sz w:val="20"/>
          <w:szCs w:val="20"/>
          <w:color w:val="auto"/>
        </w:rPr>
      </w:pPr>
    </w:p>
    <w:p>
      <w:pPr>
        <w:ind w:right="60" w:firstLine="510"/>
        <w:spacing w:after="0" w:line="250"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(Celgene) and the issuance and sale of common and redeemable convertible preferred stock. We do not expect to generate product revenue unless and until we successfully develop and obtain approval for the commercialization of a product candidate, and we cannot assure you that we will ever generate significant revenue or profits.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We incurred net losses of $18.5 million</w:t>
      </w:r>
    </w:p>
    <w:p>
      <w:pPr>
        <w:spacing w:after="0" w:line="22"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18"/>
          <w:szCs w:val="18"/>
          <w:color w:val="auto"/>
        </w:rPr>
        <w:t>and $23.3 million during the three and nine months ended August 31, 2020, respectively, and $2.4 million and $8.2 million during the three and nine months ended August 31, 2019, respectively. As of August 31, 2020, we had an accumulated deficit of $83.8 million. These losses have resulted primarily from costs incurred in connection with research and development activities and general and administrative costs associated with our operations.</w:t>
      </w:r>
    </w:p>
    <w:p>
      <w:pPr>
        <w:spacing w:after="0" w:line="188" w:lineRule="exact"/>
        <w:rPr>
          <w:sz w:val="20"/>
          <w:szCs w:val="20"/>
          <w:color w:val="auto"/>
        </w:rPr>
      </w:pPr>
    </w:p>
    <w:p>
      <w:pPr>
        <w:ind w:right="40" w:firstLine="510"/>
        <w:spacing w:after="0" w:line="248"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product candidates, which we expect will take a number of years. We expect our expenses will increase substantially as we advance our product candidates through preclinical and into clinical development; enter advanced clinical development and scale up external manufacturing capabilities to supply clinical trials; apply our DELigase platform to advance additional product candidates and expand the capabilities of our platform; seek marketing approvals for any product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193" w:lineRule="exact"/>
        <w:rPr>
          <w:sz w:val="20"/>
          <w:szCs w:val="20"/>
          <w:color w:val="auto"/>
        </w:rPr>
      </w:pPr>
    </w:p>
    <w:p>
      <w:pPr>
        <w:ind w:right="240" w:firstLine="510"/>
        <w:spacing w:after="0" w:line="271"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product candidates, our DELigase platform or future development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9" w:name="page30"/>
    <w:bookmarkEnd w:id="29"/>
    <w:p>
      <w:pPr>
        <w:ind w:right="380"/>
        <w:spacing w:after="0" w:line="271" w:lineRule="auto"/>
        <w:rPr>
          <w:sz w:val="20"/>
          <w:szCs w:val="20"/>
          <w:color w:val="auto"/>
        </w:rPr>
      </w:pPr>
      <w:r>
        <w:rPr>
          <w:rFonts w:ascii="Times New Roman" w:cs="Times New Roman" w:eastAsia="Times New Roman" w:hAnsi="Times New Roman"/>
          <w:sz w:val="18"/>
          <w:szCs w:val="18"/>
          <w:color w:val="auto"/>
        </w:rPr>
        <w:t>programs; the delay, addition or termination of clinical trials; and the execution of any additional collaboration, licensing or similar arrangements, and the timing of payments we may make or receive under such arrangements.</w:t>
      </w:r>
    </w:p>
    <w:p>
      <w:pPr>
        <w:spacing w:after="0" w:line="168"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As of August 31, 2020, we had $395.1 million in cash, cash equivalents and investments. In July 2020, we closed our initial public offering, and issued 12,550,000 shares of our common stock (including the exercise by the underwriters of their option to purchase an additional 1,550,000 shares of common stock in August 2020) at a price to the public of $19.00 per share for net proceeds of approximately $218.1 million, after deducting underwriting discounts and commissions of $16.7 million and expenses of $3.6 million. We expect that our existing cash, cash equivalents and investments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product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190" w:lineRule="exact"/>
        <w:rPr>
          <w:sz w:val="20"/>
          <w:szCs w:val="20"/>
          <w:color w:val="auto"/>
        </w:rPr>
      </w:pPr>
    </w:p>
    <w:p>
      <w:pPr>
        <w:ind w:right="60" w:firstLine="510"/>
        <w:spacing w:after="0" w:line="250" w:lineRule="auto"/>
        <w:rPr>
          <w:sz w:val="20"/>
          <w:szCs w:val="20"/>
          <w:color w:val="auto"/>
        </w:rPr>
      </w:pPr>
      <w:r>
        <w:rPr>
          <w:rFonts w:ascii="Times New Roman" w:cs="Times New Roman" w:eastAsia="Times New Roman" w:hAnsi="Times New Roman"/>
          <w:sz w:val="18"/>
          <w:szCs w:val="18"/>
          <w:color w:val="auto"/>
        </w:rPr>
        <w:t>We are subject to risks and uncertainties as a result of the current coronavirus (COVID-19) pandemic. The COVID-19 pandemic, which is impacting worldwide economic activity,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COVID-19 pandemic to our current operations has been minimal as we have not yet commenced clinical trials, the extent to which the COVID-19 pandemic will impact our business, financial condition, liquidity and results of operations in the future will depend on future developments that are highly uncertain and cannot be predicted at this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and License Agreement</w:t>
      </w:r>
    </w:p>
    <w:p>
      <w:pPr>
        <w:spacing w:after="0" w:line="115"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Sanofi, which became effective in January 2020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with an option by Sanofi to expand to a total of five targets. Over time and subject to certain limitations, Sanofi may elect to replace the drug targets with other reserved targets.</w:t>
      </w:r>
    </w:p>
    <w:p>
      <w:pPr>
        <w:spacing w:after="0" w:line="183"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product candidates resulting from the collaboration while we retain the option to co-develop, co-promote and co-commercialize all product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88"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7"/>
          <w:szCs w:val="17"/>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chimeric targeting molecules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177" w:lineRule="exact"/>
        <w:rPr>
          <w:sz w:val="20"/>
          <w:szCs w:val="20"/>
          <w:color w:val="auto"/>
        </w:rPr>
      </w:pPr>
    </w:p>
    <w:p>
      <w:pPr>
        <w:ind w:right="80" w:firstLine="510"/>
        <w:spacing w:after="0" w:line="249" w:lineRule="auto"/>
        <w:rPr>
          <w:sz w:val="20"/>
          <w:szCs w:val="20"/>
          <w:color w:val="auto"/>
        </w:rPr>
      </w:pPr>
      <w:r>
        <w:rPr>
          <w:rFonts w:ascii="Times New Roman" w:cs="Times New Roman" w:eastAsia="Times New Roman" w:hAnsi="Times New Roman"/>
          <w:sz w:val="18"/>
          <w:szCs w:val="18"/>
          <w:color w:val="auto"/>
        </w:rPr>
        <w:t>Upon signing the Sanofi Agreement, Sanofi agreed to pay us an upfront payment of $55.0 million, which was received in January 2020, and we are eligible to receive additional payments if Sanofi exercises its option to expand the number of targets beyond the initial targets included in the collaboration or exercises an option to extend the license term with respect to a particular target. In addition,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0" w:name="page31"/>
    <w:bookmarkEnd w:id="30"/>
    <w:p>
      <w:pPr>
        <w:ind w:right="380" w:firstLine="510"/>
        <w:spacing w:after="0" w:line="271"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$4.2 million during the nine months ended August 31, 2020. As of August 31, 2020, there was $50.8 million of deferred revenue related to payments received by us under the Sanofi Agreement.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w:t>
      </w:r>
    </w:p>
    <w:p>
      <w:pPr>
        <w:spacing w:after="0" w:line="115"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17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product candidates resulting from the collaboration. We retain the option to co-develop and co-promote, under a profit share structure, up to two product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88"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191"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color w:val="auto"/>
        </w:rPr>
        <w:t>Pursuant to the Gilead Agreement, we received an upfront payment of $45.0 million, plus $3.0 million in additional fees, and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 In February 2020, we achieved a research milestone, resulting in a $2.5 million additional payment, which we received in April 2020, and in May 2020, we recorded $1.0 million in additional fees related to a certain target reservation, which we received in June 2020.</w:t>
      </w:r>
    </w:p>
    <w:p>
      <w:pPr>
        <w:spacing w:after="0" w:line="191" w:lineRule="exact"/>
        <w:rPr>
          <w:sz w:val="20"/>
          <w:szCs w:val="20"/>
          <w:color w:val="auto"/>
        </w:rPr>
      </w:pPr>
    </w:p>
    <w:p>
      <w:pPr>
        <w:ind w:right="160" w:firstLine="510"/>
        <w:spacing w:after="0" w:line="333" w:lineRule="auto"/>
        <w:rPr>
          <w:sz w:val="20"/>
          <w:szCs w:val="20"/>
          <w:color w:val="auto"/>
        </w:rPr>
      </w:pPr>
      <w:r>
        <w:rPr>
          <w:rFonts w:ascii="Times New Roman" w:cs="Times New Roman" w:eastAsia="Times New Roman" w:hAnsi="Times New Roman"/>
          <w:sz w:val="17"/>
          <w:szCs w:val="17"/>
          <w:color w:val="auto"/>
        </w:rPr>
        <w:t>We recognized collaboration revenue from the Gilead Agreement of $6.9 million and $0.8 million during the nine months ended August 31, 2020 and 2019, respectively. As of August 31, 2020 , there was $41.9 million of deferred revenue related to payments received by us under the Gilead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Celgene Research and Collaboration Agreement</w:t>
      </w:r>
    </w:p>
    <w:p>
      <w:pPr>
        <w:spacing w:after="0" w:line="115" w:lineRule="exact"/>
        <w:rPr>
          <w:sz w:val="20"/>
          <w:szCs w:val="20"/>
          <w:color w:val="auto"/>
        </w:rPr>
      </w:pPr>
    </w:p>
    <w:p>
      <w:pPr>
        <w:ind w:right="40" w:firstLine="510"/>
        <w:spacing w:after="0" w:line="268" w:lineRule="auto"/>
        <w:rPr>
          <w:sz w:val="20"/>
          <w:szCs w:val="20"/>
          <w:color w:val="auto"/>
        </w:rPr>
      </w:pPr>
      <w:r>
        <w:rPr>
          <w:rFonts w:ascii="Times New Roman" w:cs="Times New Roman" w:eastAsia="Times New Roman" w:hAnsi="Times New Roman"/>
          <w:sz w:val="17"/>
          <w:szCs w:val="17"/>
          <w:color w:val="auto"/>
        </w:rPr>
        <w:t>In September 2015, we entered into a strategic collaboration with Celgene (the Celgene Agreement) with an initial research term of four years pursuant to which we received an upfront payment of $150.0 million. In addition, in September 2015, Celgene purchased 1,622,222 shares of our Series C redeemable convertible preferred stock at a price of $10.50 per share, resulting in net proceeds of $17.0 million. In January 2019, Celgene and Bristol-Myers Squibb Company (BMS) entered into a definitive merger agreement pursuant to which Celgene agreed to be acquired by BMS. Based on our request for notification of the future disposition of our agreement, in June 2019, Celgene notified us that it was terminating the Celgene Agreement. Upon termination of the Celgene Agreement in June 2019, any rights that Celgene had under the agreement reverted to us and no termination payments were due or payable.</w:t>
      </w:r>
    </w:p>
    <w:p>
      <w:pPr>
        <w:spacing w:after="0" w:line="173" w:lineRule="exact"/>
        <w:rPr>
          <w:sz w:val="20"/>
          <w:szCs w:val="20"/>
          <w:color w:val="auto"/>
        </w:rPr>
      </w:pPr>
    </w:p>
    <w:p>
      <w:pPr>
        <w:jc w:val="both"/>
        <w:ind w:right="140" w:firstLine="510"/>
        <w:spacing w:after="0" w:line="258" w:lineRule="auto"/>
        <w:rPr>
          <w:sz w:val="20"/>
          <w:szCs w:val="20"/>
          <w:color w:val="auto"/>
        </w:rPr>
      </w:pPr>
      <w:r>
        <w:rPr>
          <w:rFonts w:ascii="Times New Roman" w:cs="Times New Roman" w:eastAsia="Times New Roman" w:hAnsi="Times New Roman"/>
          <w:sz w:val="18"/>
          <w:szCs w:val="18"/>
          <w:color w:val="auto"/>
        </w:rPr>
        <w:t>We recognized no collaboration revenue from the Celgene Agreement during the nine months ended August 31, 2020. During the nine months ended August 31, 2019, we recognized $28.4 million in collaboration revenue under the Celgene Agreement. As of August 31, 2020, there was no deferred revenue related to payments received by us under the Celgene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Formation of DeCART Therapeutics Inc.</w:t>
      </w:r>
    </w:p>
    <w:p>
      <w:pPr>
        <w:spacing w:after="0" w:line="113"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color w:val="auto"/>
        </w:rPr>
        <w:t>In June 2020, we established DeCART Therapeutics Inc. (DeCART), a wholly owned subsidiary, with an investment of $3.0 million and granted DeCART a license to three of our compounds, including NX-0255, for drug-enhanced isolation of T cells nonexclusively with respect to one chimeric antigen receptor T cell (CAR-T) therapy target and exclusively with respect to three novel CAR-T therapy targets. DeCART expects to combine our protein modulation technologies with novel CAR-T therapies to address current immunotherapy limitations and improve outcomes for patients with cancer, and subsequently seek equity financing from third parties and become an independent operating entity. DeCART granted to its external founders stock options to purchase shares of DeCART’s common stock equal to 14% of the fully diluted capitalization of DeCART. Following either the third-party funding or the exercise of the stock option grants, DeCART will no longer be a wholly owned subsidiary.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15" w:lineRule="exact"/>
        <w:rPr>
          <w:sz w:val="20"/>
          <w:szCs w:val="20"/>
          <w:color w:val="auto"/>
        </w:rPr>
      </w:pPr>
    </w:p>
    <w:p>
      <w:pPr>
        <w:ind w:firstLine="510"/>
        <w:spacing w:after="0" w:line="271"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and do not expect to generate any revenue from the sale of products in the near future.</w:t>
      </w:r>
    </w:p>
    <w:p>
      <w:pPr>
        <w:spacing w:after="0" w:line="168" w:lineRule="exact"/>
        <w:rPr>
          <w:sz w:val="20"/>
          <w:szCs w:val="20"/>
          <w:color w:val="auto"/>
        </w:rPr>
      </w:pPr>
    </w:p>
    <w:p>
      <w:pPr>
        <w:ind w:right="20" w:firstLine="510"/>
        <w:spacing w:after="0" w:line="263" w:lineRule="auto"/>
        <w:rPr>
          <w:sz w:val="20"/>
          <w:szCs w:val="20"/>
          <w:color w:val="auto"/>
        </w:rPr>
      </w:pPr>
      <w:r>
        <w:rPr>
          <w:rFonts w:ascii="Times New Roman" w:cs="Times New Roman" w:eastAsia="Times New Roman" w:hAnsi="Times New Roman"/>
          <w:sz w:val="17"/>
          <w:szCs w:val="17"/>
          <w:color w:val="auto"/>
        </w:rPr>
        <w:t xml:space="preserve">Our revenue to date has been generated from payments received pursuant to collaboration and license arrangements with strategic partners. Collaboration revenue consists of revenue received from upfront, milestone and contingent payments received from our collaborators. Prior to December 1, 2019, we recognized revenue from upfront payments over the term of our estimated period of performance using either a straight-line or input/proportional performance approach, depending on the agreement, in accordance with Accounting Standards Codification (ASC) 605,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Revenue related to the upfront payment received pursuant to the Celgene Agreement was recognized using a straight-line basis. Effective December 1, 2019, we began recognizing revenue from upfront payments over the contract term using a cost-based input method under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Revenue related to the upfront payments received pursuant to the Gilead Agreement was recognized using the input/proportional performance approach prior to December 1, 2019 and the cost-based input method beginning December 1, 2019. There would have been no difference between the revenue recognized under Topic 606 and the revenue recognized under ASC 605 for the Gilead Agreement. Revenue related to the upfront payment received pursuant to the Sanofi Agreement was recognized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182"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partners, will fluctuate in the future as a result of the timing and amount of upfront, milestones and other collaboration agreement payments and other factors.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product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product candidates.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11" w:lineRule="exact"/>
        <w:rPr>
          <w:sz w:val="20"/>
          <w:szCs w:val="20"/>
          <w:color w:val="auto"/>
        </w:rPr>
      </w:pPr>
    </w:p>
    <w:p>
      <w:pPr>
        <w:ind w:left="1020" w:right="60" w:hanging="511"/>
        <w:spacing w:after="0" w:line="27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 and</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color w:val="auto"/>
        </w:rPr>
        <w:t>External research and development expenses consist primarily of costs incurred for the development of our product candidates and may include:</w:t>
      </w:r>
    </w:p>
    <w:p>
      <w:pPr>
        <w:spacing w:after="0" w:line="111" w:lineRule="exact"/>
        <w:rPr>
          <w:sz w:val="20"/>
          <w:szCs w:val="20"/>
          <w:color w:val="auto"/>
        </w:rPr>
      </w:pPr>
    </w:p>
    <w:p>
      <w:pPr>
        <w:ind w:left="1020" w:right="380" w:hanging="511"/>
        <w:spacing w:after="0" w:line="27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discovery programs, preclinical studies and clinical trials;</w:t>
      </w:r>
    </w:p>
    <w:p>
      <w:pPr>
        <w:spacing w:after="0" w:line="61" w:lineRule="exact"/>
        <w:rPr>
          <w:rFonts w:ascii="Times New Roman" w:cs="Times New Roman" w:eastAsia="Times New Roman" w:hAnsi="Times New Roman"/>
          <w:sz w:val="18"/>
          <w:szCs w:val="18"/>
          <w:color w:val="auto"/>
        </w:rPr>
      </w:pPr>
    </w:p>
    <w:p>
      <w:pPr>
        <w:ind w:left="1020" w:right="140" w:hanging="511"/>
        <w:spacing w:after="0" w:line="27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preclinical studies and clinical trials, including fees paid to third parties such as contract manufacturing organizations; and</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217"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to advance our product candidates into and through our preclinical studies and clinical trials, pursue regulatory approval of our product candidates and expand our product candidate pipeline. The process of conducting the necessary preclinical and clinical research to obtain regulatory approval is costly and time-consuming. To the extent that our product candidates advance and continue to advance into clinical trials, our expenses will increase substantially and may become more variable. The actual probability of success for our product candidates may be affected by a variety of factors, including the safety and efficacy of our product candidates, investment in our clinical programs, the ability of collaborators to successfully develop our licensed product candidates, manufacturing capability, competition with other products and commercial viability. As a result of these variables, we are unable to determine when and to what extent we will generate revenue from the commercialization and sale of our product candidates. We may never succeed in achieving regulatory approval for any of our product candidates.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5"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substantially for the foreseeable future as we continue to build our infrastructure, increase our headcount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15" w:lineRule="exact"/>
        <w:rPr>
          <w:sz w:val="20"/>
          <w:szCs w:val="20"/>
          <w:color w:val="auto"/>
        </w:rPr>
      </w:pPr>
    </w:p>
    <w:p>
      <w:pPr>
        <w:ind w:right="280" w:firstLine="510"/>
        <w:spacing w:after="0" w:line="301" w:lineRule="auto"/>
        <w:rPr>
          <w:sz w:val="20"/>
          <w:szCs w:val="20"/>
          <w:color w:val="auto"/>
        </w:rPr>
      </w:pPr>
      <w:r>
        <w:rPr>
          <w:rFonts w:ascii="Times New Roman" w:cs="Times New Roman" w:eastAsia="Times New Roman" w:hAnsi="Times New Roman"/>
          <w:sz w:val="17"/>
          <w:szCs w:val="17"/>
          <w:color w:val="auto"/>
        </w:rPr>
        <w:t>Interest and other income, net primarily consists of interest earned on our cash, cash equivalents and investments. We expect interest income to vary each reporting period depending on our average bank deposit, money market fund, and investment balances during the period and market interest rates.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15" w:lineRule="exact"/>
        <w:rPr>
          <w:sz w:val="20"/>
          <w:szCs w:val="20"/>
          <w:color w:val="auto"/>
        </w:rPr>
      </w:pPr>
    </w:p>
    <w:p>
      <w:pPr>
        <w:ind w:right="380" w:firstLine="510"/>
        <w:spacing w:after="0" w:line="254" w:lineRule="auto"/>
        <w:rPr>
          <w:sz w:val="20"/>
          <w:szCs w:val="20"/>
          <w:color w:val="auto"/>
        </w:rPr>
      </w:pPr>
      <w:r>
        <w:rPr>
          <w:rFonts w:ascii="Times New Roman" w:cs="Times New Roman" w:eastAsia="Times New Roman" w:hAnsi="Times New Roman"/>
          <w:sz w:val="18"/>
          <w:szCs w:val="18"/>
          <w:color w:val="auto"/>
        </w:rPr>
        <w:t>The provision for income taxes primarily consists of reserves for unrecognized tax benefits and minimum state taxes. The benefit for income taxes consists of a discrete tax benefit from an adjustment to the net operating loss (NOL) deferred tax asset and valuation allowance. We have generated net operating losses since inception, and have established a full valuation allowance against our deferred tax assets due to the uncertainty surrounding the realization of such assets.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August 31, 2020 and 2019</w:t>
      </w:r>
    </w:p>
    <w:p>
      <w:pPr>
        <w:spacing w:after="0" w:line="294"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August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2"/>
        </w:trPr>
        <w:tc>
          <w:tcPr>
            <w:tcW w:w="2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5"/>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4"/>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95"/>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95"/>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4"/>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95"/>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r>
              <w:rPr>
                <w:rFonts w:ascii="Times New Roman" w:cs="Times New Roman" w:eastAsia="Times New Roman" w:hAnsi="Times New Roman"/>
                <w:sz w:val="14"/>
                <w:szCs w:val="14"/>
                <w:color w:val="auto"/>
              </w:rPr>
              <w:t>(1)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29,253</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Loss before provision (benefit)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income taxes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4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color w:val="auto"/>
              </w:rPr>
              <w:t>Provision (benefit) for income</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(20,576)</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(20,605)</w:t>
            </w:r>
          </w:p>
        </w:tc>
        <w:tc>
          <w:tcPr>
            <w:tcW w:w="0" w:type="dxa"/>
            <w:vAlign w:val="bottom"/>
          </w:tcPr>
          <w:p>
            <w:pPr>
              <w:spacing w:after="0"/>
              <w:rPr>
                <w:sz w:val="1"/>
                <w:szCs w:val="1"/>
                <w:color w:val="auto"/>
              </w:rPr>
            </w:pPr>
          </w:p>
        </w:tc>
      </w:tr>
      <w:tr>
        <w:trPr>
          <w:trHeight w:val="218"/>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500" w:right="380" w:hanging="494"/>
        <w:spacing w:after="0" w:line="301" w:lineRule="auto"/>
        <w:tabs>
          <w:tab w:leader="none" w:pos="5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revenue for the three months ended August 31, 2020 and 2019 includes related party revenue of $0 and $9.7 million, respectively. Collaboration revenue for the nine months ended August 31, 2020 and 2019 includes related party revenue of $0 and $28.4 million, respectively.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15" w:lineRule="exact"/>
        <w:rPr>
          <w:sz w:val="20"/>
          <w:szCs w:val="20"/>
          <w:color w:val="auto"/>
        </w:rPr>
      </w:pPr>
    </w:p>
    <w:p>
      <w:pPr>
        <w:jc w:val="both"/>
        <w:ind w:right="60" w:firstLine="510"/>
        <w:spacing w:after="0" w:line="273" w:lineRule="auto"/>
        <w:rPr>
          <w:sz w:val="20"/>
          <w:szCs w:val="20"/>
          <w:color w:val="auto"/>
        </w:rPr>
      </w:pPr>
      <w:r>
        <w:rPr>
          <w:rFonts w:ascii="Times New Roman" w:cs="Times New Roman" w:eastAsia="Times New Roman" w:hAnsi="Times New Roman"/>
          <w:sz w:val="17"/>
          <w:szCs w:val="17"/>
          <w:color w:val="auto"/>
        </w:rPr>
        <w:t>Our collaboration revenue was $4.1 million for the three months ended August 31, 2020 and was related to payments received pursuant to the Gilead Agreement and the Sanofi Agreement, and $10.6 million for the three months ended August 31, 2019 and was related to payments received pursuant to the Gilead Agreement and the Celgene Agreement. The decrease in collaboration revenue was attributable to the termination of the Celgene Agreement in June 2019, which resulted in no revenue recognition in 2020, offset by the revenue recognized related to the Gilead Agreement and the Sanofi Agreement.</w:t>
      </w:r>
    </w:p>
    <w:p>
      <w:pPr>
        <w:spacing w:after="0" w:line="169"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Our collaboration revenue was $11.1 million for the nine months ended August 31, 2020 and was related to payments received pursuant to the Gilead Agreement and the Sanofi Agreement, and $29.3 million for the nine months ended August 31, 2019 and was related to payments received pursuant to the Gilead Agreement and the Celgene Agreement. The decrease in collaboration revenue for the nine months year-over-year was also attributable to the termination of the Celgene Agreement in June 2019, which resulted in no revenue recognition in 2020, offset by the revenue recognized related to the Gilead Agreement and the Sanofi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for the three and nine months ended August 31, 2020 and 2019 are summarized as follows:</w:t>
      </w:r>
    </w:p>
    <w:p>
      <w:pPr>
        <w:spacing w:after="0" w:line="290"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August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2"/>
        </w:trPr>
        <w:tc>
          <w:tcPr>
            <w:tcW w:w="2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7"/>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95"/>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97"/>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97"/>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5"/>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17"/>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FF0FC"/>
          </w:tcPr>
          <w:p>
            <w:pPr>
              <w:spacing w:after="0" w:line="200" w:lineRule="exact"/>
              <w:rPr>
                <w:sz w:val="20"/>
                <w:szCs w:val="20"/>
                <w:color w:val="auto"/>
              </w:rPr>
            </w:pPr>
            <w:r>
              <w:rPr>
                <w:rFonts w:ascii="Times New Roman" w:cs="Times New Roman" w:eastAsia="Times New Roman" w:hAnsi="Times New Roman"/>
                <w:sz w:val="18"/>
                <w:szCs w:val="18"/>
                <w:color w:val="auto"/>
              </w:rPr>
              <w:t>Compensation and related</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contract research</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activities and</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contract manufacturing</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Facility and other costs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shd w:val="clear" w:color="auto" w:fill="CFF0FC"/>
          </w:tcPr>
          <w:p>
            <w:pPr>
              <w:ind w:left="240"/>
              <w:spacing w:after="0" w:line="200" w:lineRule="exact"/>
              <w:rPr>
                <w:sz w:val="20"/>
                <w:szCs w:val="20"/>
                <w:color w:val="auto"/>
              </w:rPr>
            </w:pPr>
            <w:r>
              <w:rPr>
                <w:rFonts w:ascii="Times New Roman" w:cs="Times New Roman" w:eastAsia="Times New Roman" w:hAnsi="Times New Roman"/>
                <w:sz w:val="18"/>
                <w:szCs w:val="18"/>
                <w:color w:val="auto"/>
              </w:rPr>
              <w:t>Total research and</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development expenses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increased by $7.9 million, or 72%, during the three months ended August 31, 2020, compared to the three months ended August 31, 2019. The increase was primarily related to an increase of $4.1 million in supplies and contract research attributable to increases in our preclinical development activities and drug discovery research. There was also an increase of $2.2 million in compensation and related personnel costs attributable to an increase in headcount and higher stock-based</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34" w:name="page35"/>
    <w:bookmarkEnd w:id="34"/>
    <w:p>
      <w:pPr>
        <w:spacing w:after="0" w:line="271" w:lineRule="auto"/>
        <w:rPr>
          <w:sz w:val="20"/>
          <w:szCs w:val="20"/>
          <w:color w:val="auto"/>
        </w:rPr>
      </w:pPr>
      <w:r>
        <w:rPr>
          <w:rFonts w:ascii="Times New Roman" w:cs="Times New Roman" w:eastAsia="Times New Roman" w:hAnsi="Times New Roman"/>
          <w:sz w:val="18"/>
          <w:szCs w:val="18"/>
          <w:color w:val="auto"/>
        </w:rPr>
        <w:t>compensation expense due to additional stock awards granted since August 31, 2019. Preclinical activities and contract manufacturing costs increased by $1.3 million, primarily due to preparation for upcoming clinical programs for our lead drug candidates.</w:t>
      </w:r>
    </w:p>
    <w:p>
      <w:pPr>
        <w:spacing w:after="0" w:line="168" w:lineRule="exact"/>
        <w:rPr>
          <w:sz w:val="20"/>
          <w:szCs w:val="20"/>
          <w:color w:val="auto"/>
        </w:rPr>
      </w:pPr>
    </w:p>
    <w:p>
      <w:pPr>
        <w:ind w:right="120" w:firstLine="510"/>
        <w:spacing w:after="0" w:line="251" w:lineRule="auto"/>
        <w:rPr>
          <w:sz w:val="20"/>
          <w:szCs w:val="20"/>
          <w:color w:val="auto"/>
        </w:rPr>
      </w:pPr>
      <w:r>
        <w:rPr>
          <w:rFonts w:ascii="Times New Roman" w:cs="Times New Roman" w:eastAsia="Times New Roman" w:hAnsi="Times New Roman"/>
          <w:sz w:val="18"/>
          <w:szCs w:val="18"/>
          <w:color w:val="auto"/>
        </w:rPr>
        <w:t>Our research and development expenses increased by $13.8 million, or 43%, during the nine months ended August 31, 2020, compared to the nine months ended August 31, 2019. Supplies and contract research costs increased by $4.6 million primarily due to our drug discovery and cell therapy research activities. Preclinical activities and contract manufacturing costs increased by $4.4 million, primarily due to preparation for upcoming clinical programs for our lead drug candidates. Compensation and related personnel costs increased by $4.1 million primarily due to an increase in headcount and higher stock-based compensation due to additional stock awards granted since August 31, 2019.</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5"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increased by $2.2 million, or 99%, during the three months ended August 31, 2020, compared to the three months ended August 31, 2019. The increase was primarily related to an increase of $0.9 million in compensation related expenses attributable to a higher headcount, an increase of $0.7 million in legal and accounting expenses mainly related to external audit fees and an increase of $0.2 million in consultant and other professional service expenses primarily related to becoming a public company.</w:t>
      </w:r>
    </w:p>
    <w:p>
      <w:pPr>
        <w:spacing w:after="0" w:line="183"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increased by $4.3 million, or 76%, during the nine months ended August 31, 2020, compared to the nine months ended August 31, 2019. The increase was primarily related to an increase of $1.7 million in compensation related expenses attributable to an increase in headcount, an increase of $1.5 million in legal and accounting expenses incurred primarily related to external audit fees and an increase of $0.7 million in consultant and other professional service expenses primarily related to becoming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15"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Interest and other income, net was $0.7 million and $0.2 million for the three months ended August 31, 2020 and 2019, respectively, and $1.1 million and $0.5 million for the nine months ended August 31, 2020 and 2019, respectively. The increase was primarily related to interest received as part of the tax refund for the first carryback claim that we filed in April 2020 in connection with the Coronavirus Aid, Relief, and Economic Security Act (the CARES Act). Other than the interest earned on tax refund, interest and other income, net in all periods is mainly related to interest earned on our deposits, money market funds and investments.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for income taxes was insignificant during the three months ended August 31, 2020 and 2019. The benefit for income taxes was</w:t>
      </w:r>
    </w:p>
    <w:p>
      <w:pPr>
        <w:spacing w:after="0" w:line="2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$20.6 million during the nine months ended August 31, 2020 and was related to a discrete tax benefit, which consists of carryback claims and the reversal of the uncertain tax liability related to research and development tax credits as a result of the CARES Act that was enacted on March 27, 2020 in response to the COVID-19 pandemic. The provision for income taxes was insignificant during the nine months ended August 31, 2019.</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5"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our condensed consolidated financial statements. 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Prospectus, and there have been no significant changes to these policies for the three months and nine months ended August 31, 2020.</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160"/>
          </w:cols>
          <w:pgMar w:left="320" w:top="373"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 of liquidity</w:t>
      </w:r>
    </w:p>
    <w:p>
      <w:pPr>
        <w:spacing w:after="0" w:line="115" w:lineRule="exact"/>
        <w:rPr>
          <w:sz w:val="20"/>
          <w:szCs w:val="20"/>
          <w:color w:val="auto"/>
        </w:rPr>
      </w:pPr>
    </w:p>
    <w:p>
      <w:pPr>
        <w:ind w:right="120" w:firstLine="510"/>
        <w:spacing w:after="0" w:line="251" w:lineRule="auto"/>
        <w:rPr>
          <w:sz w:val="20"/>
          <w:szCs w:val="20"/>
          <w:color w:val="auto"/>
        </w:rPr>
      </w:pPr>
      <w:r>
        <w:rPr>
          <w:rFonts w:ascii="Times New Roman" w:cs="Times New Roman" w:eastAsia="Times New Roman" w:hAnsi="Times New Roman"/>
          <w:sz w:val="18"/>
          <w:szCs w:val="18"/>
          <w:color w:val="auto"/>
        </w:rPr>
        <w:t>On July 23, 2020, our registration statement on Form S-1 (File No. 333-239651) relating to our initial public offering of common stock became effective. The initial public offering closed on July 28, 2020 at which time we issued 11,000,000 shares of its common stock at a price to the public of $19.00 per share. In addition, the underwriters exercised their option to purchase an additional 1,550,000 shares of our common stock on July 31, 2020, and this transaction closed on August 4, 2020. Net proceeds from the initial public offering and the transaction with the underwriters were approximately $218.1 million, after deducting underwriting discounts and commissions of $16.7 million and expenses of $3.6 million.</w:t>
      </w:r>
    </w:p>
    <w:p>
      <w:pPr>
        <w:spacing w:after="0" w:line="18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To date, our operations have been funded through the issuance of common and redeemable convertible preferred stock and proceeds from collaboration agreements. We do not have any products approved for sale, and we have not generated any revenue from product sales. As of August 31, 2020, we had $395.1 million in cash, cash equivalents and investments.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December 2019, we entered into the Sanofi Agreement, pursuant to which we received an upfront payment of $55.0 million in January 2020.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March 2020, we closed a sale of our Series D redeemable convertible preferred stock that resulted in net proceeds of $119.9 million.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15"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We expect that our existing cash, cash equivalents and investments are sufficient to continue operating activities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111" w:lineRule="exact"/>
        <w:rPr>
          <w:sz w:val="20"/>
          <w:szCs w:val="20"/>
          <w:color w:val="auto"/>
        </w:rPr>
      </w:pPr>
    </w:p>
    <w:p>
      <w:pPr>
        <w:ind w:left="1020" w:right="480" w:hanging="511"/>
        <w:spacing w:after="0" w:line="27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planned Phase 1 clinical trials for our lead product candidates NX-2127 and NX-1607 and other drug candidates, and any future clinical development of such product candidates;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product candidates and development programs;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0" w:lineRule="exact"/>
        <w:rPr>
          <w:rFonts w:ascii="Times New Roman" w:cs="Times New Roman" w:eastAsia="Times New Roman" w:hAnsi="Times New Roman"/>
          <w:sz w:val="18"/>
          <w:szCs w:val="18"/>
          <w:color w:val="auto"/>
        </w:rPr>
      </w:pPr>
    </w:p>
    <w:p>
      <w:pPr>
        <w:ind w:left="1020" w:right="260" w:hanging="511"/>
        <w:spacing w:after="0" w:line="27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0" w:lineRule="exact"/>
        <w:rPr>
          <w:rFonts w:ascii="Times New Roman" w:cs="Times New Roman" w:eastAsia="Times New Roman" w:hAnsi="Times New Roman"/>
          <w:sz w:val="18"/>
          <w:szCs w:val="18"/>
          <w:color w:val="auto"/>
        </w:rPr>
      </w:pPr>
    </w:p>
    <w:p>
      <w:pPr>
        <w:ind w:left="1020" w:right="460" w:hanging="511"/>
        <w:spacing w:after="0" w:line="27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1" w:lineRule="exact"/>
        <w:rPr>
          <w:rFonts w:ascii="Times New Roman" w:cs="Times New Roman" w:eastAsia="Times New Roman" w:hAnsi="Times New Roman"/>
          <w:sz w:val="18"/>
          <w:szCs w:val="18"/>
          <w:color w:val="auto"/>
        </w:rPr>
      </w:pPr>
    </w:p>
    <w:p>
      <w:pPr>
        <w:ind w:left="1020" w:right="20" w:hanging="511"/>
        <w:spacing w:after="0" w:line="27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product candidates.</w:t>
      </w:r>
    </w:p>
    <w:p>
      <w:pPr>
        <w:spacing w:after="0" w:line="168" w:lineRule="exact"/>
        <w:rPr>
          <w:sz w:val="20"/>
          <w:szCs w:val="20"/>
          <w:color w:val="auto"/>
        </w:rPr>
      </w:pPr>
    </w:p>
    <w:p>
      <w:pPr>
        <w:ind w:right="120" w:firstLine="510"/>
        <w:spacing w:after="0" w:line="268" w:lineRule="auto"/>
        <w:rPr>
          <w:sz w:val="20"/>
          <w:szCs w:val="20"/>
          <w:color w:val="auto"/>
        </w:rPr>
      </w:pPr>
      <w:r>
        <w:rPr>
          <w:rFonts w:ascii="Times New Roman" w:cs="Times New Roman" w:eastAsia="Times New Roman" w:hAnsi="Times New Roman"/>
          <w:sz w:val="17"/>
          <w:szCs w:val="17"/>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periods indicated:</w:t>
      </w:r>
    </w:p>
    <w:p>
      <w:pPr>
        <w:spacing w:after="0" w:line="290"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c>
          <w:tcPr>
            <w:tcW w:w="0" w:type="dxa"/>
            <w:vAlign w:val="bottom"/>
          </w:tcPr>
          <w:p>
            <w:pPr>
              <w:spacing w:after="0"/>
              <w:rPr>
                <w:sz w:val="1"/>
                <w:szCs w:val="1"/>
                <w:color w:val="auto"/>
              </w:rPr>
            </w:pPr>
          </w:p>
        </w:tc>
      </w:tr>
      <w:tr>
        <w:trPr>
          <w:trHeight w:val="152"/>
        </w:trPr>
        <w:tc>
          <w:tcPr>
            <w:tcW w:w="6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78"/>
              <w:spacing w:after="0" w:line="15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95"/>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(129,841)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230,711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5" w:lineRule="exact"/>
        <w:rPr>
          <w:sz w:val="20"/>
          <w:szCs w:val="20"/>
          <w:color w:val="auto"/>
        </w:rPr>
      </w:pPr>
    </w:p>
    <w:p>
      <w:pPr>
        <w:ind w:right="60" w:firstLine="510"/>
        <w:spacing w:after="0" w:line="251" w:lineRule="auto"/>
        <w:rPr>
          <w:sz w:val="20"/>
          <w:szCs w:val="20"/>
          <w:color w:val="auto"/>
        </w:rPr>
      </w:pPr>
      <w:r>
        <w:rPr>
          <w:rFonts w:ascii="Times New Roman" w:cs="Times New Roman" w:eastAsia="Times New Roman" w:hAnsi="Times New Roman"/>
          <w:sz w:val="18"/>
          <w:szCs w:val="18"/>
          <w:color w:val="auto"/>
        </w:rPr>
        <w:t>Net cash provided by operating activities was $20.4 million for the nine months ended August 31, 2020 and consisted of a decrease in net assets of $40.3 million and non-cash adjustments of $3.4 million, offset by our net loss of $23.3 million. The decrease in net assets consisted primarily of an increase in deferred revenue of $47.4 million related to proceeds received pursuant to the Sanofi Agreement and offset by revenue recognized pursuant to the Sanofi Agreement and the Gilead Agreement. Non-cash adjustments primarily consisted of stock-based compensation expenses of $1.8 million and depreciation and amortization expenses of $1.5 million.</w:t>
      </w:r>
    </w:p>
    <w:p>
      <w:pPr>
        <w:spacing w:after="0" w:line="188" w:lineRule="exact"/>
        <w:rPr>
          <w:sz w:val="20"/>
          <w:szCs w:val="20"/>
          <w:color w:val="auto"/>
        </w:rPr>
      </w:pPr>
    </w:p>
    <w:p>
      <w:pPr>
        <w:ind w:right="140" w:firstLine="510"/>
        <w:spacing w:after="0" w:line="251" w:lineRule="auto"/>
        <w:rPr>
          <w:sz w:val="20"/>
          <w:szCs w:val="20"/>
          <w:color w:val="auto"/>
        </w:rPr>
      </w:pPr>
      <w:r>
        <w:rPr>
          <w:rFonts w:ascii="Times New Roman" w:cs="Times New Roman" w:eastAsia="Times New Roman" w:hAnsi="Times New Roman"/>
          <w:sz w:val="18"/>
          <w:szCs w:val="18"/>
          <w:color w:val="auto"/>
        </w:rPr>
        <w:t>Net cash provided by operating activities was $13.3 million for the nine months ended August 31, 2019 and consisted of a decrease in net assets of $19.5 million and non-cash adjustments of $2.0 million, offset by our net loss of $8.2 million. The decrease in net assets consisted primarily of an increase in deferred revenue of $18.7 million from the payment received under the Gilead Agreement and offset by the recognition of revenue related to the Gilead Agreement and Celgene Agreement. Non-cash adjustments primarily consisted of depreciation and amortization expenses of $1.8 million and stock-based compensation expenses of $0.3 million.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5" w:lineRule="exact"/>
        <w:rPr>
          <w:sz w:val="20"/>
          <w:szCs w:val="20"/>
          <w:color w:val="auto"/>
        </w:rPr>
      </w:pPr>
    </w:p>
    <w:p>
      <w:pPr>
        <w:ind w:right="680" w:firstLine="510"/>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was $129.8 million for the nine months ended August 31, 2020 and consisted primarily of the purchase of investments of $141.1 million, offset by the maturity of investments of $14.9 million.</w:t>
      </w:r>
    </w:p>
    <w:p>
      <w:pPr>
        <w:spacing w:after="0" w:line="168" w:lineRule="exact"/>
        <w:rPr>
          <w:sz w:val="20"/>
          <w:szCs w:val="20"/>
          <w:color w:val="auto"/>
        </w:rPr>
      </w:pPr>
    </w:p>
    <w:p>
      <w:pPr>
        <w:ind w:right="460" w:firstLine="510"/>
        <w:spacing w:after="0" w:line="271" w:lineRule="auto"/>
        <w:rPr>
          <w:sz w:val="20"/>
          <w:szCs w:val="20"/>
          <w:color w:val="auto"/>
        </w:rPr>
      </w:pPr>
      <w:r>
        <w:rPr>
          <w:rFonts w:ascii="Times New Roman" w:cs="Times New Roman" w:eastAsia="Times New Roman" w:hAnsi="Times New Roman"/>
          <w:sz w:val="18"/>
          <w:szCs w:val="18"/>
          <w:color w:val="auto"/>
        </w:rPr>
        <w:t>Net cash provided by investing activities was $12.9 million for the nine months ended August 31, 2019 and consisted primarily of the maturity of investments of $19.5 million, offset by the purchase of investments of $5.9 million.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$340.2 million for the nine months ended August 31, 2020 and consisted primarily of net proceeds from issuance of common stock related to our initial public offering in July 2020 and the sale of our Series D redeemable convertible preferred stock in March 2020.</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 was insignificant for the nine months ended August 31, 2019.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August 31, 2020:</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08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88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60" w:firstLine="510"/>
        <w:spacing w:after="0" w:line="258"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Item 303 of Regulation S-K.</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13" w:lineRule="exact"/>
        <w:rPr>
          <w:sz w:val="20"/>
          <w:szCs w:val="20"/>
          <w:color w:val="auto"/>
        </w:rPr>
      </w:pPr>
    </w:p>
    <w:p>
      <w:pPr>
        <w:ind w:right="100" w:firstLine="510"/>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as amended (the JOBS Act). We will remain an EGC until the earliest of: (i) the last day of the fiscal year in which we have total annual gross revenues of $1.07 billion or more; (ii) the last day of the fiscal year following the fifth anniversary of the completion of our initial public offering; (iii) the date on which we have issued more than $1.0 billion in nonconvertible debt during the previous three years; or (iv) the date on which we are deemed to be a large accelerated filer under the rules of the SEC, which generally is when a company has more than $700.0 million in market value of its stock held by non-affiliates as of the prior May 31, has been a public company for at least 12 months and has filed one annual report on Form 10-K.</w:t>
      </w:r>
    </w:p>
    <w:p>
      <w:pPr>
        <w:spacing w:after="0" w:line="189" w:lineRule="exact"/>
        <w:rPr>
          <w:sz w:val="20"/>
          <w:szCs w:val="20"/>
          <w:color w:val="auto"/>
        </w:rPr>
      </w:pPr>
    </w:p>
    <w:p>
      <w:pPr>
        <w:ind w:right="140" w:firstLine="510"/>
        <w:spacing w:after="0" w:line="251" w:lineRule="auto"/>
        <w:rPr>
          <w:sz w:val="20"/>
          <w:szCs w:val="20"/>
          <w:color w:val="auto"/>
        </w:rPr>
      </w:pPr>
      <w:r>
        <w:rPr>
          <w:rFonts w:ascii="Times New Roman" w:cs="Times New Roman" w:eastAsia="Times New Roman" w:hAnsi="Times New Roman"/>
          <w:sz w:val="18"/>
          <w:szCs w:val="18"/>
          <w:color w:val="auto"/>
        </w:rPr>
        <w:t>Under the JOBS Act, EGCs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spacing w:after="0" w:line="188"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 over financial reporting pursuant to Section 404(b) of the Sarbanes-Oxley Act of 2002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88" w:lineRule="exact"/>
        <w:rPr>
          <w:sz w:val="20"/>
          <w:szCs w:val="20"/>
          <w:color w:val="auto"/>
        </w:rPr>
      </w:pPr>
    </w:p>
    <w:p>
      <w:pPr>
        <w:ind w:right="20" w:firstLine="510"/>
        <w:spacing w:after="0" w:line="249"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as of the prior May 31 and our annual revenue is less than $100.0 million during the most recently completed fiscal year. We may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3" w:lineRule="exact"/>
        <w:rPr>
          <w:sz w:val="20"/>
          <w:szCs w:val="20"/>
          <w:color w:val="auto"/>
        </w:rPr>
      </w:pPr>
    </w:p>
    <w:p>
      <w:pPr>
        <w:ind w:right="300" w:firstLine="510"/>
        <w:spacing w:after="0" w:line="271" w:lineRule="auto"/>
        <w:rPr>
          <w:sz w:val="20"/>
          <w:szCs w:val="20"/>
          <w:color w:val="auto"/>
        </w:rPr>
      </w:pPr>
      <w:r>
        <w:rPr>
          <w:rFonts w:ascii="Times New Roman" w:cs="Times New Roman" w:eastAsia="Times New Roman" w:hAnsi="Times New Roman"/>
          <w:sz w:val="18"/>
          <w:szCs w:val="18"/>
          <w:color w:val="auto"/>
        </w:rPr>
        <w:t>See Note 2, “Summary of significant accounting policies—Recent accounting pronouncements” to our condensed consolidated financial statements included elsewhere in this Quarterly Report on Form 10-Q for more information.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3" w:lineRule="exact"/>
        <w:rPr>
          <w:sz w:val="20"/>
          <w:szCs w:val="20"/>
          <w:color w:val="auto"/>
        </w:rPr>
      </w:pPr>
    </w:p>
    <w:p>
      <w:pPr>
        <w:ind w:right="80" w:firstLine="510"/>
        <w:spacing w:after="0" w:line="280"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risks primarily include interest rate sensitivities. The primary objective of our investment activities is to preserve our capital to fund our operations. We also seek to maximize income from our investments without assuming significant risk. To achieve our objectives, we maintain a portfolio of cash equivalents and investments in a variety of investments of high credit quality.</w:t>
      </w:r>
    </w:p>
    <w:p>
      <w:pPr>
        <w:spacing w:after="0" w:line="16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of August 31, 2020 and November 30, 2019, we had cash and cash equivalents of $265.5 million and $34.8 million, respectively, and investments of $129.6 million and $3.4 million, respectively, which consisted of money market funds, U.S. treasury securities, U.S. government agency securities, corporate debt securities and municipal securities. Such interest earning instruments carry a degree of interest rate risk; however, historical fluctuations in interest income have not been significant.</w:t>
      </w:r>
    </w:p>
    <w:p>
      <w:pPr>
        <w:spacing w:after="0" w:line="183"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We have estimated that a hypothetical 100 basis point increase in interest rates would have resulted in a decrease in the fair market value of our investment portfolio of $0.9 million as of August 31, 2020, and an insignificant decrease in the fair market value of our investment portfolio as of August 31, 2020. We have not been exposed nor do we anticipate being exposed to material risks due to changes in interest rates.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5"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August 31, 2020.</w:t>
      </w:r>
    </w:p>
    <w:p>
      <w:pPr>
        <w:spacing w:after="0" w:line="74" w:lineRule="exact"/>
        <w:rPr>
          <w:sz w:val="20"/>
          <w:szCs w:val="20"/>
          <w:color w:val="auto"/>
        </w:rPr>
      </w:pPr>
    </w:p>
    <w:p>
      <w:pPr>
        <w:ind w:right="20" w:firstLine="510"/>
        <w:spacing w:after="0" w:line="264"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the evaluation of our disclosure controls and procedures, our President and Chief Executive Officer and Chief Financial Officer concluded that our disclosure controls and procedures were not effective as of August 31, 2020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w:t>
      </w:r>
    </w:p>
    <w:p>
      <w:pPr>
        <w:spacing w:after="0" w:line="115" w:lineRule="exact"/>
        <w:rPr>
          <w:sz w:val="20"/>
          <w:szCs w:val="20"/>
          <w:color w:val="auto"/>
        </w:rPr>
      </w:pPr>
    </w:p>
    <w:p>
      <w:pPr>
        <w:ind w:right="160" w:firstLine="510"/>
        <w:spacing w:after="0" w:line="249" w:lineRule="auto"/>
        <w:rPr>
          <w:sz w:val="20"/>
          <w:szCs w:val="20"/>
          <w:color w:val="auto"/>
        </w:rPr>
      </w:pPr>
      <w:r>
        <w:rPr>
          <w:rFonts w:ascii="Times New Roman" w:cs="Times New Roman" w:eastAsia="Times New Roman" w:hAnsi="Times New Roman"/>
          <w:sz w:val="18"/>
          <w:szCs w:val="18"/>
          <w:color w:val="auto"/>
        </w:rPr>
        <w:t>As disclosed in the section titled “Risk Factors” in Part II, Item 1A of this Quarterly Report on Form 10-Q, we previously identified a material weakness in our internal control over financial reporting. Specifically, we did not design and maintain formally documented controls and accounting policies and procedures, including information technology, general controls and segregation of duties over the review and approval of account reconciliations and manual journal entries. This material weakness could result in a misstatement of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1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To address our material weakness, we have added personnel as well as implemented new financial systems and processes. We intend to continue to take steps to remediate the material weakness through hiring additional accounting and financial reporting personnel, formalizing documentation of policies and procedures and further evolving our accounting processes.</w:t>
      </w:r>
    </w:p>
    <w:p>
      <w:pPr>
        <w:spacing w:after="0" w:line="74"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 in our internal control over financial reporting until we have completed our remediation efforts and subsequent evaluation of their effectiveness.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5"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We are taking actions to remediate the material weaknesses relating to our internal control over financial reporting, as described above. Except as described above, there were no changes in our internal controls over financial reporting identified in connection with the evaluation required by Rule 13a-15(d) and 15d-15(d) of the Exchange Act that occurred during the three months ended August 31, 2020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Over Financial Reporting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ind w:firstLine="510"/>
        <w:spacing w:after="0" w:line="249"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00"/>
          </w:cols>
          <w:pgMar w:left="320" w:top="439" w:right="37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ind w:right="80" w:firstLine="510"/>
        <w:spacing w:after="0" w:line="270"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quarterly report, including our financial statements and the related notes and the section titled “Management’s Discussion and Analysis of Financial Condition and Results of Operations.”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3"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62" w:lineRule="exact"/>
        <w:rPr>
          <w:sz w:val="20"/>
          <w:szCs w:val="20"/>
          <w:color w:val="auto"/>
        </w:rPr>
      </w:pPr>
    </w:p>
    <w:p>
      <w:pPr>
        <w:ind w:left="740" w:right="400" w:hanging="364"/>
        <w:spacing w:after="0" w:line="271"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167"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216" w:lineRule="exact"/>
        <w:rPr>
          <w:rFonts w:ascii="Times New Roman" w:cs="Times New Roman" w:eastAsia="Times New Roman" w:hAnsi="Times New Roman"/>
          <w:sz w:val="18"/>
          <w:szCs w:val="18"/>
          <w:color w:val="auto"/>
        </w:rPr>
      </w:pPr>
    </w:p>
    <w:p>
      <w:pPr>
        <w:ind w:left="740" w:right="180" w:hanging="364"/>
        <w:spacing w:after="0" w:line="271"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167" w:lineRule="exact"/>
        <w:rPr>
          <w:rFonts w:ascii="Times New Roman" w:cs="Times New Roman" w:eastAsia="Times New Roman" w:hAnsi="Times New Roman"/>
          <w:sz w:val="18"/>
          <w:szCs w:val="18"/>
          <w:color w:val="auto"/>
        </w:rPr>
      </w:pPr>
    </w:p>
    <w:p>
      <w:pPr>
        <w:jc w:val="both"/>
        <w:ind w:left="740" w:right="200" w:hanging="364"/>
        <w:spacing w:after="0" w:line="258"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All of our product candidates are in preclinical development. If we are unable to advance to clinical development, develop, obtain regulatory approval for and commercialize our product candidates or experience significant delays in doing so, our business may be materially harmed.</w:t>
      </w:r>
    </w:p>
    <w:p>
      <w:pPr>
        <w:spacing w:after="0" w:line="179" w:lineRule="exact"/>
        <w:rPr>
          <w:rFonts w:ascii="Times New Roman" w:cs="Times New Roman" w:eastAsia="Times New Roman" w:hAnsi="Times New Roman"/>
          <w:sz w:val="18"/>
          <w:szCs w:val="18"/>
          <w:color w:val="auto"/>
        </w:rPr>
      </w:pPr>
    </w:p>
    <w:p>
      <w:pPr>
        <w:ind w:left="740" w:hanging="364"/>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216" w:lineRule="exact"/>
        <w:rPr>
          <w:rFonts w:ascii="Times New Roman" w:cs="Times New Roman" w:eastAsia="Times New Roman" w:hAnsi="Times New Roman"/>
          <w:sz w:val="18"/>
          <w:szCs w:val="18"/>
          <w:color w:val="auto"/>
        </w:rPr>
      </w:pPr>
    </w:p>
    <w:p>
      <w:pPr>
        <w:ind w:left="740" w:right="40" w:hanging="364"/>
        <w:spacing w:after="0" w:line="271"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167" w:lineRule="exact"/>
        <w:rPr>
          <w:rFonts w:ascii="Times New Roman" w:cs="Times New Roman" w:eastAsia="Times New Roman" w:hAnsi="Times New Roman"/>
          <w:sz w:val="18"/>
          <w:szCs w:val="18"/>
          <w:color w:val="auto"/>
        </w:rPr>
      </w:pPr>
    </w:p>
    <w:p>
      <w:pPr>
        <w:ind w:left="740" w:right="60" w:hanging="364"/>
        <w:spacing w:after="0" w:line="258"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tested any of our product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179" w:lineRule="exact"/>
        <w:rPr>
          <w:rFonts w:ascii="Times New Roman" w:cs="Times New Roman" w:eastAsia="Times New Roman" w:hAnsi="Times New Roman"/>
          <w:sz w:val="18"/>
          <w:szCs w:val="18"/>
          <w:color w:val="auto"/>
        </w:rPr>
      </w:pPr>
    </w:p>
    <w:p>
      <w:pPr>
        <w:ind w:left="740" w:right="860" w:hanging="364"/>
        <w:spacing w:after="0" w:line="271"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167" w:lineRule="exact"/>
        <w:rPr>
          <w:rFonts w:ascii="Times New Roman" w:cs="Times New Roman" w:eastAsia="Times New Roman" w:hAnsi="Times New Roman"/>
          <w:sz w:val="18"/>
          <w:szCs w:val="18"/>
          <w:color w:val="auto"/>
        </w:rPr>
      </w:pPr>
    </w:p>
    <w:p>
      <w:pPr>
        <w:ind w:left="740" w:right="40" w:hanging="364"/>
        <w:spacing w:after="0" w:line="301" w:lineRule="auto"/>
        <w:tabs>
          <w:tab w:leader="none" w:pos="7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depend on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144" w:lineRule="exact"/>
        <w:rPr>
          <w:rFonts w:ascii="Times New Roman" w:cs="Times New Roman" w:eastAsia="Times New Roman" w:hAnsi="Times New Roman"/>
          <w:sz w:val="17"/>
          <w:szCs w:val="17"/>
          <w:color w:val="auto"/>
        </w:rPr>
      </w:pPr>
    </w:p>
    <w:p>
      <w:pPr>
        <w:ind w:left="740" w:right="140" w:hanging="364"/>
        <w:spacing w:after="0" w:line="254"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manufacturing organizations for the manufacture of both drug substance and finished drug product for our product candidates for preclinical testing and expect to continue to do so for our clinical trials and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182" w:lineRule="exact"/>
        <w:rPr>
          <w:rFonts w:ascii="Times New Roman" w:cs="Times New Roman" w:eastAsia="Times New Roman" w:hAnsi="Times New Roman"/>
          <w:sz w:val="18"/>
          <w:szCs w:val="18"/>
          <w:color w:val="auto"/>
        </w:rPr>
      </w:pPr>
    </w:p>
    <w:p>
      <w:pPr>
        <w:ind w:left="740" w:right="320" w:hanging="364"/>
        <w:spacing w:after="0" w:line="273" w:lineRule="auto"/>
        <w:tabs>
          <w:tab w:leader="none" w:pos="7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success and ability to effectively compete in the market depends, in part, upon our ability and the ability of our collaborators to obtain and maintain adequate patent protection for our technology, current product candidates and any future product candidates that we may develop and our ability to develop, manufacture, market and sell our product candidates and future product candidates and use our proprietary technologies without infringing, misappropriating or otherwise violating the intellectual property of others.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41" w:name="page42"/>
    <w:bookmarkEnd w:id="41"/>
    <w:p>
      <w:pPr>
        <w:ind w:left="740" w:right="220" w:hanging="364"/>
        <w:spacing w:after="0" w:line="271"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clinical development plans, the timing of regulatory filings and regulatory approvals and the achievement of milestones could be adversely affected by the current COVID-19 pandemic.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0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9" w:lineRule="exact"/>
        <w:rPr>
          <w:sz w:val="20"/>
          <w:szCs w:val="20"/>
          <w:color w:val="auto"/>
        </w:rPr>
      </w:pPr>
    </w:p>
    <w:p>
      <w:pPr>
        <w:ind w:right="300" w:firstLine="510"/>
        <w:spacing w:after="0" w:line="250" w:lineRule="auto"/>
        <w:rPr>
          <w:sz w:val="20"/>
          <w:szCs w:val="20"/>
          <w:color w:val="auto"/>
        </w:rPr>
      </w:pPr>
      <w:r>
        <w:rPr>
          <w:rFonts w:ascii="Times New Roman" w:cs="Times New Roman" w:eastAsia="Times New Roman" w:hAnsi="Times New Roman"/>
          <w:sz w:val="18"/>
          <w:szCs w:val="18"/>
          <w:color w:val="auto"/>
        </w:rPr>
        <w:t>Our net loss was $21.7 million for the fiscal year ended November 30, 2019 and $23.3 million for the nine months ended August 31, 2020. As of August 31, 2020, we had an accumulated deficit of $83.8 million. To date, we have not generated any revenue from product sales and have financed our operations primarily through our collaborations and sales of our equity interests. We are in the early stages of development of our product candidates and expect to file our first IND with the FDA in late fourth quarter of 2020 or the first quarter of 2021. We expect to continue to incur significant expenses and increasing operating losses for at least the next several years. We anticipate that our operating expenses and capital expenditure requirements will increase substantially if and as we:</w:t>
      </w:r>
    </w:p>
    <w:p>
      <w:pPr>
        <w:spacing w:after="0" w:line="83" w:lineRule="exact"/>
        <w:rPr>
          <w:sz w:val="20"/>
          <w:szCs w:val="20"/>
          <w:color w:val="auto"/>
        </w:rPr>
      </w:pPr>
    </w:p>
    <w:p>
      <w:pPr>
        <w:ind w:left="1020" w:hanging="511"/>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INDs elsewhere and initiate clinical trials of our lead product candidates NX-2127 and NX-1607 and other drug candidates;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10" w:lineRule="exact"/>
        <w:rPr>
          <w:rFonts w:ascii="Times New Roman" w:cs="Times New Roman" w:eastAsia="Times New Roman" w:hAnsi="Times New Roman"/>
          <w:sz w:val="18"/>
          <w:szCs w:val="18"/>
          <w:color w:val="auto"/>
        </w:rPr>
      </w:pPr>
    </w:p>
    <w:p>
      <w:pPr>
        <w:ind w:left="1020" w:right="280" w:hanging="511"/>
        <w:spacing w:after="0" w:line="27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DELigase platform and apply our DELigase platform to advance additional product candidates into preclinical and clinical development;</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DeTIL cell therapy products;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0" w:lineRule="exact"/>
        <w:rPr>
          <w:rFonts w:ascii="Times New Roman" w:cs="Times New Roman" w:eastAsia="Times New Roman" w:hAnsi="Times New Roman"/>
          <w:sz w:val="18"/>
          <w:szCs w:val="18"/>
          <w:color w:val="auto"/>
        </w:rPr>
      </w:pPr>
    </w:p>
    <w:p>
      <w:pPr>
        <w:ind w:left="1020" w:right="360" w:hanging="511"/>
        <w:spacing w:after="0" w:line="27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may obtain marketing approval;</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10" w:lineRule="exact"/>
        <w:rPr>
          <w:rFonts w:ascii="Times New Roman" w:cs="Times New Roman" w:eastAsia="Times New Roman" w:hAnsi="Times New Roman"/>
          <w:sz w:val="18"/>
          <w:szCs w:val="18"/>
          <w:color w:val="auto"/>
        </w:rPr>
      </w:pPr>
    </w:p>
    <w:p>
      <w:pPr>
        <w:ind w:left="1020" w:right="640" w:hanging="511"/>
        <w:spacing w:after="0" w:line="27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16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product candidates.</w:t>
      </w:r>
    </w:p>
    <w:p>
      <w:pPr>
        <w:spacing w:after="0" w:line="17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43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15" w:lineRule="exact"/>
        <w:rPr>
          <w:sz w:val="20"/>
          <w:szCs w:val="20"/>
          <w:color w:val="auto"/>
        </w:rPr>
      </w:pPr>
    </w:p>
    <w:p>
      <w:pPr>
        <w:ind w:right="20" w:firstLine="510"/>
        <w:spacing w:after="0" w:line="249" w:lineRule="auto"/>
        <w:rPr>
          <w:sz w:val="20"/>
          <w:szCs w:val="20"/>
          <w:color w:val="auto"/>
        </w:rPr>
      </w:pPr>
      <w:r>
        <w:rPr>
          <w:rFonts w:ascii="Times New Roman" w:cs="Times New Roman" w:eastAsia="Times New Roman" w:hAnsi="Times New Roman"/>
          <w:sz w:val="18"/>
          <w:szCs w:val="18"/>
          <w:color w:val="auto"/>
        </w:rPr>
        <w:t>We are currently only in the preclinical testing stages for our most advanced product candidates and research programs. We have not initiated clinical development of any product candidate and expect that it will be many years, if ever, before we have a product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product candidates, discovering additional product candidates, establishing and maintaining arrangements with third parties for the manufacture of clinical supplies of our product candidates, obtaining marketing approval for our product candidates and manufacturing, marketing, selling and obtaining reimbursement for any products for which we may obtain marketing approval.</w:t>
      </w:r>
    </w:p>
    <w:p>
      <w:pPr>
        <w:spacing w:after="0" w:line="188" w:lineRule="exact"/>
        <w:rPr>
          <w:sz w:val="20"/>
          <w:szCs w:val="20"/>
          <w:color w:val="auto"/>
        </w:rPr>
      </w:pPr>
    </w:p>
    <w:p>
      <w:pPr>
        <w:ind w:right="380" w:firstLine="510"/>
        <w:spacing w:after="0" w:line="258" w:lineRule="auto"/>
        <w:rPr>
          <w:sz w:val="20"/>
          <w:szCs w:val="20"/>
          <w:color w:val="auto"/>
        </w:rPr>
      </w:pPr>
      <w:r>
        <w:rPr>
          <w:rFonts w:ascii="Times New Roman" w:cs="Times New Roman" w:eastAsia="Times New Roman" w:hAnsi="Times New Roman"/>
          <w:sz w:val="18"/>
          <w:szCs w:val="18"/>
          <w:color w:val="auto"/>
        </w:rPr>
        <w:t>If one or more of the product candidates that we develop is approved for commercial sale, we anticipate incurring significant costs associated with commercializing any approved product candidate. Even if we are able to generate revenues from the sale of any approved products, we may not become profitable and may need to obtain additional funding to continue operations.</w:t>
      </w:r>
    </w:p>
    <w:p>
      <w:pPr>
        <w:spacing w:after="0" w:line="28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9"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work to prepare for IND submissions and initiate our planned Phase 1 clinical trials of our lead product candidates NX-2127 and NX-1607 and other drug candidates, grow our pipeline of product candidates, expand the breadth of our DELigase platform, continue research and development, and initiate additional clinical trials of and potentially seek marketing approval for our lead programs and other product candidates. In addition, if we obtain marketing approval for any of our product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otherwise would prefer to develop and market ourselves.</w:t>
      </w:r>
    </w:p>
    <w:p>
      <w:pPr>
        <w:spacing w:after="0" w:line="193"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We had cash, cash equivalents and investments of $395.1 million as of August 31, 2020. We believe that our existing cash, cash equivalents and investments, will be sufficient to fund our operations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82" w:lineRule="exact"/>
        <w:rPr>
          <w:sz w:val="20"/>
          <w:szCs w:val="20"/>
          <w:color w:val="auto"/>
        </w:rPr>
      </w:pPr>
    </w:p>
    <w:p>
      <w:pPr>
        <w:ind w:left="1020" w:right="460" w:hanging="511"/>
        <w:spacing w:after="0" w:line="27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planned Phase 1 clinical trials for our lead product candidates NX-2127 and NX-1607 and other drug candidates, and any future clinical development of such product candidates;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product candidates and development programs;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preclinical development of our DeTIL cell therapy products;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0" w:lineRule="exact"/>
        <w:rPr>
          <w:rFonts w:ascii="Times New Roman" w:cs="Times New Roman" w:eastAsia="Times New Roman" w:hAnsi="Times New Roman"/>
          <w:sz w:val="18"/>
          <w:szCs w:val="18"/>
          <w:color w:val="auto"/>
        </w:rPr>
      </w:pPr>
    </w:p>
    <w:p>
      <w:pPr>
        <w:ind w:left="1020" w:right="240" w:hanging="511"/>
        <w:spacing w:after="0" w:line="27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0" w:lineRule="exact"/>
        <w:rPr>
          <w:rFonts w:ascii="Times New Roman" w:cs="Times New Roman" w:eastAsia="Times New Roman" w:hAnsi="Times New Roman"/>
          <w:sz w:val="18"/>
          <w:szCs w:val="18"/>
          <w:color w:val="auto"/>
        </w:rPr>
      </w:pPr>
    </w:p>
    <w:p>
      <w:pPr>
        <w:ind w:left="1020" w:right="440" w:hanging="511"/>
        <w:spacing w:after="0" w:line="27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1" w:lineRule="exact"/>
        <w:rPr>
          <w:rFonts w:ascii="Times New Roman" w:cs="Times New Roman" w:eastAsia="Times New Roman" w:hAnsi="Times New Roman"/>
          <w:sz w:val="18"/>
          <w:szCs w:val="18"/>
          <w:color w:val="auto"/>
        </w:rPr>
      </w:pPr>
    </w:p>
    <w:p>
      <w:pPr>
        <w:ind w:left="1020" w:hanging="511"/>
        <w:spacing w:after="0" w:line="27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product candidates.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43" w:name="page44"/>
    <w:bookmarkEnd w:id="43"/>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product candidates.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28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9"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91" w:lineRule="exact"/>
        <w:rPr>
          <w:sz w:val="20"/>
          <w:szCs w:val="20"/>
          <w:color w:val="auto"/>
        </w:rPr>
      </w:pPr>
    </w:p>
    <w:p>
      <w:pPr>
        <w:jc w:val="both"/>
        <w:ind w:right="80" w:firstLine="51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product candidates or grant licenses on terms that may not be favorable to us.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15"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7"/>
          <w:szCs w:val="17"/>
          <w:color w:val="auto"/>
        </w:rPr>
        <w:t>We commenced operations in 2009, and our operations to date have been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our product candidates. All of our product candidates are still in preclinical development and their risk of failure is high. We have not yet demonstrated our ability to successfully: initiate or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77" w:lineRule="exact"/>
        <w:rPr>
          <w:sz w:val="20"/>
          <w:szCs w:val="20"/>
          <w:color w:val="auto"/>
        </w:rPr>
      </w:pPr>
    </w:p>
    <w:p>
      <w:pPr>
        <w:jc w:val="both"/>
        <w:ind w:right="360" w:firstLine="510"/>
        <w:spacing w:after="0" w:line="258"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0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All of our product candidates are in preclinical development. If we are unable to advance to clinical development, develop, obtain regulatory approval for and commercialize our product candidates or experience significant delays in doing so, our business may be materially harmed.</w:t>
      </w:r>
    </w:p>
    <w:p>
      <w:pPr>
        <w:spacing w:after="0" w:line="72"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We are very early in our development efforts. All of our product candidates are in preclinical development and their risk of failure is high. We have invested substantially all of our efforts and financial resources in building our DELigase platform, and the identification and preclinical development of our current product candidates.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82" w:lineRule="exact"/>
        <w:rPr>
          <w:sz w:val="20"/>
          <w:szCs w:val="20"/>
          <w:color w:val="auto"/>
        </w:rPr>
      </w:pPr>
    </w:p>
    <w:p>
      <w:pPr>
        <w:ind w:left="1020" w:hanging="511"/>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and initiation of clinical trials;</w:t>
      </w: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180"/>
          </w:cols>
          <w:pgMar w:left="320" w:top="545" w:right="399" w:bottom="1440" w:gutter="0" w:footer="0" w:header="0"/>
        </w:sectPr>
      </w:pPr>
    </w:p>
    <w:bookmarkStart w:id="44" w:name="page45"/>
    <w:bookmarkEnd w:id="44"/>
    <w:p>
      <w:pPr>
        <w:ind w:left="1020" w:hanging="511"/>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0" w:lineRule="exact"/>
        <w:rPr>
          <w:rFonts w:ascii="Times New Roman" w:cs="Times New Roman" w:eastAsia="Times New Roman" w:hAnsi="Times New Roman"/>
          <w:sz w:val="18"/>
          <w:szCs w:val="18"/>
          <w:color w:val="auto"/>
        </w:rPr>
      </w:pPr>
    </w:p>
    <w:p>
      <w:pPr>
        <w:ind w:left="1020" w:right="260" w:hanging="511"/>
        <w:spacing w:after="0" w:line="27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10" w:lineRule="exact"/>
        <w:rPr>
          <w:rFonts w:ascii="Times New Roman" w:cs="Times New Roman" w:eastAsia="Times New Roman" w:hAnsi="Times New Roman"/>
          <w:sz w:val="18"/>
          <w:szCs w:val="18"/>
          <w:color w:val="auto"/>
        </w:rPr>
      </w:pPr>
    </w:p>
    <w:p>
      <w:pPr>
        <w:ind w:left="1020" w:right="60" w:hanging="511"/>
        <w:spacing w:after="0" w:line="27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the products and maintaining such a profile following approval;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17"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28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product candidates based on our targeted protein degradation platform is unproven, which makes it difficult to predict the time, cost of development and likelihood of successfully developing any products.</w:t>
      </w:r>
    </w:p>
    <w:p>
      <w:pPr>
        <w:spacing w:after="0" w:line="59" w:lineRule="exact"/>
        <w:rPr>
          <w:sz w:val="20"/>
          <w:szCs w:val="20"/>
          <w:color w:val="auto"/>
        </w:rPr>
      </w:pPr>
    </w:p>
    <w:p>
      <w:pPr>
        <w:ind w:right="80" w:firstLine="510"/>
        <w:spacing w:after="0" w:line="250"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product candidates designed to control cellular protein levels, such as our BTK CTMs, have been tested in humans, none has been approved in the United States or Europe, and the data underlying the feasibility of developing these therapeutic products is both preliminary and limited. Discovery and development of CTMs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189" w:lineRule="exact"/>
        <w:rPr>
          <w:sz w:val="20"/>
          <w:szCs w:val="20"/>
          <w:color w:val="auto"/>
        </w:rPr>
      </w:pPr>
    </w:p>
    <w:p>
      <w:pPr>
        <w:ind w:right="120" w:firstLine="510"/>
        <w:spacing w:after="0" w:line="250" w:lineRule="auto"/>
        <w:rPr>
          <w:sz w:val="20"/>
          <w:szCs w:val="20"/>
          <w:color w:val="auto"/>
        </w:rPr>
      </w:pPr>
      <w:r>
        <w:rPr>
          <w:rFonts w:ascii="Times New Roman" w:cs="Times New Roman" w:eastAsia="Times New Roman" w:hAnsi="Times New Roman"/>
          <w:sz w:val="18"/>
          <w:szCs w:val="18"/>
          <w:color w:val="auto"/>
        </w:rPr>
        <w:t>We believe that our CTM product candidates may offer an improved therapeutic approach by removing the disease-causing proteins instead of simply inhibiting their activities. However, the scientific research that forms the basis of our efforts to develop our CTM product candidates is ongoing and the scientific evidence to support the feasibility of developing CTM-based therapeutic treatments is both preliminary and limited. Further, certain patients have shown inherent primary resistance to approved BTK inhibitors and other patients have developed acquired secondary resistance to these inhibitors. Although we believe NX-2127 may have the ability to degrade the BTK mutation that confers resistance to currently marketed BTK inhibitors, any inherent primary or acquired secondary resistance to our BTK CTMs in patients would prevent or diminish their clinical benefit.</w:t>
      </w:r>
    </w:p>
    <w:p>
      <w:pPr>
        <w:spacing w:after="0" w:line="18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We have not yet initiated a clinical trial of any CTM product candidate and we have not yet assessed the safety of any CTM product candidate in humans. Although some of our product candidates have produced observable results in animal studies, there is a limited safety data set for their effects in animals. These product candidates may not demonstrate the same chemical and pharmacological properties in humans, and may interact with human biological systems in unforeseen, ineffective or harmful ways. As such, there may be adverse effects from treatment with any of our current or future product candidates that we cannot predict at this time.</w:t>
      </w:r>
    </w:p>
    <w:p>
      <w:pPr>
        <w:spacing w:after="0" w:line="188"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7"/>
          <w:szCs w:val="17"/>
          <w:color w:val="auto"/>
        </w:rPr>
        <w:t>Additionally, the regulatory approval process for novel product candidates such as ours can be more expensive and take longer than for other, better-known or extensively-studied product candidates. Although other companies are also developing therapeutics based on targeted protein degradation, no regulatory authority has granted approval for any such therapeutic. As a result of these factors, it is more difficult for us to predict the time and cost of CTM product candidate development, and we cannot predict whether targeted protein degradation will result in the development and marketing approval of any products. Any development problems we experience in the future related to any of our CTM research programs may cause significant delays or unanticipated costs or may prevent the development of a commercially viable product. Any of these factors may prevent us from completing our preclinical studies or any clinical trials that we may initiate, or from commercializing any CTM product candidates we may develop on a timely or profitable basis, if at 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5" w:name="page46"/>
    <w:bookmarkEnd w:id="45"/>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59"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All of our product candidates are in preclinical development and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19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the outcome. A failure of one or more clinical trials can occur at any stage of testing. We may experience numerous unforeseen events during, or as a result of, clinical trials, that could delay or prevent our ability to receive marketing approval or commercialize our product candidates, including:</w:t>
      </w:r>
    </w:p>
    <w:p>
      <w:pPr>
        <w:spacing w:after="0" w:line="74" w:lineRule="exact"/>
        <w:rPr>
          <w:sz w:val="20"/>
          <w:szCs w:val="20"/>
          <w:color w:val="auto"/>
        </w:rPr>
      </w:pPr>
    </w:p>
    <w:p>
      <w:pPr>
        <w:ind w:left="1020" w:hanging="511"/>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10" w:lineRule="exact"/>
        <w:rPr>
          <w:rFonts w:ascii="Times New Roman" w:cs="Times New Roman" w:eastAsia="Times New Roman" w:hAnsi="Times New Roman"/>
          <w:sz w:val="18"/>
          <w:szCs w:val="18"/>
          <w:color w:val="auto"/>
        </w:rPr>
      </w:pPr>
    </w:p>
    <w:p>
      <w:pPr>
        <w:ind w:left="1020" w:right="420" w:hanging="511"/>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73" w:lineRule="exact"/>
        <w:rPr>
          <w:rFonts w:ascii="Times New Roman" w:cs="Times New Roman" w:eastAsia="Times New Roman" w:hAnsi="Times New Roman"/>
          <w:sz w:val="18"/>
          <w:szCs w:val="18"/>
          <w:color w:val="auto"/>
        </w:rPr>
      </w:pPr>
    </w:p>
    <w:p>
      <w:pPr>
        <w:ind w:left="1020" w:right="50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61" w:lineRule="exact"/>
        <w:rPr>
          <w:rFonts w:ascii="Times New Roman" w:cs="Times New Roman" w:eastAsia="Times New Roman" w:hAnsi="Times New Roman"/>
          <w:sz w:val="18"/>
          <w:szCs w:val="18"/>
          <w:color w:val="auto"/>
        </w:rPr>
      </w:pPr>
    </w:p>
    <w:p>
      <w:pPr>
        <w:ind w:left="1020" w:right="34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61" w:lineRule="exact"/>
        <w:rPr>
          <w:rFonts w:ascii="Times New Roman" w:cs="Times New Roman" w:eastAsia="Times New Roman" w:hAnsi="Times New Roman"/>
          <w:sz w:val="18"/>
          <w:szCs w:val="18"/>
          <w:color w:val="auto"/>
        </w:rPr>
      </w:pPr>
    </w:p>
    <w:p>
      <w:pPr>
        <w:ind w:left="102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10" w:lineRule="exact"/>
        <w:rPr>
          <w:rFonts w:ascii="Times New Roman" w:cs="Times New Roman" w:eastAsia="Times New Roman" w:hAnsi="Times New Roman"/>
          <w:sz w:val="18"/>
          <w:szCs w:val="18"/>
          <w:color w:val="auto"/>
        </w:rPr>
      </w:pPr>
    </w:p>
    <w:p>
      <w:pPr>
        <w:ind w:left="1020" w:right="20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1" w:lineRule="exact"/>
        <w:rPr>
          <w:rFonts w:ascii="Times New Roman" w:cs="Times New Roman" w:eastAsia="Times New Roman" w:hAnsi="Times New Roman"/>
          <w:sz w:val="18"/>
          <w:szCs w:val="18"/>
          <w:color w:val="auto"/>
        </w:rPr>
      </w:pPr>
    </w:p>
    <w:p>
      <w:pPr>
        <w:ind w:left="1020" w:right="46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61" w:lineRule="exact"/>
        <w:rPr>
          <w:rFonts w:ascii="Times New Roman" w:cs="Times New Roman" w:eastAsia="Times New Roman" w:hAnsi="Times New Roman"/>
          <w:sz w:val="18"/>
          <w:szCs w:val="18"/>
          <w:color w:val="auto"/>
        </w:rPr>
      </w:pPr>
    </w:p>
    <w:p>
      <w:pPr>
        <w:ind w:left="1020" w:right="26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61" w:lineRule="exact"/>
        <w:rPr>
          <w:rFonts w:ascii="Times New Roman" w:cs="Times New Roman" w:eastAsia="Times New Roman" w:hAnsi="Times New Roman"/>
          <w:sz w:val="18"/>
          <w:szCs w:val="18"/>
          <w:color w:val="auto"/>
        </w:rPr>
      </w:pPr>
    </w:p>
    <w:p>
      <w:pPr>
        <w:ind w:left="1020" w:right="12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61" w:lineRule="exact"/>
        <w:rPr>
          <w:rFonts w:ascii="Times New Roman" w:cs="Times New Roman" w:eastAsia="Times New Roman" w:hAnsi="Times New Roman"/>
          <w:sz w:val="18"/>
          <w:szCs w:val="18"/>
          <w:color w:val="auto"/>
        </w:rPr>
      </w:pPr>
    </w:p>
    <w:p>
      <w:pPr>
        <w:ind w:left="1020" w:right="62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trials for various reasons, including noncompliance with regulatory requirements;</w:t>
      </w:r>
    </w:p>
    <w:p>
      <w:pPr>
        <w:spacing w:after="0" w:line="61" w:lineRule="exact"/>
        <w:rPr>
          <w:rFonts w:ascii="Times New Roman" w:cs="Times New Roman" w:eastAsia="Times New Roman" w:hAnsi="Times New Roman"/>
          <w:sz w:val="18"/>
          <w:szCs w:val="18"/>
          <w:color w:val="auto"/>
        </w:rPr>
      </w:pPr>
    </w:p>
    <w:p>
      <w:pPr>
        <w:ind w:left="1020" w:right="48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w:t>
      </w:r>
    </w:p>
    <w:p>
      <w:pPr>
        <w:spacing w:after="0" w:line="110" w:lineRule="exact"/>
        <w:rPr>
          <w:rFonts w:ascii="Times New Roman" w:cs="Times New Roman" w:eastAsia="Times New Roman" w:hAnsi="Times New Roman"/>
          <w:sz w:val="18"/>
          <w:szCs w:val="18"/>
          <w:color w:val="auto"/>
        </w:rPr>
      </w:pPr>
    </w:p>
    <w:p>
      <w:pPr>
        <w:ind w:left="1020" w:right="80" w:hanging="511"/>
        <w:spacing w:after="0" w:line="27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COVID-19 pandemic may increase the likelihood that we encounter such difficulties or delays in initiating, enrolling, conducting or completing our planned and ongoing clinical trials.</w:t>
      </w:r>
    </w:p>
    <w:p>
      <w:pPr>
        <w:spacing w:after="0" w:line="168"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4" w:lineRule="exact"/>
        <w:rPr>
          <w:sz w:val="20"/>
          <w:szCs w:val="20"/>
          <w:color w:val="auto"/>
        </w:rPr>
      </w:pPr>
    </w:p>
    <w:p>
      <w:pPr>
        <w:ind w:left="1020" w:hanging="511"/>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46" w:name="page47"/>
    <w:bookmarkEnd w:id="46"/>
    <w:p>
      <w:pPr>
        <w:ind w:left="1020" w:hanging="511"/>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17"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188" w:lineRule="exact"/>
        <w:rPr>
          <w:sz w:val="20"/>
          <w:szCs w:val="20"/>
          <w:color w:val="auto"/>
        </w:rPr>
      </w:pPr>
    </w:p>
    <w:p>
      <w:pPr>
        <w:ind w:right="120" w:firstLine="510"/>
        <w:spacing w:after="0" w:line="249"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planned clinical trials for our lead product candidates NX-2127 and NX-1607 and other drug candidates will be with patients who have received one or more prior treatments. Subsequently, for those products that prove to be sufficiently beneficial, if any, we would expect to seek approval potentially as a first-line therapy, but any product candidates we develop, even if approved, may not be approved for first-line therapy, and, prior to any such approvals, we may have to conduct additional clinical trials.</w:t>
      </w:r>
    </w:p>
    <w:p>
      <w:pPr>
        <w:spacing w:after="0" w:line="29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59" w:lineRule="exact"/>
        <w:rPr>
          <w:sz w:val="20"/>
          <w:szCs w:val="20"/>
          <w:color w:val="auto"/>
        </w:rPr>
      </w:pPr>
    </w:p>
    <w:p>
      <w:pPr>
        <w:ind w:right="60" w:firstLine="510"/>
        <w:spacing w:after="0" w:line="250" w:lineRule="auto"/>
        <w:rPr>
          <w:sz w:val="20"/>
          <w:szCs w:val="20"/>
          <w:color w:val="auto"/>
        </w:rPr>
      </w:pPr>
      <w:r>
        <w:rPr>
          <w:rFonts w:ascii="Times New Roman" w:cs="Times New Roman" w:eastAsia="Times New Roman" w:hAnsi="Times New Roman"/>
          <w:sz w:val="18"/>
          <w:szCs w:val="18"/>
          <w:color w:val="auto"/>
        </w:rPr>
        <w:t>We have not evaluated any product candidates in human clinical trials, and there have been very few clinical trials to date involving small molecule product candidates designed to control cellular protein levels through targeted protein degradation. It is impossible to predict when or if any product candidates we may develop will prove safe in humans. There is a limited safety data set for the effects of NX-2127, NX-1607, NX-5948 and DeTIL-0255 in animals and our product candidates have not been tested on humans at all. There can be no assurance that our current product candidates or any future product candidate will not cause undesirable side effects. Unforeseen side effects from our product candidates could arise at any time during preclinical or clinical development.</w:t>
      </w:r>
    </w:p>
    <w:p>
      <w:pPr>
        <w:spacing w:after="0" w:line="18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product candidates in any of our planned or future clinical studies. There also is the potential risk of delayed adverse events following treatment with our product candidates.</w:t>
      </w:r>
    </w:p>
    <w:p>
      <w:pPr>
        <w:spacing w:after="0" w:line="183"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In our preclinical studies, we may observe undesirable characteristics of our product candidates. This may prevent us from advancing them into clinical trials, delay these trials or limit the extent of these trials. For example, increased bleeding risk and cardiac arrhythmia such as atrial fibrillation have been reported side effects of approved BTK inhibitors. NX-1607 could activate the immune response to unsafe levels and may have the potential to induce hypercytokinemia, or cytokine storm, which is the overstimulation of immune cells and subsequent overproduction of their activating compounds. Many product candidates that initially showed promise in early-stage testing for treating cancer or other diseases later have been found to cause side effects that prevented further clinical development of the product candidates or limited their competitiveness in the market.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7" w:name="page48"/>
    <w:bookmarkEnd w:id="47"/>
    <w:p>
      <w:pPr>
        <w:ind w:right="60"/>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We have not tested any of our product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35"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planned Phase 1 clinical trials of our lead product candidates NX-2127 and NX-1607 and other drug candidates may not be predictive of the results of further clinical trials of these product candidates or any of our other product candidates. Moreover, preclinical and clinical data often are susceptible to varying interpretations and analyses, and many companies that have believed their product candidates performed satisfactorily in preclinical studies and clinical trials nonetheless have failed to obtain marketing approval of their products. Our future clinical trials may not ultimately be successful or support further clinical development of any of our product candidates.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29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26"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In particular, we are preparing to begin Phase 1 clinical trials for NX-2127 in patients with chronic lymphocytic leukemia (CLL) and other B-cell malignancies and for NX-1607 in immune-oncology indications. We cannot predict how difficult it will be to enroll patients for trials in these indications. Therefore, our ability to identify and enroll eligible patients for our planned NX-2127 and NX-1607 clinical trials may be limited or may result in slower enrollment than we anticipate. In addition, some of our competitors have ongoing clinical trials for product candidates that treat the same indications as our product candidates, and patients who otherwise would be eligible for our planned clinical trials instead may enroll in clinical trials of our competitors’ product candidates. Moreover, the size of the relevant patient populations for the diseases that our lead product candidates target are small and as more companies begin to focus attention and resources on product candidates to treat the same indications as our product candidates we may experience delays or be unable to successfully recruit and enroll a sufficient number of eligible patients in our clinical trials. Patient enrollment is affected by other factors including:</w:t>
      </w:r>
    </w:p>
    <w:p>
      <w:pPr>
        <w:spacing w:after="0" w:line="85" w:lineRule="exact"/>
        <w:rPr>
          <w:sz w:val="20"/>
          <w:szCs w:val="20"/>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candidates under study;</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sectPr>
      </w:pPr>
    </w:p>
    <w:bookmarkStart w:id="48" w:name="page49"/>
    <w:bookmarkEnd w:id="48"/>
    <w:p>
      <w:pPr>
        <w:ind w:left="1020" w:hanging="511"/>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0" w:lineRule="exact"/>
        <w:rPr>
          <w:rFonts w:ascii="Times New Roman" w:cs="Times New Roman" w:eastAsia="Times New Roman" w:hAnsi="Times New Roman"/>
          <w:sz w:val="18"/>
          <w:szCs w:val="18"/>
          <w:color w:val="auto"/>
        </w:rPr>
      </w:pPr>
    </w:p>
    <w:p>
      <w:pPr>
        <w:ind w:left="1020" w:right="320" w:hanging="511"/>
        <w:spacing w:after="0" w:line="27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COVID-19 pandemic, which may affect the conduct of a clinical trial, including by slowing potential enrollment or reducing the number of eligible patients for clinical trials.</w:t>
      </w:r>
    </w:p>
    <w:p>
      <w:pPr>
        <w:spacing w:after="0" w:line="168"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planned clinical trials would result in significant delays and could require us to abandon one or more clinical trials altogether. Enrollment delays in our planned clinical trials may result in increased development costs for our product candidates, which would cause the value of our company to decline and limit our ability to obtain additional financing.</w:t>
      </w:r>
    </w:p>
    <w:p>
      <w:pPr>
        <w:spacing w:after="0" w:line="28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9" w:lineRule="exact"/>
        <w:rPr>
          <w:sz w:val="20"/>
          <w:szCs w:val="20"/>
          <w:color w:val="auto"/>
        </w:rPr>
      </w:pPr>
    </w:p>
    <w:p>
      <w:pPr>
        <w:ind w:right="20" w:firstLine="510"/>
        <w:spacing w:after="0" w:line="249"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15" w:lineRule="exact"/>
        <w:rPr>
          <w:sz w:val="20"/>
          <w:szCs w:val="20"/>
          <w:color w:val="auto"/>
        </w:rPr>
      </w:pPr>
    </w:p>
    <w:p>
      <w:pPr>
        <w:ind w:firstLine="510"/>
        <w:spacing w:after="0" w:line="265" w:lineRule="auto"/>
        <w:rPr>
          <w:sz w:val="20"/>
          <w:szCs w:val="20"/>
          <w:color w:val="auto"/>
        </w:rPr>
      </w:pPr>
      <w:r>
        <w:rPr>
          <w:rFonts w:ascii="Times New Roman" w:cs="Times New Roman" w:eastAsia="Times New Roman" w:hAnsi="Times New Roman"/>
          <w:sz w:val="17"/>
          <w:szCs w:val="17"/>
          <w:color w:val="auto"/>
        </w:rPr>
        <w:t>We have established manufacturing relationships with a limited number of suppliers to manufacture raw materials and the drug substance of any product candidate for which we now are pursuing, or may in the future pursue, preclinical or clinical development. Our current good manufacturing practices (cGMP), manufacturing process development with our third-party manufacturers and scale-up is at an early stage. The actual cost to manufacture and process our product candidates could be greater than we expect and could materially and adversely affect the commercial viability of our product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product candidates for clinical trials, our ability to obtain marketing approval, or our ability to provide supply of our product candidates for patients, if approved, could be delayed or stopped.</w:t>
      </w:r>
    </w:p>
    <w:p>
      <w:pPr>
        <w:spacing w:after="0" w:line="27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59" w:lineRule="exact"/>
        <w:rPr>
          <w:sz w:val="20"/>
          <w:szCs w:val="20"/>
          <w:color w:val="auto"/>
        </w:rPr>
      </w:pPr>
    </w:p>
    <w:p>
      <w:pPr>
        <w:ind w:right="80" w:firstLine="510"/>
        <w:spacing w:after="0" w:line="262" w:lineRule="auto"/>
        <w:rPr>
          <w:sz w:val="20"/>
          <w:szCs w:val="20"/>
          <w:color w:val="auto"/>
        </w:rPr>
      </w:pPr>
      <w:r>
        <w:rPr>
          <w:rFonts w:ascii="Times New Roman" w:cs="Times New Roman" w:eastAsia="Times New Roman" w:hAnsi="Times New Roman"/>
          <w:sz w:val="17"/>
          <w:szCs w:val="17"/>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tumor infiltrating lymphocytes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of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product candidates. Moreover, the FDA regulatory pathway for our Drug-enhanced Tumor Infiltrating Lymphocyte and Drug-enhanced Chimeric Antigen Receptor T cell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product candidates, and we may never be successful in developing these therapeutics.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115" w:lineRule="exact"/>
        <w:rPr>
          <w:sz w:val="20"/>
          <w:szCs w:val="20"/>
          <w:color w:val="auto"/>
        </w:rPr>
      </w:pPr>
    </w:p>
    <w:p>
      <w:pPr>
        <w:ind w:right="520" w:firstLine="510"/>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apply our DELigase platform to address a broad array of targets and new therapeutic areas. The therapeutic discovery activities we are conducting may not be successful in identifying product candidates that are useful in treating hematologic cancers, immune-mediated diseases or any other diseases. Our research programs initially may show promise in identifying potential product candidates, yet fail to yield product candidates for clinical development for a number of reasons, including:</w:t>
      </w:r>
    </w:p>
    <w:p>
      <w:pPr>
        <w:spacing w:after="0" w:line="77" w:lineRule="exact"/>
        <w:rPr>
          <w:sz w:val="20"/>
          <w:szCs w:val="20"/>
          <w:color w:val="auto"/>
        </w:rPr>
      </w:pPr>
    </w:p>
    <w:p>
      <w:pPr>
        <w:ind w:left="1020" w:right="440" w:hanging="511"/>
        <w:spacing w:after="0" w:line="27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receive marketing approval or achieve market acceptance; or</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1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DELigase platform.</w:t>
      </w:r>
    </w:p>
    <w:p>
      <w:pPr>
        <w:spacing w:after="0" w:line="115"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A key element of our strategy is to expand the capabilities of our DELigase platform and leverage our platform to discover, develop and potentially commercialize additional product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product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29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9"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191" w:lineRule="exact"/>
        <w:rPr>
          <w:sz w:val="20"/>
          <w:szCs w:val="20"/>
          <w:color w:val="auto"/>
        </w:rPr>
      </w:pPr>
    </w:p>
    <w:p>
      <w:pPr>
        <w:ind w:right="400" w:firstLine="510"/>
        <w:spacing w:after="0" w:line="254" w:lineRule="auto"/>
        <w:rPr>
          <w:sz w:val="20"/>
          <w:szCs w:val="20"/>
          <w:color w:val="auto"/>
        </w:rPr>
      </w:pPr>
      <w:r>
        <w:rPr>
          <w:rFonts w:ascii="Times New Roman" w:cs="Times New Roman" w:eastAsia="Times New Roman" w:hAnsi="Times New Roman"/>
          <w:sz w:val="18"/>
          <w:szCs w:val="18"/>
          <w:color w:val="auto"/>
        </w:rPr>
        <w:t>We are aware of several biotechnology companies focused on developing small molecules that degrade target proteins including Arvinas, Inc., C4 Therapeutics, Inc., Cullgen Inc. and Kymera Therapeutics, Inc., all of which currently are in preclinical or clinical development. Further, several large pharmaceutical companies have disclosed preclinical investments in this field, including Amgen Inc., AstraZeneca plc, Bristol-Myers Squibb Company, Genentech, Inc., GlaxoSmithKline plc and Novartis International AG.</w:t>
      </w:r>
    </w:p>
    <w:p>
      <w:pPr>
        <w:spacing w:after="0" w:line="183"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50" w:name="page51"/>
    <w:bookmarkEnd w:id="50"/>
    <w:p>
      <w:pPr>
        <w:ind w:right="20"/>
        <w:spacing w:after="0" w:line="251" w:lineRule="auto"/>
        <w:rPr>
          <w:sz w:val="20"/>
          <w:szCs w:val="20"/>
          <w:color w:val="auto"/>
        </w:rPr>
      </w:pPr>
      <w:r>
        <w:rPr>
          <w:rFonts w:ascii="Times New Roman" w:cs="Times New Roman" w:eastAsia="Times New Roman" w:hAnsi="Times New Roman"/>
          <w:sz w:val="18"/>
          <w:szCs w:val="18"/>
          <w:color w:val="auto"/>
        </w:rPr>
        <w:t>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29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59" w:lineRule="exact"/>
        <w:rPr>
          <w:sz w:val="20"/>
          <w:szCs w:val="20"/>
          <w:color w:val="auto"/>
        </w:rPr>
      </w:pPr>
    </w:p>
    <w:p>
      <w:pPr>
        <w:ind w:right="80" w:firstLine="510"/>
        <w:spacing w:after="0" w:line="249"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293"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59" w:lineRule="exact"/>
        <w:rPr>
          <w:sz w:val="20"/>
          <w:szCs w:val="20"/>
          <w:color w:val="auto"/>
        </w:rPr>
      </w:pPr>
    </w:p>
    <w:p>
      <w:pPr>
        <w:ind w:right="60" w:firstLine="510"/>
        <w:spacing w:after="0" w:line="248" w:lineRule="auto"/>
        <w:rPr>
          <w:sz w:val="20"/>
          <w:szCs w:val="20"/>
          <w:color w:val="auto"/>
        </w:rPr>
      </w:pPr>
      <w:r>
        <w:rPr>
          <w:rFonts w:ascii="Times New Roman" w:cs="Times New Roman" w:eastAsia="Times New Roman" w:hAnsi="Times New Roman"/>
          <w:sz w:val="18"/>
          <w:szCs w:val="18"/>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59"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We have sought third-party collaborators for the research, development, and commercialization of some of our CTM programs. For example, in June 2019 we entered into a collaboration with Gilead and in December 2019 we entered into a collaboration with Sanofi.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91" w:lineRule="exact"/>
        <w:rPr>
          <w:sz w:val="20"/>
          <w:szCs w:val="20"/>
          <w:color w:val="auto"/>
        </w:rPr>
      </w:pPr>
    </w:p>
    <w:p>
      <w:pPr>
        <w:ind w:right="120" w:firstLine="510"/>
        <w:spacing w:after="0" w:line="271" w:lineRule="auto"/>
        <w:rPr>
          <w:sz w:val="20"/>
          <w:szCs w:val="20"/>
          <w:color w:val="auto"/>
        </w:rPr>
      </w:pPr>
      <w:r>
        <w:rPr>
          <w:rFonts w:ascii="Times New Roman" w:cs="Times New Roman" w:eastAsia="Times New Roman" w:hAnsi="Times New Roman"/>
          <w:sz w:val="18"/>
          <w:szCs w:val="18"/>
          <w:color w:val="auto"/>
        </w:rPr>
        <w:t>Collaborations involving our research programs or any product candidates we may develop, including our collaborations with Sanofi and Gilead, pose the following risks to us:</w:t>
      </w:r>
    </w:p>
    <w:p>
      <w:pPr>
        <w:spacing w:after="0" w:line="62" w:lineRule="exact"/>
        <w:rPr>
          <w:sz w:val="20"/>
          <w:szCs w:val="20"/>
          <w:color w:val="auto"/>
        </w:rPr>
      </w:pPr>
    </w:p>
    <w:p>
      <w:pPr>
        <w:ind w:left="1020" w:hanging="511"/>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0" w:lineRule="exact"/>
        <w:rPr>
          <w:rFonts w:ascii="Times New Roman" w:cs="Times New Roman" w:eastAsia="Times New Roman" w:hAnsi="Times New Roman"/>
          <w:sz w:val="18"/>
          <w:szCs w:val="18"/>
          <w:color w:val="auto"/>
        </w:rPr>
      </w:pPr>
    </w:p>
    <w:p>
      <w:pPr>
        <w:ind w:left="1020" w:right="260" w:hanging="511"/>
        <w:spacing w:after="0" w:line="280"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1" w:name="page52"/>
    <w:bookmarkEnd w:id="51"/>
    <w:p>
      <w:pPr>
        <w:ind w:left="1020" w:right="20" w:hanging="511"/>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and Gilead have broad option rights to select up to five targets each for exclusive CTM development, so long as not excluded by us under the terms of each collaboration, and may select targets we are considering but have not taken sufficient action to exclude under each collaboration.</w:t>
      </w:r>
    </w:p>
    <w:p>
      <w:pPr>
        <w:spacing w:after="0" w:line="73" w:lineRule="exact"/>
        <w:rPr>
          <w:rFonts w:ascii="Times New Roman" w:cs="Times New Roman" w:eastAsia="Times New Roman" w:hAnsi="Times New Roman"/>
          <w:sz w:val="18"/>
          <w:szCs w:val="18"/>
          <w:color w:val="auto"/>
        </w:rPr>
      </w:pPr>
    </w:p>
    <w:p>
      <w:pPr>
        <w:ind w:left="1020" w:right="640" w:hanging="511"/>
        <w:spacing w:after="0" w:line="27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1" w:lineRule="exact"/>
        <w:rPr>
          <w:rFonts w:ascii="Times New Roman" w:cs="Times New Roman" w:eastAsia="Times New Roman" w:hAnsi="Times New Roman"/>
          <w:sz w:val="18"/>
          <w:szCs w:val="18"/>
          <w:color w:val="auto"/>
        </w:rPr>
      </w:pPr>
    </w:p>
    <w:p>
      <w:pPr>
        <w:ind w:left="1020" w:right="100" w:hanging="511"/>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Times New Roman" w:cs="Times New Roman" w:eastAsia="Times New Roman" w:hAnsi="Times New Roman"/>
          <w:sz w:val="18"/>
          <w:szCs w:val="18"/>
          <w:color w:val="auto"/>
        </w:rPr>
      </w:pPr>
    </w:p>
    <w:p>
      <w:pPr>
        <w:ind w:left="1020" w:right="700" w:hanging="511"/>
        <w:spacing w:after="0" w:line="27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61" w:lineRule="exact"/>
        <w:rPr>
          <w:rFonts w:ascii="Times New Roman" w:cs="Times New Roman" w:eastAsia="Times New Roman" w:hAnsi="Times New Roman"/>
          <w:sz w:val="18"/>
          <w:szCs w:val="18"/>
          <w:color w:val="auto"/>
        </w:rPr>
      </w:pPr>
    </w:p>
    <w:p>
      <w:pPr>
        <w:ind w:left="1020" w:right="320" w:hanging="511"/>
        <w:spacing w:after="0" w:line="25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82" w:lineRule="exact"/>
        <w:rPr>
          <w:rFonts w:ascii="Times New Roman" w:cs="Times New Roman" w:eastAsia="Times New Roman" w:hAnsi="Times New Roman"/>
          <w:sz w:val="18"/>
          <w:szCs w:val="18"/>
          <w:color w:val="auto"/>
        </w:rPr>
      </w:pPr>
    </w:p>
    <w:p>
      <w:pPr>
        <w:ind w:left="1020" w:right="40" w:hanging="511"/>
        <w:spacing w:after="0" w:line="301"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39" w:lineRule="exact"/>
        <w:rPr>
          <w:rFonts w:ascii="Times New Roman" w:cs="Times New Roman" w:eastAsia="Times New Roman" w:hAnsi="Times New Roman"/>
          <w:sz w:val="17"/>
          <w:szCs w:val="17"/>
          <w:color w:val="auto"/>
        </w:rPr>
      </w:pPr>
    </w:p>
    <w:p>
      <w:pPr>
        <w:ind w:left="1020" w:right="480" w:hanging="511"/>
        <w:spacing w:after="0" w:line="27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61" w:lineRule="exact"/>
        <w:rPr>
          <w:rFonts w:ascii="Times New Roman" w:cs="Times New Roman" w:eastAsia="Times New Roman" w:hAnsi="Times New Roman"/>
          <w:sz w:val="18"/>
          <w:szCs w:val="18"/>
          <w:color w:val="auto"/>
        </w:rPr>
      </w:pPr>
    </w:p>
    <w:p>
      <w:pPr>
        <w:ind w:left="1020" w:right="220" w:hanging="511"/>
        <w:spacing w:after="0" w:line="25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76" w:lineRule="exact"/>
        <w:rPr>
          <w:rFonts w:ascii="Times New Roman" w:cs="Times New Roman" w:eastAsia="Times New Roman" w:hAnsi="Times New Roman"/>
          <w:sz w:val="18"/>
          <w:szCs w:val="18"/>
          <w:color w:val="auto"/>
        </w:rPr>
      </w:pPr>
    </w:p>
    <w:p>
      <w:pPr>
        <w:ind w:left="1020" w:right="240" w:hanging="511"/>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79"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191"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product candidates we may develop. These relationships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29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9" w:lineRule="exact"/>
        <w:rPr>
          <w:sz w:val="20"/>
          <w:szCs w:val="20"/>
          <w:color w:val="auto"/>
        </w:rPr>
      </w:pPr>
    </w:p>
    <w:p>
      <w:pPr>
        <w:ind w:right="240" w:firstLine="510"/>
        <w:spacing w:after="0" w:line="271"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companies with development and commercial expertise and capabilities. We face significant competition in attracting appropriate collaborators to advance the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2" w:name="page53"/>
    <w:bookmarkEnd w:id="52"/>
    <w:p>
      <w:pPr>
        <w:ind w:right="60"/>
        <w:spacing w:after="0" w:line="249" w:lineRule="auto"/>
        <w:rPr>
          <w:sz w:val="20"/>
          <w:szCs w:val="20"/>
          <w:color w:val="auto"/>
        </w:rPr>
      </w:pPr>
      <w:r>
        <w:rPr>
          <w:rFonts w:ascii="Times New Roman" w:cs="Times New Roman" w:eastAsia="Times New Roman" w:hAnsi="Times New Roman"/>
          <w:sz w:val="18"/>
          <w:szCs w:val="18"/>
          <w:color w:val="auto"/>
        </w:rPr>
        <w:t>development of any product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product candidate, the costs and complexities of manufacturing and delivering such product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product candidates or technologies for similar indications and will have to evaluate whether such a collaboration could be more attractive than one with us.</w:t>
      </w:r>
    </w:p>
    <w:p>
      <w:pPr>
        <w:spacing w:after="0" w:line="18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179"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product sales, which could have an adverse effect on our business, prospects, financial condition and results of operations.</w:t>
      </w:r>
    </w:p>
    <w:p>
      <w:pPr>
        <w:spacing w:after="0" w:line="29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and those third parties may not perform satisfactorily, including failing to meet deadlines for completing such trials.</w:t>
      </w:r>
    </w:p>
    <w:p>
      <w:pPr>
        <w:spacing w:after="0" w:line="59" w:lineRule="exact"/>
        <w:rPr>
          <w:sz w:val="20"/>
          <w:szCs w:val="20"/>
          <w:color w:val="auto"/>
        </w:rPr>
      </w:pPr>
    </w:p>
    <w:p>
      <w:pPr>
        <w:ind w:right="300" w:firstLine="510"/>
        <w:spacing w:after="0" w:line="254" w:lineRule="auto"/>
        <w:rPr>
          <w:sz w:val="20"/>
          <w:szCs w:val="20"/>
          <w:color w:val="auto"/>
        </w:rPr>
      </w:pPr>
      <w:r>
        <w:rPr>
          <w:rFonts w:ascii="Times New Roman" w:cs="Times New Roman" w:eastAsia="Times New Roman" w:hAnsi="Times New Roman"/>
          <w:sz w:val="18"/>
          <w:szCs w:val="18"/>
          <w:color w:val="auto"/>
        </w:rPr>
        <w:t>We expect to rely on third-party clinical research organizations (CROs) to conduct our planned Phase 1 clinical trial programs for our lead product candidates NX-2127 and NX-1607 and other drug candidates.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w:t>
      </w:r>
    </w:p>
    <w:p>
      <w:pPr>
        <w:spacing w:after="0" w:line="183" w:lineRule="exact"/>
        <w:rPr>
          <w:sz w:val="20"/>
          <w:szCs w:val="20"/>
          <w:color w:val="auto"/>
        </w:rPr>
      </w:pPr>
    </w:p>
    <w:p>
      <w:pPr>
        <w:ind w:right="140" w:firstLine="510"/>
        <w:spacing w:after="0" w:line="251"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good clinical practices (GCPs) for conducting, recording and reporting the results of clinical trials to assure that data and reported results are credible and accurate and that the rights, integrity and confidentiality of trial participants are protected.</w:t>
      </w:r>
    </w:p>
    <w:p>
      <w:pPr>
        <w:spacing w:after="0" w:line="18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for the manufacture of both drug substance and finished drug product for our product candidates for preclinical testing and expect to continue to do so for our clinical trials and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77"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third-party contract manufacturing organizations (CMOs) for both drug substance and finished drug product, and ACT product. This reliance on CMOs, particularly where one CMO is the sole source of the drug substance or finished drug product, or ACT product, may increase the risk that we will not have sufficient quantities of our product candidates or products or such quantities at an acceptable cost or quality, which could delay, prevent or impair our development or commercialization efforts.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3" w:name="page54"/>
    <w:bookmarkEnd w:id="53"/>
    <w:p>
      <w:pPr>
        <w:ind w:right="560" w:firstLine="510"/>
        <w:spacing w:after="0" w:line="271"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62" w:lineRule="exact"/>
        <w:rPr>
          <w:sz w:val="20"/>
          <w:szCs w:val="20"/>
          <w:color w:val="auto"/>
        </w:rPr>
      </w:pPr>
    </w:p>
    <w:p>
      <w:pPr>
        <w:ind w:left="1020" w:hanging="511"/>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217"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If we receive marketing approval for any of our product candidates, we will need to establish an agreement for commercial manufacture with a third party.</w:t>
      </w:r>
    </w:p>
    <w:p>
      <w:pPr>
        <w:spacing w:after="0" w:line="183"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3"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79"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w:t>
      </w:r>
    </w:p>
    <w:p>
      <w:pPr>
        <w:spacing w:after="0" w:line="188" w:lineRule="exact"/>
        <w:rPr>
          <w:sz w:val="20"/>
          <w:szCs w:val="20"/>
          <w:color w:val="auto"/>
        </w:rPr>
      </w:pPr>
    </w:p>
    <w:p>
      <w:pPr>
        <w:ind w:right="200" w:firstLine="510"/>
        <w:spacing w:after="0" w:line="27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7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59"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product candidates and non-human primates (NHPs) for toxicology testing in countries affected by the COVID-19 pandemic. If we are unable to obtain these chemical or biological intermediates or NHPs in sufficient quantity and in a timely manner,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84"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product candidates in sufficient quality and quantity, which would delay or prevent us from developing our product candidates and commercializing approved products, if any.</w:t>
      </w:r>
    </w:p>
    <w:p>
      <w:pPr>
        <w:spacing w:after="0" w:line="5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7"/>
          <w:szCs w:val="17"/>
          <w:color w:val="auto"/>
        </w:rPr>
        <w:t>In order to conduct clinical trials of our product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product candidate may be delayed or infeasible, and regulatory approval or commercial launch of any resulting product may be delayed or not obtained, which could significantly harm our business.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a product candidate may fail to achieve the degree of market acceptance by physicians, patients, third-party payors and others in the medical community necessary for commercial success.</w:t>
      </w:r>
    </w:p>
    <w:p>
      <w:pPr>
        <w:spacing w:after="0" w:line="5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82" w:lineRule="exact"/>
        <w:rPr>
          <w:sz w:val="20"/>
          <w:szCs w:val="20"/>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1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product candidates if and when they are approved.</w:t>
      </w:r>
    </w:p>
    <w:p>
      <w:pPr>
        <w:spacing w:after="0" w:line="59"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179"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product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1" w:lineRule="exact"/>
        <w:rPr>
          <w:sz w:val="20"/>
          <w:szCs w:val="20"/>
          <w:color w:val="auto"/>
        </w:rPr>
      </w:pPr>
    </w:p>
    <w:p>
      <w:pPr>
        <w:ind w:left="1020" w:right="240" w:hanging="511"/>
        <w:spacing w:after="0" w:line="27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61" w:lineRule="exact"/>
        <w:rPr>
          <w:rFonts w:ascii="Times New Roman" w:cs="Times New Roman" w:eastAsia="Times New Roman" w:hAnsi="Times New Roman"/>
          <w:sz w:val="18"/>
          <w:szCs w:val="18"/>
          <w:color w:val="auto"/>
        </w:rPr>
      </w:pPr>
    </w:p>
    <w:p>
      <w:pPr>
        <w:ind w:left="1020" w:hanging="511"/>
        <w:spacing w:after="0" w:line="27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17"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and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product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55" w:name="page56"/>
    <w:bookmarkEnd w:id="55"/>
    <w:p>
      <w:pPr>
        <w:ind w:right="9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59" w:lineRule="exact"/>
        <w:rPr>
          <w:sz w:val="20"/>
          <w:szCs w:val="20"/>
          <w:color w:val="auto"/>
        </w:rPr>
      </w:pPr>
    </w:p>
    <w:p>
      <w:pPr>
        <w:ind w:right="160" w:firstLine="510"/>
        <w:spacing w:after="0" w:line="265"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our product candidates obtain marketing approval.</w:t>
      </w:r>
    </w:p>
    <w:p>
      <w:pPr>
        <w:spacing w:after="0" w:line="175" w:lineRule="exact"/>
        <w:rPr>
          <w:sz w:val="20"/>
          <w:szCs w:val="20"/>
          <w:color w:val="auto"/>
        </w:rPr>
      </w:pPr>
    </w:p>
    <w:p>
      <w:pPr>
        <w:ind w:firstLine="510"/>
        <w:spacing w:after="0" w:line="247"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97" w:lineRule="exact"/>
        <w:rPr>
          <w:sz w:val="20"/>
          <w:szCs w:val="20"/>
          <w:color w:val="auto"/>
        </w:rPr>
      </w:pPr>
    </w:p>
    <w:p>
      <w:pPr>
        <w:ind w:right="60" w:firstLine="510"/>
        <w:spacing w:after="0" w:line="248"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15"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74" w:lineRule="exact"/>
        <w:rPr>
          <w:sz w:val="20"/>
          <w:szCs w:val="20"/>
          <w:color w:val="auto"/>
        </w:rPr>
      </w:pPr>
    </w:p>
    <w:p>
      <w:pPr>
        <w:ind w:left="1020" w:hanging="511"/>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56" w:name="page57"/>
    <w:bookmarkEnd w:id="56"/>
    <w:p>
      <w:pPr>
        <w:ind w:left="1020" w:hanging="511"/>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17"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product candidates. Insurance coverage is increasingly expensive. We may not be able to maintain or increase our insurance coverage at a reasonable cost or in an amount adequate to satisfy any liability that may arise.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current product candidates and any future product candidates that we may develop, or if the scope of the patent protection obtained is not sufficiently broad, our competitors and other third parties could develop and commercialize technology and product candidates similar or identical to ours, and our ability to successfully commercialize our technology and product candidates may be impaired, and we may not be able to compete effectively in our market.</w:t>
      </w:r>
    </w:p>
    <w:p>
      <w:pPr>
        <w:spacing w:after="0" w:line="77" w:lineRule="exact"/>
        <w:rPr>
          <w:sz w:val="20"/>
          <w:szCs w:val="20"/>
          <w:color w:val="auto"/>
        </w:rPr>
      </w:pPr>
    </w:p>
    <w:p>
      <w:pPr>
        <w:ind w:firstLine="510"/>
        <w:spacing w:after="0" w:line="247"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product candidates and proprietary technology. We seek to protect our proprietary position by filing patent applications in the United States and abroad related to our novel technologies and product candidates. However, the portfolio covering our product candidates is at an early stage and comprised only of patent applications and we do not currently own or license any issued patents covering our product candidates. If we are unable to obtain or maintain patent protection with respect to our proprietary product candidates and technology or do not otherwise adequately protect our intellectual property, competitors and other third parties may be able to use our product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product candidates fail to issue, if their breadth or strength of protection is threatened, or if they fail to provide meaningful exclusivity for our current and future product candidates, it could have a material adverse effect on our ability to commercialize our product candidates and our business.</w:t>
      </w:r>
    </w:p>
    <w:p>
      <w:pPr>
        <w:spacing w:after="0" w:line="194" w:lineRule="exact"/>
        <w:rPr>
          <w:sz w:val="20"/>
          <w:szCs w:val="20"/>
          <w:color w:val="auto"/>
        </w:rPr>
      </w:pPr>
    </w:p>
    <w:p>
      <w:pPr>
        <w:ind w:firstLine="510"/>
        <w:spacing w:after="0" w:line="264" w:lineRule="auto"/>
        <w:rPr>
          <w:sz w:val="20"/>
          <w:szCs w:val="20"/>
          <w:color w:val="auto"/>
        </w:rPr>
      </w:pPr>
      <w:r>
        <w:rPr>
          <w:rFonts w:ascii="Times New Roman" w:cs="Times New Roman" w:eastAsia="Times New Roman" w:hAnsi="Times New Roman"/>
          <w:sz w:val="17"/>
          <w:szCs w:val="17"/>
          <w:color w:val="auto"/>
        </w:rPr>
        <w:t>To protect our proprietary positions, we file patent applications in the United States and other countries related to our novel technologies and product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76"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7" w:name="page58"/>
    <w:bookmarkEnd w:id="57"/>
    <w:p>
      <w:pPr>
        <w:ind w:right="20"/>
        <w:spacing w:after="0" w:line="249" w:lineRule="auto"/>
        <w:rPr>
          <w:sz w:val="20"/>
          <w:szCs w:val="20"/>
          <w:color w:val="auto"/>
        </w:rPr>
      </w:pPr>
      <w:r>
        <w:rPr>
          <w:rFonts w:ascii="Times New Roman" w:cs="Times New Roman" w:eastAsia="Times New Roman" w:hAnsi="Times New Roman"/>
          <w:sz w:val="18"/>
          <w:szCs w:val="18"/>
          <w:color w:val="auto"/>
        </w:rPr>
        <w:t>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188" w:lineRule="exact"/>
        <w:rPr>
          <w:sz w:val="20"/>
          <w:szCs w:val="20"/>
          <w:color w:val="auto"/>
        </w:rPr>
      </w:pPr>
    </w:p>
    <w:p>
      <w:pPr>
        <w:ind w:right="20" w:firstLine="510"/>
        <w:spacing w:after="0" w:line="246" w:lineRule="auto"/>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product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product candidates.</w:t>
      </w:r>
    </w:p>
    <w:p>
      <w:pPr>
        <w:spacing w:after="0" w:line="203"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product candidates could be negatively affected, which could have a material adverse effect on our business, financial condition, results of operations and prospects.</w:t>
      </w:r>
    </w:p>
    <w:p>
      <w:pPr>
        <w:spacing w:after="0" w:line="193"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8" w:name="page59"/>
    <w:bookmarkEnd w:id="58"/>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59" w:lineRule="exact"/>
        <w:rPr>
          <w:sz w:val="20"/>
          <w:szCs w:val="20"/>
          <w:color w:val="auto"/>
        </w:rPr>
      </w:pPr>
    </w:p>
    <w:p>
      <w:pPr>
        <w:ind w:right="20" w:firstLine="510"/>
        <w:spacing w:after="0" w:line="264" w:lineRule="auto"/>
        <w:rPr>
          <w:sz w:val="20"/>
          <w:szCs w:val="20"/>
          <w:color w:val="auto"/>
        </w:rPr>
      </w:pPr>
      <w:r>
        <w:rPr>
          <w:rFonts w:ascii="Times New Roman" w:cs="Times New Roman" w:eastAsia="Times New Roman" w:hAnsi="Times New Roman"/>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w:t>
      </w:r>
    </w:p>
    <w:p>
      <w:pPr>
        <w:spacing w:after="0" w:line="176" w:lineRule="exact"/>
        <w:rPr>
          <w:sz w:val="20"/>
          <w:szCs w:val="20"/>
          <w:color w:val="auto"/>
        </w:rPr>
      </w:pPr>
    </w:p>
    <w:p>
      <w:pPr>
        <w:ind w:right="80" w:firstLine="510"/>
        <w:spacing w:after="0" w:line="250"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29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product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72" w:lineRule="exact"/>
        <w:rPr>
          <w:sz w:val="20"/>
          <w:szCs w:val="20"/>
          <w:color w:val="auto"/>
        </w:rPr>
      </w:pPr>
    </w:p>
    <w:p>
      <w:pPr>
        <w:ind w:right="180" w:firstLine="510"/>
        <w:spacing w:after="0" w:line="250"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89"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290"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9" w:lineRule="exact"/>
        <w:rPr>
          <w:sz w:val="20"/>
          <w:szCs w:val="20"/>
          <w:color w:val="auto"/>
        </w:rPr>
      </w:pPr>
    </w:p>
    <w:p>
      <w:pPr>
        <w:jc w:val="both"/>
        <w:ind w:right="260" w:firstLine="510"/>
        <w:spacing w:after="0" w:line="254"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 candidates. It may be necessary for us to use the patented or proprietary technology of a third party to commercialize our own technology or product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83"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product candidates. More established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59" w:name="page60"/>
    <w:bookmarkEnd w:id="59"/>
    <w:p>
      <w:pPr>
        <w:jc w:val="both"/>
        <w:ind w:right="480"/>
        <w:spacing w:after="0" w:line="258" w:lineRule="auto"/>
        <w:rPr>
          <w:sz w:val="20"/>
          <w:szCs w:val="20"/>
          <w:color w:val="auto"/>
        </w:rPr>
      </w:pPr>
      <w:r>
        <w:rPr>
          <w:rFonts w:ascii="Times New Roman" w:cs="Times New Roman" w:eastAsia="Times New Roman" w:hAnsi="Times New Roman"/>
          <w:sz w:val="18"/>
          <w:szCs w:val="18"/>
          <w:color w:val="auto"/>
        </w:rPr>
        <w:t>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we may seek to acquire.</w:t>
      </w:r>
    </w:p>
    <w:p>
      <w:pPr>
        <w:spacing w:after="0" w:line="28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59"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product candidates and future product candidates and use our proprietary technologies without infringing, misappropriating or otherwise violating the intellectual property and other proprietary rights of third parties.</w:t>
      </w:r>
    </w:p>
    <w:p>
      <w:pPr>
        <w:spacing w:after="0" w:line="179"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 xml:space="preserve">Numerous third-party U.S. and non-U.S. issued patents exist in the area of biotechnology, including in the area of CTMs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product candidates, future product candidates and technology, including interference, derivation,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 patent claims or other intellectual property rights held by them or that we are employing their proprietary technology without authorization.</w:t>
      </w:r>
    </w:p>
    <w:p>
      <w:pPr>
        <w:spacing w:after="0" w:line="190" w:lineRule="exact"/>
        <w:rPr>
          <w:sz w:val="20"/>
          <w:szCs w:val="20"/>
          <w:color w:val="auto"/>
        </w:rPr>
      </w:pPr>
    </w:p>
    <w:p>
      <w:pPr>
        <w:ind w:right="40" w:firstLine="510"/>
        <w:spacing w:after="0" w:line="247"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product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product candidates. For example, we are aware of a patent owned by a third party with a claim that covers many potential CTMs. This patent may be alleged to cover one or more of our CTM product candidates, including our NX-2127 product candidate. While we believe that we have valid defenses against any assertion of such patent against us, such defenses may be unsuccessful. If we are unsuccessful and any of our CTM product candidates is found to infringe this patent, we could be required to obtain a license to such patent or forced to permanently cease developing, manufacturing, marketing and commercializing the infringing CTM product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product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95" w:lineRule="exact"/>
        <w:rPr>
          <w:sz w:val="20"/>
          <w:szCs w:val="20"/>
          <w:color w:val="auto"/>
        </w:rPr>
      </w:pPr>
    </w:p>
    <w:p>
      <w:pPr>
        <w:ind w:right="60" w:firstLine="510"/>
        <w:spacing w:after="0" w:line="250"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product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9"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product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product candidates or future product candidates or force us to cease some of our business operations, which could materially harm our business. Alternatively, we may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60" w:name="page61"/>
    <w:bookmarkEnd w:id="60"/>
    <w:p>
      <w:pPr>
        <w:ind w:right="240"/>
        <w:spacing w:after="0" w:line="251" w:lineRule="auto"/>
        <w:rPr>
          <w:sz w:val="20"/>
          <w:szCs w:val="20"/>
          <w:color w:val="auto"/>
        </w:rPr>
      </w:pPr>
      <w:r>
        <w:rPr>
          <w:rFonts w:ascii="Times New Roman" w:cs="Times New Roman" w:eastAsia="Times New Roman" w:hAnsi="Times New Roman"/>
          <w:sz w:val="18"/>
          <w:szCs w:val="18"/>
          <w:color w:val="auto"/>
        </w:rPr>
        <w:t>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188" w:lineRule="exact"/>
        <w:rPr>
          <w:sz w:val="20"/>
          <w:szCs w:val="20"/>
          <w:color w:val="auto"/>
        </w:rPr>
      </w:pPr>
    </w:p>
    <w:p>
      <w:pPr>
        <w:ind w:right="20" w:firstLine="510"/>
        <w:spacing w:after="0" w:line="264" w:lineRule="auto"/>
        <w:rPr>
          <w:sz w:val="20"/>
          <w:szCs w:val="20"/>
          <w:color w:val="auto"/>
        </w:rPr>
      </w:pPr>
      <w:r>
        <w:rPr>
          <w:rFonts w:ascii="Times New Roman" w:cs="Times New Roman" w:eastAsia="Times New Roman" w:hAnsi="Times New Roman"/>
          <w:sz w:val="17"/>
          <w:szCs w:val="17"/>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product candidates or future products. If a patent holder believes the manufacture, use, sale, offer for sale or importation of one of our product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176" w:lineRule="exact"/>
        <w:rPr>
          <w:sz w:val="20"/>
          <w:szCs w:val="20"/>
          <w:color w:val="auto"/>
        </w:rPr>
      </w:pPr>
    </w:p>
    <w:p>
      <w:pPr>
        <w:ind w:right="60" w:firstLine="510"/>
        <w:spacing w:after="0" w:line="249"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product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191" w:lineRule="exact"/>
        <w:rPr>
          <w:sz w:val="20"/>
          <w:szCs w:val="20"/>
          <w:color w:val="auto"/>
        </w:rPr>
      </w:pPr>
    </w:p>
    <w:p>
      <w:pPr>
        <w:ind w:right="20" w:firstLine="510"/>
        <w:spacing w:after="0" w:line="249"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future product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product candidates or technology did not infringe any such claims.</w:t>
      </w:r>
    </w:p>
    <w:p>
      <w:pPr>
        <w:spacing w:after="0" w:line="191" w:lineRule="exact"/>
        <w:rPr>
          <w:sz w:val="20"/>
          <w:szCs w:val="20"/>
          <w:color w:val="auto"/>
        </w:rPr>
      </w:pPr>
    </w:p>
    <w:p>
      <w:pPr>
        <w:ind w:firstLine="510"/>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development efforts, adversely affect our ability to raise additional funds, and could limit our ability to continue our operations. Any of the foregoing could have a material adverse effect on our business.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1" w:name="page62"/>
    <w:bookmarkEnd w:id="61"/>
    <w:p>
      <w:pPr>
        <w:ind w:right="320"/>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35" w:lineRule="exact"/>
        <w:rPr>
          <w:sz w:val="20"/>
          <w:szCs w:val="20"/>
          <w:color w:val="auto"/>
        </w:rPr>
      </w:pPr>
    </w:p>
    <w:p>
      <w:pPr>
        <w:ind w:right="40" w:firstLine="510"/>
        <w:spacing w:after="0" w:line="247"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195" w:lineRule="exact"/>
        <w:rPr>
          <w:sz w:val="20"/>
          <w:szCs w:val="20"/>
          <w:color w:val="auto"/>
        </w:rPr>
      </w:pPr>
    </w:p>
    <w:p>
      <w:pPr>
        <w:ind w:right="20" w:firstLine="510"/>
        <w:spacing w:after="0" w:line="263" w:lineRule="auto"/>
        <w:rPr>
          <w:sz w:val="20"/>
          <w:szCs w:val="20"/>
          <w:color w:val="auto"/>
        </w:rPr>
      </w:pPr>
      <w:r>
        <w:rPr>
          <w:rFonts w:ascii="Times New Roman" w:cs="Times New Roman" w:eastAsia="Times New Roman" w:hAnsi="Times New Roman"/>
          <w:sz w:val="17"/>
          <w:szCs w:val="17"/>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have a material adverse effect on our business, financial condition, results of operations and prospects.</w:t>
      </w:r>
    </w:p>
    <w:p>
      <w:pPr>
        <w:spacing w:after="0" w:line="2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9" w:lineRule="exact"/>
        <w:rPr>
          <w:sz w:val="20"/>
          <w:szCs w:val="20"/>
          <w:color w:val="auto"/>
        </w:rPr>
      </w:pPr>
    </w:p>
    <w:p>
      <w:pPr>
        <w:ind w:right="80" w:firstLine="510"/>
        <w:spacing w:after="0" w:line="247"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62" w:name="page63"/>
    <w:bookmarkEnd w:id="62"/>
    <w:p>
      <w:pPr>
        <w:ind w:right="40"/>
        <w:spacing w:after="0" w:line="271" w:lineRule="auto"/>
        <w:rPr>
          <w:sz w:val="20"/>
          <w:szCs w:val="20"/>
          <w:color w:val="auto"/>
        </w:rPr>
      </w:pPr>
      <w:r>
        <w:rPr>
          <w:rFonts w:ascii="Times New Roman" w:cs="Times New Roman" w:eastAsia="Times New Roman" w:hAnsi="Times New Roman"/>
          <w:sz w:val="18"/>
          <w:szCs w:val="18"/>
          <w:color w:val="auto"/>
        </w:rPr>
        <w:t>protection on our product candidates. An adverse result in any litigation or proceeding involving our patents or patent applications may put one or more of our patents at risk of being invalidated, held unenforceable or interpreted narrowly.</w:t>
      </w:r>
    </w:p>
    <w:p>
      <w:pPr>
        <w:spacing w:after="0" w:line="168" w:lineRule="exact"/>
        <w:rPr>
          <w:sz w:val="20"/>
          <w:szCs w:val="20"/>
          <w:color w:val="auto"/>
        </w:rPr>
      </w:pPr>
    </w:p>
    <w:p>
      <w:pPr>
        <w:ind w:right="40" w:firstLine="510"/>
        <w:spacing w:after="0" w:line="264" w:lineRule="auto"/>
        <w:rPr>
          <w:sz w:val="20"/>
          <w:szCs w:val="20"/>
          <w:color w:val="auto"/>
        </w:rPr>
      </w:pPr>
      <w:r>
        <w:rPr>
          <w:rFonts w:ascii="Times New Roman" w:cs="Times New Roman" w:eastAsia="Times New Roman" w:hAnsi="Times New Roman"/>
          <w:sz w:val="17"/>
          <w:szCs w:val="17"/>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15" w:lineRule="exact"/>
        <w:rPr>
          <w:sz w:val="20"/>
          <w:szCs w:val="20"/>
          <w:color w:val="auto"/>
        </w:rPr>
      </w:pPr>
    </w:p>
    <w:p>
      <w:pPr>
        <w:ind w:right="40" w:firstLine="510"/>
        <w:spacing w:after="0" w:line="248"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product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0" w:lineRule="exact"/>
        <w:rPr>
          <w:sz w:val="20"/>
          <w:szCs w:val="20"/>
          <w:color w:val="auto"/>
        </w:rPr>
      </w:pPr>
    </w:p>
    <w:p>
      <w:pPr>
        <w:ind w:right="40" w:firstLine="510"/>
        <w:spacing w:after="0" w:line="24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284" w:lineRule="exact"/>
        <w:rPr>
          <w:sz w:val="20"/>
          <w:szCs w:val="20"/>
          <w:color w:val="auto"/>
        </w:rPr>
      </w:pPr>
    </w:p>
    <w:p>
      <w:pPr>
        <w:ind w:right="380"/>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35"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governmental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439" w:right="359" w:bottom="1440" w:gutter="0" w:footer="0" w:header="0"/>
        </w:sectPr>
      </w:pPr>
    </w:p>
    <w:bookmarkStart w:id="63" w:name="page64"/>
    <w:bookmarkEnd w:id="63"/>
    <w:p>
      <w:pPr>
        <w:spacing w:after="0" w:line="271" w:lineRule="auto"/>
        <w:rPr>
          <w:sz w:val="20"/>
          <w:szCs w:val="20"/>
          <w:color w:val="auto"/>
        </w:rPr>
      </w:pPr>
      <w:r>
        <w:rPr>
          <w:rFonts w:ascii="Times New Roman" w:cs="Times New Roman" w:eastAsia="Times New Roman" w:hAnsi="Times New Roman"/>
          <w:sz w:val="18"/>
          <w:szCs w:val="18"/>
          <w:color w:val="auto"/>
        </w:rPr>
        <w:t>formal documents. In such an event, our competitors or other third parties might be able to enter the market, which would have a material adverse effect on our business.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15"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product candidates and technology.</w:t>
      </w:r>
    </w:p>
    <w:p>
      <w:pPr>
        <w:spacing w:after="0" w:line="188"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83"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5" w:lineRule="exact"/>
        <w:rPr>
          <w:sz w:val="20"/>
          <w:szCs w:val="20"/>
          <w:color w:val="auto"/>
        </w:rPr>
      </w:pPr>
    </w:p>
    <w:p>
      <w:pPr>
        <w:ind w:right="260" w:firstLine="510"/>
        <w:spacing w:after="0" w:line="27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20" w:right="340" w:hanging="511"/>
        <w:spacing w:after="0" w:line="27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we may develop or utilize similar technology but that are not covered by the claims of the patents that we own or license now or in the future;</w:t>
      </w:r>
    </w:p>
    <w:p>
      <w:pPr>
        <w:spacing w:after="0" w:line="61" w:lineRule="exact"/>
        <w:rPr>
          <w:rFonts w:ascii="Times New Roman" w:cs="Times New Roman" w:eastAsia="Times New Roman" w:hAnsi="Times New Roman"/>
          <w:sz w:val="18"/>
          <w:szCs w:val="18"/>
          <w:color w:val="auto"/>
        </w:rPr>
      </w:pPr>
    </w:p>
    <w:p>
      <w:pPr>
        <w:ind w:left="1020" w:right="20" w:hanging="511"/>
        <w:spacing w:after="0" w:line="27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61" w:lineRule="exact"/>
        <w:rPr>
          <w:rFonts w:ascii="Times New Roman" w:cs="Times New Roman" w:eastAsia="Times New Roman" w:hAnsi="Times New Roman"/>
          <w:sz w:val="18"/>
          <w:szCs w:val="18"/>
          <w:color w:val="auto"/>
        </w:rPr>
      </w:pPr>
    </w:p>
    <w:p>
      <w:pPr>
        <w:ind w:left="1020" w:right="220" w:hanging="511"/>
        <w:spacing w:after="0" w:line="27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61" w:lineRule="exact"/>
        <w:rPr>
          <w:rFonts w:ascii="Times New Roman" w:cs="Times New Roman" w:eastAsia="Times New Roman" w:hAnsi="Times New Roman"/>
          <w:sz w:val="18"/>
          <w:szCs w:val="18"/>
          <w:color w:val="auto"/>
        </w:rPr>
      </w:pPr>
    </w:p>
    <w:p>
      <w:pPr>
        <w:ind w:left="1020" w:right="460" w:hanging="511"/>
        <w:spacing w:after="0" w:line="27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10" w:lineRule="exact"/>
        <w:rPr>
          <w:rFonts w:ascii="Times New Roman" w:cs="Times New Roman" w:eastAsia="Times New Roman" w:hAnsi="Times New Roman"/>
          <w:sz w:val="18"/>
          <w:szCs w:val="18"/>
          <w:color w:val="auto"/>
        </w:rPr>
      </w:pPr>
    </w:p>
    <w:p>
      <w:pPr>
        <w:ind w:left="1020" w:right="400" w:hanging="511"/>
        <w:spacing w:after="0" w:line="27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61" w:lineRule="exact"/>
        <w:rPr>
          <w:rFonts w:ascii="Times New Roman" w:cs="Times New Roman" w:eastAsia="Times New Roman" w:hAnsi="Times New Roman"/>
          <w:sz w:val="18"/>
          <w:szCs w:val="18"/>
          <w:color w:val="auto"/>
        </w:rPr>
      </w:pPr>
    </w:p>
    <w:p>
      <w:pPr>
        <w:ind w:left="1020" w:right="40" w:hanging="511"/>
        <w:spacing w:after="0" w:line="27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0" w:lineRule="exact"/>
        <w:rPr>
          <w:rFonts w:ascii="Times New Roman" w:cs="Times New Roman" w:eastAsia="Times New Roman" w:hAnsi="Times New Roman"/>
          <w:sz w:val="18"/>
          <w:szCs w:val="18"/>
          <w:color w:val="auto"/>
        </w:rPr>
      </w:pPr>
    </w:p>
    <w:p>
      <w:pPr>
        <w:ind w:left="1020" w:right="520" w:hanging="511"/>
        <w:spacing w:after="0" w:line="27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4" w:name="page65"/>
    <w:bookmarkEnd w:id="64"/>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product candidates</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is lengthy, time-consuming and inherently unpredictable, and if we are ultimately unable to obtain marketing approval for our product candidates, our business will be substantially harmed.</w:t>
      </w:r>
    </w:p>
    <w:p>
      <w:pPr>
        <w:spacing w:after="0" w:line="59" w:lineRule="exact"/>
        <w:rPr>
          <w:sz w:val="20"/>
          <w:szCs w:val="20"/>
          <w:color w:val="auto"/>
        </w:rPr>
      </w:pPr>
    </w:p>
    <w:p>
      <w:pPr>
        <w:ind w:right="260" w:firstLine="510"/>
        <w:spacing w:after="0" w:line="251" w:lineRule="auto"/>
        <w:rPr>
          <w:sz w:val="20"/>
          <w:szCs w:val="20"/>
          <w:color w:val="auto"/>
        </w:rPr>
      </w:pPr>
      <w:r>
        <w:rPr>
          <w:rFonts w:ascii="Times New Roman" w:cs="Times New Roman" w:eastAsia="Times New Roman" w:hAnsi="Times New Roman"/>
          <w:sz w:val="18"/>
          <w:szCs w:val="18"/>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will ever obtain marketing approval.</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be delayed or fail to receive marketing approval for many reasons, including the following:</w:t>
      </w:r>
    </w:p>
    <w:p>
      <w:pPr>
        <w:spacing w:after="0" w:line="111" w:lineRule="exact"/>
        <w:rPr>
          <w:sz w:val="20"/>
          <w:szCs w:val="20"/>
          <w:color w:val="auto"/>
        </w:rPr>
      </w:pPr>
    </w:p>
    <w:p>
      <w:pPr>
        <w:ind w:left="1020" w:hanging="51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110" w:lineRule="exact"/>
        <w:rPr>
          <w:rFonts w:ascii="Times New Roman" w:cs="Times New Roman" w:eastAsia="Times New Roman" w:hAnsi="Times New Roman"/>
          <w:sz w:val="18"/>
          <w:szCs w:val="18"/>
          <w:color w:val="auto"/>
        </w:rPr>
      </w:pPr>
    </w:p>
    <w:p>
      <w:pPr>
        <w:ind w:left="1020" w:right="60" w:hanging="511"/>
        <w:spacing w:after="0" w:line="27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product candidates may not be sufficient to support the submission of a new drug application (NDA) to the FDA or other submissions necessary to obtain marketing approval in the United States;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product candidate is safe and effective for its proposed indication;</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10" w:lineRule="exact"/>
        <w:rPr>
          <w:rFonts w:ascii="Times New Roman" w:cs="Times New Roman" w:eastAsia="Times New Roman" w:hAnsi="Times New Roman"/>
          <w:sz w:val="18"/>
          <w:szCs w:val="18"/>
          <w:color w:val="auto"/>
        </w:rPr>
      </w:pPr>
    </w:p>
    <w:p>
      <w:pPr>
        <w:ind w:left="1020" w:right="380" w:hanging="511"/>
        <w:spacing w:after="0" w:line="27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 a manner rendering our clinical data insufficient for approval.</w:t>
      </w:r>
    </w:p>
    <w:p>
      <w:pPr>
        <w:spacing w:after="0" w:line="217" w:lineRule="exact"/>
        <w:rPr>
          <w:sz w:val="20"/>
          <w:szCs w:val="20"/>
          <w:color w:val="auto"/>
        </w:rPr>
      </w:pPr>
    </w:p>
    <w:p>
      <w:pPr>
        <w:jc w:val="both"/>
        <w:ind w:right="240" w:firstLine="510"/>
        <w:spacing w:after="0" w:line="267"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financial condition and prospects. The FDA has substantial discretion in the approval process, and in determining when or whether regulatory approval will be obtained for any of our product candidates.</w:t>
      </w:r>
    </w:p>
    <w:p>
      <w:pPr>
        <w:ind w:right="220"/>
        <w:spacing w:after="0" w:line="251" w:lineRule="auto"/>
        <w:rPr>
          <w:sz w:val="20"/>
          <w:szCs w:val="20"/>
          <w:color w:val="auto"/>
        </w:rPr>
      </w:pPr>
      <w:r>
        <w:rPr>
          <w:rFonts w:ascii="Times New Roman" w:cs="Times New Roman" w:eastAsia="Times New Roman" w:hAnsi="Times New Roman"/>
          <w:sz w:val="18"/>
          <w:szCs w:val="18"/>
          <w:color w:val="auto"/>
        </w:rPr>
        <w:t>Even if we believe the data collected from clinical trials of our product candidates are promising, such data may not be sufficient to support approval by the FDA.</w:t>
      </w:r>
    </w:p>
    <w:p>
      <w:pPr>
        <w:spacing w:after="0" w:line="185"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or they may impose significant limitations in the form of narrow indications, warnings or Risk Evaluation and Mitigation Strategies.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91"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as a company, do not have experience in filing for and obtaining regulatory approval to initiate a clinical trial or in manufacturing or in quality assurance in order to market a new drug in the United States or in any other jurisdiction.</w:t>
      </w:r>
    </w:p>
    <w:p>
      <w:pPr>
        <w:spacing w:after="0" w:line="59"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As a company, we do not have experience in filing for or obtaining regulatory approval to initiate clinical trials or in manufacturing or in quality assurance in order to market a new drug and expect to rely on third-party clinical research organizations or other third-party consultants or vendors to assist us in this process. Our inexperience may result in failure to or delays in obtaining the required regulatory approvals to initiate clinical trials and to obtain marketing approval for our product candidates. If we are unable to obtain regulatory and marketing approval for our product candidates, or experience significant delays in our efforts to do so, our business could be substantially harmed.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00"/>
          </w:cols>
          <w:pgMar w:left="320" w:top="545" w:right="379" w:bottom="1440" w:gutter="0" w:footer="0" w:header="0"/>
        </w:sectPr>
      </w:pPr>
    </w:p>
    <w:bookmarkStart w:id="65" w:name="page66"/>
    <w:bookmarkEnd w:id="65"/>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 and may limit our ability to generate revenue from product sales.</w:t>
      </w:r>
    </w:p>
    <w:p>
      <w:pPr>
        <w:spacing w:after="0" w:line="59" w:lineRule="exact"/>
        <w:rPr>
          <w:sz w:val="20"/>
          <w:szCs w:val="20"/>
          <w:color w:val="auto"/>
        </w:rPr>
      </w:pPr>
    </w:p>
    <w:p>
      <w:pPr>
        <w:ind w:right="20" w:firstLine="510"/>
        <w:spacing w:after="0" w:line="264" w:lineRule="auto"/>
        <w:rPr>
          <w:sz w:val="20"/>
          <w:szCs w:val="20"/>
          <w:color w:val="auto"/>
        </w:rPr>
      </w:pPr>
      <w:r>
        <w:rPr>
          <w:rFonts w:ascii="Times New Roman" w:cs="Times New Roman" w:eastAsia="Times New Roman" w:hAnsi="Times New Roman"/>
          <w:sz w:val="17"/>
          <w:szCs w:val="17"/>
          <w:color w:val="auto"/>
        </w:rPr>
        <w:t>To market and sell our product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or non-compliance with foreign regulatory requirements could result in significant delays, difficulties and costs for us and could delay or prevent the introduction of our product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192" w:lineRule="exact"/>
        <w:rPr>
          <w:sz w:val="20"/>
          <w:szCs w:val="20"/>
          <w:color w:val="auto"/>
        </w:rPr>
      </w:pPr>
    </w:p>
    <w:p>
      <w:pPr>
        <w:ind w:right="220" w:firstLine="510"/>
        <w:spacing w:after="0" w:line="254" w:lineRule="auto"/>
        <w:rPr>
          <w:sz w:val="20"/>
          <w:szCs w:val="20"/>
          <w:color w:val="auto"/>
        </w:rPr>
      </w:pPr>
      <w:r>
        <w:rPr>
          <w:rFonts w:ascii="Times New Roman" w:cs="Times New Roman" w:eastAsia="Times New Roman" w:hAnsi="Times New Roman"/>
          <w:sz w:val="18"/>
          <w:szCs w:val="18"/>
          <w:color w:val="auto"/>
        </w:rPr>
        <w:t>The United Kingdom’s recent exit from the European Union (EU), commonly referred to as “Brexit,” continues to create political and economic uncertainty, particularly in the United Kingdom and the EU. Because a significant proportion of the regulatory framework in the United Kingdom is derived from EU directives and regulations, the withdrawal of the United Kingdom from the EU could materially impact the regulatory regime with respect to the approval of our product candidates in the United Kingdom or the EU.</w:t>
      </w:r>
    </w:p>
    <w:p>
      <w:pPr>
        <w:spacing w:after="0" w:line="183"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thus receive applicable marketing approvals, our target market will be reduced,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product candidates, the terms of approvals and ongoing regulation of our products may limit how we, or they, manufacture and market our products, which could materially impair our ability to generate revenue.</w:t>
      </w:r>
    </w:p>
    <w:p>
      <w:pPr>
        <w:spacing w:after="0" w:line="59" w:lineRule="exact"/>
        <w:rPr>
          <w:sz w:val="20"/>
          <w:szCs w:val="20"/>
          <w:color w:val="auto"/>
        </w:rPr>
      </w:pPr>
    </w:p>
    <w:p>
      <w:pPr>
        <w:ind w:right="220" w:firstLine="510"/>
        <w:spacing w:after="0" w:line="251"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188"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16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product candidates, we, any collaborators, and our respective third-party manufacturers will continue to expend time, money and effort in all areas of regulatory compliance, including manufacturing, production, product surveillance and quality control.</w:t>
      </w:r>
    </w:p>
    <w:p>
      <w:pPr>
        <w:spacing w:after="0" w:line="179"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66" w:name="page67"/>
    <w:bookmarkEnd w:id="66"/>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72"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Any product candidate for which we, or any collaborators, obtain marketing approval, as well as the manufacturing processes, post-approval clinical data, labeling, advertising and promotional activities for such product, will be subject to continual requirements of and review by the FDA, EMA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93"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risk evaluation and mitigation strategies. The FDA and other agencies, including the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88" w:lineRule="exact"/>
        <w:rPr>
          <w:sz w:val="20"/>
          <w:szCs w:val="20"/>
          <w:color w:val="auto"/>
        </w:rPr>
      </w:pPr>
    </w:p>
    <w:p>
      <w:pPr>
        <w:ind w:right="80" w:firstLine="510"/>
        <w:spacing w:after="0" w:line="271"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2" w:lineRule="exact"/>
        <w:rPr>
          <w:sz w:val="20"/>
          <w:szCs w:val="20"/>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217"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and with requirements related to the development of products for the pediatric population, also can result in significant financial penalties. Similarly, failure to comply with the European Union’s requirements regarding the protection of personal information can lead to significant penalties and sanctions.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7" w:name="page68"/>
    <w:bookmarkEnd w:id="67"/>
    <w:p>
      <w:pPr>
        <w:ind w:firstLine="510"/>
        <w:spacing w:after="0" w:line="249"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risk evaluation and mitigation strategy.</w:t>
      </w:r>
    </w:p>
    <w:p>
      <w:pPr>
        <w:spacing w:after="0" w:line="29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72"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Our future arrangements with third-party payors, physicians, and other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Restrictions under applicable U.S. federal and state healthcare laws and regulations include the following:</w:t>
      </w:r>
    </w:p>
    <w:p>
      <w:pPr>
        <w:spacing w:after="0" w:line="111" w:lineRule="exact"/>
        <w:rPr>
          <w:sz w:val="20"/>
          <w:szCs w:val="20"/>
          <w:color w:val="auto"/>
        </w:rPr>
      </w:pPr>
    </w:p>
    <w:p>
      <w:pPr>
        <w:ind w:left="1020" w:right="200" w:hanging="511"/>
        <w:spacing w:after="0" w:line="25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w:t>
      </w:r>
    </w:p>
    <w:p>
      <w:pPr>
        <w:spacing w:after="0" w:line="74" w:lineRule="exact"/>
        <w:rPr>
          <w:rFonts w:ascii="Times New Roman" w:cs="Times New Roman" w:eastAsia="Times New Roman" w:hAnsi="Times New Roman"/>
          <w:sz w:val="18"/>
          <w:szCs w:val="18"/>
          <w:color w:val="auto"/>
        </w:rPr>
      </w:pPr>
    </w:p>
    <w:p>
      <w:pPr>
        <w:ind w:left="1020" w:right="40" w:hanging="511"/>
        <w:spacing w:after="0" w:line="270"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federal civil False Claims Act, which may be enforced through civil whistleblower or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67" w:lineRule="exact"/>
        <w:rPr>
          <w:rFonts w:ascii="Times New Roman" w:cs="Times New Roman" w:eastAsia="Times New Roman" w:hAnsi="Times New Roman"/>
          <w:sz w:val="17"/>
          <w:szCs w:val="17"/>
          <w:color w:val="auto"/>
        </w:rPr>
      </w:pPr>
    </w:p>
    <w:p>
      <w:pPr>
        <w:ind w:left="1020" w:right="60" w:hanging="511"/>
        <w:spacing w:after="0" w:line="25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federal Health Insurance Portability and Accountability Act of 1996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76" w:lineRule="exact"/>
        <w:rPr>
          <w:rFonts w:ascii="Times New Roman" w:cs="Times New Roman" w:eastAsia="Times New Roman" w:hAnsi="Times New Roman"/>
          <w:sz w:val="18"/>
          <w:szCs w:val="18"/>
          <w:color w:val="auto"/>
        </w:rPr>
      </w:pPr>
    </w:p>
    <w:p>
      <w:pPr>
        <w:jc w:val="both"/>
        <w:ind w:left="1020" w:right="20" w:hanging="511"/>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also imposes obligations, including mandatory contractual terms, on certain types of people and entities with respect to safeguarding the privacy, security and transmission of individually identifiable health information;</w:t>
      </w:r>
    </w:p>
    <w:p>
      <w:pPr>
        <w:spacing w:after="0" w:line="73" w:lineRule="exact"/>
        <w:rPr>
          <w:rFonts w:ascii="Times New Roman" w:cs="Times New Roman" w:eastAsia="Times New Roman" w:hAnsi="Times New Roman"/>
          <w:sz w:val="18"/>
          <w:szCs w:val="18"/>
          <w:color w:val="auto"/>
        </w:rPr>
      </w:pPr>
    </w:p>
    <w:p>
      <w:pPr>
        <w:ind w:left="1020" w:right="80" w:hanging="511"/>
        <w:spacing w:after="0" w:line="27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among other things, strictly regulates drug marketing, prohibits manufacturers from marketing such products for off-label use and regulates the distribution of samples;</w:t>
      </w:r>
    </w:p>
    <w:p>
      <w:pPr>
        <w:spacing w:after="0" w:line="61" w:lineRule="exact"/>
        <w:rPr>
          <w:rFonts w:ascii="Times New Roman" w:cs="Times New Roman" w:eastAsia="Times New Roman" w:hAnsi="Times New Roman"/>
          <w:sz w:val="18"/>
          <w:szCs w:val="18"/>
          <w:color w:val="auto"/>
        </w:rPr>
      </w:pPr>
    </w:p>
    <w:p>
      <w:pPr>
        <w:jc w:val="both"/>
        <w:ind w:left="1020" w:right="300" w:hanging="511"/>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3" w:lineRule="exact"/>
        <w:rPr>
          <w:rFonts w:ascii="Times New Roman" w:cs="Times New Roman" w:eastAsia="Times New Roman" w:hAnsi="Times New Roman"/>
          <w:sz w:val="18"/>
          <w:szCs w:val="18"/>
          <w:color w:val="auto"/>
        </w:rPr>
      </w:pPr>
    </w:p>
    <w:p>
      <w:pPr>
        <w:ind w:left="1020" w:hanging="511"/>
        <w:spacing w:after="0" w:line="25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devices, biologics, and medical supplies for which payment is available under Medicare, Medicaid or the Children’s Health Insurance Program, with specific exceptions, to report payments and other transfers of value to physicians, teaching hospitals, and, beginning in 2022, physician assistants, nurse practitioners, clinical nurse specialists, certified nurse anesthetists and certified nurse-midwives as well as certain ownership and investment interests held by physicians and their immediate families, which includes annual data collection and reporting obligations; and</w:t>
      </w:r>
    </w:p>
    <w:p>
      <w:pPr>
        <w:spacing w:after="0" w:line="82" w:lineRule="exact"/>
        <w:rPr>
          <w:rFonts w:ascii="Times New Roman" w:cs="Times New Roman" w:eastAsia="Times New Roman" w:hAnsi="Times New Roman"/>
          <w:sz w:val="18"/>
          <w:szCs w:val="18"/>
          <w:color w:val="auto"/>
        </w:rPr>
      </w:pPr>
    </w:p>
    <w:p>
      <w:pPr>
        <w:ind w:left="1020" w:right="120" w:hanging="511"/>
        <w:spacing w:after="0" w:line="301"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45" w:lineRule="exact"/>
        <w:rPr>
          <w:sz w:val="20"/>
          <w:szCs w:val="20"/>
          <w:color w:val="auto"/>
        </w:rPr>
      </w:pPr>
    </w:p>
    <w:p>
      <w:pPr>
        <w:ind w:right="640" w:firstLine="510"/>
        <w:spacing w:after="0" w:line="271"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relevant compliance guidance promulgated by the federal government. State laws also require drug manufacturers to</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8" w:name="page69"/>
    <w:bookmarkEnd w:id="68"/>
    <w:p>
      <w:pPr>
        <w:ind w:right="40"/>
        <w:spacing w:after="0" w:line="258" w:lineRule="auto"/>
        <w:rPr>
          <w:sz w:val="20"/>
          <w:szCs w:val="20"/>
          <w:color w:val="auto"/>
        </w:rPr>
      </w:pPr>
      <w:r>
        <w:rPr>
          <w:rFonts w:ascii="Times New Roman" w:cs="Times New Roman" w:eastAsia="Times New Roman" w:hAnsi="Times New Roman"/>
          <w:sz w:val="18"/>
          <w:szCs w:val="18"/>
          <w:color w:val="auto"/>
        </w:rPr>
        <w:t>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79"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29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59" w:lineRule="exact"/>
        <w:rPr>
          <w:sz w:val="20"/>
          <w:szCs w:val="20"/>
          <w:color w:val="auto"/>
        </w:rPr>
      </w:pPr>
    </w:p>
    <w:p>
      <w:pPr>
        <w:ind w:firstLine="510"/>
        <w:spacing w:after="0" w:line="247" w:lineRule="auto"/>
        <w:rPr>
          <w:sz w:val="20"/>
          <w:szCs w:val="20"/>
          <w:color w:val="auto"/>
        </w:rPr>
      </w:pPr>
      <w:r>
        <w:rPr>
          <w:rFonts w:ascii="Times New Roman" w:cs="Times New Roman" w:eastAsia="Times New Roman" w:hAnsi="Times New Roman"/>
          <w:sz w:val="18"/>
          <w:szCs w:val="18"/>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9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5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88"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8"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To date, there have been several recent U.S. congressional inquiries and proposed and enacted state and federal legislation designed to, among other things, bring more transparency to drug pricing, review the relationship between pricing and manufacturer patient support programs, reduce the costs of drugs under Medicare and reform government program reimbursement methodologies for drug products. Although any proposed measures will require authorization through additional legislation to become effective, Congress and the Trump Administration have indicated that they will continue to seek new legislative and/or administrative measures to control drug costs.</w:t>
      </w:r>
    </w:p>
    <w:p>
      <w:pPr>
        <w:spacing w:after="0" w:line="18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9" w:name="page70"/>
    <w:bookmarkEnd w:id="69"/>
    <w:p>
      <w:pPr>
        <w:ind w:right="60"/>
        <w:spacing w:after="0" w:line="254" w:lineRule="auto"/>
        <w:rPr>
          <w:sz w:val="20"/>
          <w:szCs w:val="20"/>
          <w:color w:val="auto"/>
        </w:rPr>
      </w:pPr>
      <w:r>
        <w:rPr>
          <w:rFonts w:ascii="Times New Roman" w:cs="Times New Roman" w:eastAsia="Times New Roman" w:hAnsi="Times New Roman"/>
          <w:sz w:val="18"/>
          <w:szCs w:val="18"/>
          <w:color w:val="auto"/>
        </w:rPr>
        <w:t>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3" w:lineRule="exact"/>
        <w:rPr>
          <w:sz w:val="20"/>
          <w:szCs w:val="20"/>
          <w:color w:val="auto"/>
        </w:rPr>
      </w:pPr>
    </w:p>
    <w:p>
      <w:pPr>
        <w:ind w:right="200" w:firstLine="510"/>
        <w:spacing w:after="0" w:line="251"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15" w:lineRule="exact"/>
        <w:rPr>
          <w:sz w:val="20"/>
          <w:szCs w:val="20"/>
          <w:color w:val="auto"/>
        </w:rPr>
      </w:pPr>
    </w:p>
    <w:p>
      <w:pPr>
        <w:ind w:right="100" w:firstLine="510"/>
        <w:spacing w:after="0" w:line="251"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If reimbursement of our drugs is unavailable or limited in scope or amount, or if pricing is set at unsatisfactory levels, our business could be materially harmed.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outbreak of COVID-19 may adversely affect our business and the market price of our common stock.</w:t>
      </w:r>
    </w:p>
    <w:p>
      <w:pPr>
        <w:spacing w:after="0" w:line="115" w:lineRule="exact"/>
        <w:rPr>
          <w:sz w:val="20"/>
          <w:szCs w:val="20"/>
          <w:color w:val="auto"/>
        </w:rPr>
      </w:pPr>
    </w:p>
    <w:p>
      <w:pPr>
        <w:ind w:firstLine="510"/>
        <w:spacing w:after="0" w:line="263" w:lineRule="auto"/>
        <w:rPr>
          <w:sz w:val="20"/>
          <w:szCs w:val="20"/>
          <w:color w:val="auto"/>
        </w:rPr>
      </w:pPr>
      <w:r>
        <w:rPr>
          <w:rFonts w:ascii="Times New Roman" w:cs="Times New Roman" w:eastAsia="Times New Roman" w:hAnsi="Times New Roman"/>
          <w:sz w:val="17"/>
          <w:szCs w:val="17"/>
          <w:color w:val="auto"/>
        </w:rPr>
        <w:t>The recent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product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The COVID-19 outbreak and mitigation measures also may have an adverse impact on global economic conditions, which could adversely impact our business, financial condition or results of operations. Additionally, the COVID-19 outbreak has resulted in significant financial market volatility and uncertainty. A continuation or worsening of the levels of market disruption and volatility seen in the recent past as a result of the COVID-19 outbreak could have an adverse effect on our ability to access capital and on the market price of our common stock. It is currently not possible to predict how long the COVID-19 outbreak will last or the time that it will take for economic activity to return to prior levels. The extent to which the COVID-19 outbreak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27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59" w:lineRule="exact"/>
        <w:rPr>
          <w:sz w:val="20"/>
          <w:szCs w:val="20"/>
          <w:color w:val="auto"/>
        </w:rPr>
      </w:pPr>
    </w:p>
    <w:p>
      <w:pPr>
        <w:ind w:right="80" w:firstLine="510"/>
        <w:spacing w:after="0" w:line="249" w:lineRule="auto"/>
        <w:rPr>
          <w:sz w:val="20"/>
          <w:szCs w:val="20"/>
          <w:color w:val="auto"/>
        </w:rPr>
      </w:pPr>
      <w:r>
        <w:rPr>
          <w:rFonts w:ascii="Times New Roman" w:cs="Times New Roman" w:eastAsia="Times New Roman" w:hAnsi="Times New Roman"/>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our Chief Scientific Officer, Gwenn Hansen, Ph.D. The loss of the services of Drs. Sands and Hansen or other members of our senior leadership team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88" w:lineRule="exact"/>
        <w:rPr>
          <w:sz w:val="20"/>
          <w:szCs w:val="20"/>
          <w:color w:val="auto"/>
        </w:rPr>
      </w:pPr>
    </w:p>
    <w:p>
      <w:pPr>
        <w:jc w:val="both"/>
        <w:ind w:right="200" w:firstLine="510"/>
        <w:spacing w:after="0" w:line="258"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that vest over time. The value to employees of stock options that vest over time will be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0" w:name="page71"/>
    <w:bookmarkEnd w:id="70"/>
    <w:p>
      <w:pPr>
        <w:ind w:right="640"/>
        <w:spacing w:after="0" w:line="271" w:lineRule="auto"/>
        <w:rPr>
          <w:sz w:val="20"/>
          <w:szCs w:val="20"/>
          <w:color w:val="auto"/>
        </w:rPr>
      </w:pPr>
      <w:r>
        <w:rPr>
          <w:rFonts w:ascii="Times New Roman" w:cs="Times New Roman" w:eastAsia="Times New Roman" w:hAnsi="Times New Roman"/>
          <w:sz w:val="18"/>
          <w:szCs w:val="18"/>
          <w:color w:val="auto"/>
        </w:rPr>
        <w:t>significantly affected by movements in our stock price that are beyond our control, and may at any time be insufficient to counteract offers from other companies.</w:t>
      </w:r>
    </w:p>
    <w:p>
      <w:pPr>
        <w:spacing w:after="0" w:line="168" w:lineRule="exact"/>
        <w:rPr>
          <w:sz w:val="20"/>
          <w:szCs w:val="20"/>
          <w:color w:val="auto"/>
        </w:rPr>
      </w:pPr>
    </w:p>
    <w:p>
      <w:pPr>
        <w:ind w:right="100" w:firstLine="510"/>
        <w:spacing w:after="0" w:line="249"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91" w:lineRule="exact"/>
        <w:rPr>
          <w:sz w:val="20"/>
          <w:szCs w:val="20"/>
          <w:color w:val="auto"/>
        </w:rPr>
      </w:pPr>
    </w:p>
    <w:p>
      <w:pPr>
        <w:ind w:right="280" w:firstLine="510"/>
        <w:spacing w:after="0" w:line="280" w:lineRule="auto"/>
        <w:rPr>
          <w:sz w:val="20"/>
          <w:szCs w:val="20"/>
          <w:color w:val="auto"/>
        </w:rPr>
      </w:pPr>
      <w:r>
        <w:rPr>
          <w:rFonts w:ascii="Times New Roman" w:cs="Times New Roman" w:eastAsia="Times New Roman" w:hAnsi="Times New Roman"/>
          <w:sz w:val="17"/>
          <w:szCs w:val="17"/>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15"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As of August 31, 2020, we had 122 full-time employees. As our development and commercialization plans and strategies develop, and as we transition into operating as a public company, we expect to expand our employee base for managerial, operational, financial and other resources. In addition, we have limited experience in product development and expect to file an IND with the FDA for our first clinical trial for our first product candidate in late fourth quarter of 2020 or the first quarter of 2021. As our product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2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9" w:lineRule="exact"/>
        <w:rPr>
          <w:sz w:val="20"/>
          <w:szCs w:val="20"/>
          <w:color w:val="auto"/>
        </w:rPr>
      </w:pPr>
    </w:p>
    <w:p>
      <w:pPr>
        <w:ind w:right="640" w:firstLine="510"/>
        <w:spacing w:after="0" w:line="27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2" w:lineRule="exact"/>
        <w:rPr>
          <w:sz w:val="20"/>
          <w:szCs w:val="20"/>
          <w:color w:val="auto"/>
        </w:rPr>
      </w:pPr>
    </w:p>
    <w:p>
      <w:pPr>
        <w:ind w:left="1020" w:right="80" w:hanging="511"/>
        <w:spacing w:after="0" w:line="27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217"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71" w:name="page72"/>
    <w:bookmarkEnd w:id="71"/>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7" w:lineRule="exact"/>
        <w:rPr>
          <w:sz w:val="20"/>
          <w:szCs w:val="20"/>
          <w:color w:val="auto"/>
        </w:rPr>
      </w:pPr>
    </w:p>
    <w:p>
      <w:pPr>
        <w:ind w:right="20" w:firstLine="510"/>
        <w:spacing w:after="0" w:line="249"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188" w:lineRule="exact"/>
        <w:rPr>
          <w:sz w:val="20"/>
          <w:szCs w:val="20"/>
          <w:color w:val="auto"/>
        </w:rPr>
      </w:pPr>
    </w:p>
    <w:p>
      <w:pPr>
        <w:ind w:right="180" w:firstLine="510"/>
        <w:spacing w:after="0" w:line="249"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191" w:lineRule="exact"/>
        <w:rPr>
          <w:sz w:val="20"/>
          <w:szCs w:val="20"/>
          <w:color w:val="auto"/>
        </w:rPr>
      </w:pPr>
    </w:p>
    <w:p>
      <w:pPr>
        <w:ind w:right="40" w:firstLine="510"/>
        <w:spacing w:after="0" w:line="263" w:lineRule="auto"/>
        <w:rPr>
          <w:sz w:val="20"/>
          <w:szCs w:val="20"/>
          <w:color w:val="auto"/>
        </w:rPr>
      </w:pPr>
      <w:r>
        <w:rPr>
          <w:rFonts w:ascii="Times New Roman" w:cs="Times New Roman" w:eastAsia="Times New Roman" w:hAnsi="Times New Roman"/>
          <w:sz w:val="17"/>
          <w:szCs w:val="17"/>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product candidates could be delayed. The costs to us to mitigate network security problems, bugs, viruses, 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77" w:lineRule="exact"/>
        <w:rPr>
          <w:sz w:val="20"/>
          <w:szCs w:val="20"/>
          <w:color w:val="auto"/>
        </w:rPr>
      </w:pPr>
    </w:p>
    <w:p>
      <w:pPr>
        <w:ind w:firstLine="510"/>
        <w:spacing w:after="0" w:line="263" w:lineRule="auto"/>
        <w:rPr>
          <w:sz w:val="20"/>
          <w:szCs w:val="20"/>
          <w:color w:val="auto"/>
        </w:rPr>
      </w:pPr>
      <w:r>
        <w:rPr>
          <w:rFonts w:ascii="Times New Roman" w:cs="Times New Roman" w:eastAsia="Times New Roman" w:hAnsi="Times New Roman"/>
          <w:sz w:val="17"/>
          <w:szCs w:val="17"/>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and cause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which could result in significant legal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financial exposure and reputational damages that could have a material adverse effect on our business, results of operations, prospects and financial condition.</w:t>
      </w:r>
    </w:p>
    <w:p>
      <w:pPr>
        <w:spacing w:after="0" w:line="3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72"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7"/>
          <w:szCs w:val="17"/>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77" w:lineRule="exact"/>
        <w:rPr>
          <w:sz w:val="20"/>
          <w:szCs w:val="20"/>
          <w:color w:val="auto"/>
        </w:rPr>
      </w:pPr>
    </w:p>
    <w:p>
      <w:pPr>
        <w:ind w:firstLine="510"/>
        <w:spacing w:after="0" w:line="263" w:lineRule="auto"/>
        <w:rPr>
          <w:sz w:val="20"/>
          <w:szCs w:val="20"/>
          <w:color w:val="auto"/>
        </w:rPr>
      </w:pPr>
      <w:r>
        <w:rPr>
          <w:rFonts w:ascii="Times New Roman" w:cs="Times New Roman" w:eastAsia="Times New Roman" w:hAnsi="Times New Roman"/>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Further, if we fail to comply with applicable privacy laws, including applicable HIPAA privacy and security standards, we could face civil and criminal penalties. The U.S. Department of Health and Human Services (HHS) has the discretion to impose penalties without attempting to first resolve violations.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77" w:lineRule="exact"/>
        <w:rPr>
          <w:sz w:val="20"/>
          <w:szCs w:val="20"/>
          <w:color w:val="auto"/>
        </w:rPr>
      </w:pPr>
    </w:p>
    <w:p>
      <w:pPr>
        <w:ind w:right="40" w:firstLine="510"/>
        <w:spacing w:after="0" w:line="247"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in June 2018 the State of California enacted the California Consumer Privacy Act of 2018 (the CCPA), which went into effect on January 1, 2020 and requires companies that process information on California residents to make new disclosures to consumers about their data collection, use and sharing practices, allow consumers to opt out of certain data sharing with third parties and provide a new cause of action for data breaches. Moreover, although the CCPA includes limited exceptions from its prescriptions, including exceptions for personal health information collected by covered entities or business associates subject to HIPAA, among others, the CCPA may regulate or impact our processing of personal information depending on the context. Moreover, certain exceptions built into the CCPA are set to sunset at the end of the 2020, in particular with regard to business contact and employee personal information. It remains unclear what, if any, modifications will be made to this legislation or how it will be interpreted. Additionally, a new ballot initiative, the California Privacy Rights Act (the CPRA), will be included on the November 2020 ballot in California. If voted into law by California residents, the CPRA would impose additional data protection obligations on companies doing business in California, including additional consumer rights processes, limitations on data uses, and opt outs for certain uses of sensitive data. It would also create a new California data protection agency to enforce the law, and require certain businesses with higher risk privacy and security practices to submit annual audits to the agency on a regular basis. The CPRA would likely result in broader increased regulatory scrutiny of California for businesses’ privacy and security practices, and could lead to a further rise in data protection litigation. If passed, the majority of CPRA provisions would go into effect in January 2023, and would require additional compliance investment and potential business process changes in the meantime.</w:t>
      </w:r>
    </w:p>
    <w:p>
      <w:pPr>
        <w:spacing w:after="0" w:line="193" w:lineRule="exact"/>
        <w:rPr>
          <w:sz w:val="20"/>
          <w:szCs w:val="20"/>
          <w:color w:val="auto"/>
        </w:rPr>
      </w:pPr>
    </w:p>
    <w:p>
      <w:pPr>
        <w:ind w:right="80" w:firstLine="510"/>
        <w:spacing w:after="0" w:line="251" w:lineRule="auto"/>
        <w:rPr>
          <w:sz w:val="20"/>
          <w:szCs w:val="20"/>
          <w:color w:val="auto"/>
        </w:rPr>
      </w:pPr>
      <w:r>
        <w:rPr>
          <w:rFonts w:ascii="Times New Roman" w:cs="Times New Roman" w:eastAsia="Times New Roman" w:hAnsi="Times New Roman"/>
          <w:sz w:val="18"/>
          <w:szCs w:val="18"/>
          <w:color w:val="auto"/>
        </w:rPr>
        <w:t>Some observers have noted that the CCPA could mark the beginning of a trend toward more stringent privacy legislation in the U.S. Indeed, a number of state legislatures are considering privacy and/or data protection laws, which could increase our potential liability and adversely affect our business.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3" w:name="page74"/>
    <w:bookmarkEnd w:id="73"/>
    <w:p>
      <w:pPr>
        <w:ind w:right="40"/>
        <w:spacing w:after="0" w:line="254" w:lineRule="auto"/>
        <w:rPr>
          <w:sz w:val="20"/>
          <w:szCs w:val="20"/>
          <w:color w:val="auto"/>
        </w:rPr>
      </w:pPr>
      <w:r>
        <w:rPr>
          <w:rFonts w:ascii="Times New Roman" w:cs="Times New Roman" w:eastAsia="Times New Roman" w:hAnsi="Times New Roman"/>
          <w:sz w:val="18"/>
          <w:szCs w:val="18"/>
          <w:color w:val="auto"/>
        </w:rPr>
        <w:t>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183" w:lineRule="exact"/>
        <w:rPr>
          <w:sz w:val="20"/>
          <w:szCs w:val="20"/>
          <w:color w:val="auto"/>
        </w:rPr>
      </w:pPr>
    </w:p>
    <w:p>
      <w:pPr>
        <w:ind w:right="40" w:firstLine="510"/>
        <w:spacing w:after="0" w:line="262" w:lineRule="auto"/>
        <w:rPr>
          <w:sz w:val="20"/>
          <w:szCs w:val="20"/>
          <w:color w:val="auto"/>
        </w:rPr>
      </w:pPr>
      <w:r>
        <w:rPr>
          <w:rFonts w:ascii="Times New Roman" w:cs="Times New Roman" w:eastAsia="Times New Roman" w:hAnsi="Times New Roman"/>
          <w:sz w:val="17"/>
          <w:szCs w:val="17"/>
          <w:color w:val="auto"/>
        </w:rPr>
        <w:t>In addition, in May 2018, the General Data Protection Regulation (the GDPR) took effect in the European Economic Area (EEA). The GDPR governs the collection, use, disclosure, transfer or other processing of personal data of European persons, replacing data protection laws issued by each EU member state based on the Directive 95/46/EC (the Directive). Unlike the Directive, which needed to be transposed at a national level, the GDPR text is directly applicable in each EU member state, resulting in a more uniform application of data privacy laws across the EU. Among other things, the GDPR imposes new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For example, following a decision of the Court of Justice of the EU in October 2015, the transfer of personal data to U.S. companies that had certified as members of the U.S. Safe Harbor Scheme, was declared invalid. In July 2016, the European Commission adopted the EU-U.S. Privacy Shield Framework (the Privacy Shield Framework), which replaced the U.S. Safe Harbor Scheme. On July 16, 2020, the Court of Justice of the European Union issued a decision that declared the Privacy Shield Framework invalid, and will also result in additional compliance obligations for companies that implement standard contractual clauses to ensure a valid basis for the transfer of personal data outside of Europe.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 The GDPR imposes substantial fines for breaches and violations (up to the greater of €20 million or 4% of our global turnover). The GDPR also confers a private right of action on data subjects and consumer associations to lodge complaints with supervisory authorities, seek judicial remedies and obtain compensation for damages resulting from violations of the GDPR. Further, while the United Kingdom enacted the Data Protection Act 2018 in May 2018 that supplements the GDPR and has publicly announced that it will continue to regulate the protection of personal data in the same way post-Brexit, Brexit has created uncertainty with regard to the future of regulation of data protection in the United Kingdom. Some countries also are considering or have passed legislation requiring local storage and processing of data, or similar requirements, which could increase the cost and complexity of delivering our products and services.</w:t>
      </w:r>
    </w:p>
    <w:p>
      <w:pPr>
        <w:spacing w:after="0" w:line="391" w:lineRule="exact"/>
        <w:rPr>
          <w:sz w:val="20"/>
          <w:szCs w:val="20"/>
          <w:color w:val="auto"/>
        </w:rPr>
      </w:pPr>
    </w:p>
    <w:p>
      <w:pPr>
        <w:ind w:right="40" w:firstLine="510"/>
        <w:spacing w:after="0" w:line="247"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1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Tax Cuts and Jobs Act (the TCJA) was signed into law, significantly reforming the Internal Revenue Code of 1986, as amended (the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183"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74" w:name="page75"/>
    <w:bookmarkEnd w:id="74"/>
    <w:p>
      <w:pPr>
        <w:ind w:right="40" w:firstLine="510"/>
        <w:spacing w:after="0" w:line="250" w:lineRule="auto"/>
        <w:rPr>
          <w:sz w:val="20"/>
          <w:szCs w:val="20"/>
          <w:color w:val="auto"/>
        </w:rPr>
      </w:pPr>
      <w:r>
        <w:rPr>
          <w:rFonts w:ascii="Times New Roman" w:cs="Times New Roman" w:eastAsia="Times New Roman" w:hAnsi="Times New Roman"/>
          <w:sz w:val="18"/>
          <w:szCs w:val="18"/>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 our tax advisors. Because of our valuation allowance in the U.S., ongoing tax effects of the TCJA, as modified by the CARES Act, are not expected to materially change our effective tax rate in future periods.</w:t>
      </w:r>
    </w:p>
    <w:p>
      <w:pPr>
        <w:spacing w:after="0" w:line="189" w:lineRule="exact"/>
        <w:rPr>
          <w:sz w:val="20"/>
          <w:szCs w:val="20"/>
          <w:color w:val="auto"/>
        </w:rPr>
      </w:pPr>
    </w:p>
    <w:p>
      <w:pPr>
        <w:ind w:right="220" w:firstLine="510"/>
        <w:spacing w:after="0" w:line="273" w:lineRule="auto"/>
        <w:rPr>
          <w:sz w:val="20"/>
          <w:szCs w:val="20"/>
          <w:color w:val="auto"/>
        </w:rPr>
      </w:pPr>
      <w:r>
        <w:rPr>
          <w:rFonts w:ascii="Times New Roman" w:cs="Times New Roman" w:eastAsia="Times New Roman" w:hAnsi="Times New Roman"/>
          <w:sz w:val="17"/>
          <w:szCs w:val="17"/>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15" w:lineRule="exact"/>
        <w:rPr>
          <w:sz w:val="20"/>
          <w:szCs w:val="20"/>
          <w:color w:val="auto"/>
        </w:rPr>
      </w:pPr>
    </w:p>
    <w:p>
      <w:pPr>
        <w:jc w:val="both"/>
        <w:ind w:right="100" w:firstLine="510"/>
        <w:spacing w:after="0" w:line="267" w:lineRule="auto"/>
        <w:rPr>
          <w:sz w:val="20"/>
          <w:szCs w:val="20"/>
          <w:color w:val="auto"/>
        </w:rPr>
      </w:pPr>
      <w:r>
        <w:rPr>
          <w:rFonts w:ascii="Times New Roman" w:cs="Times New Roman" w:eastAsia="Times New Roman" w:hAnsi="Times New Roman"/>
          <w:sz w:val="17"/>
          <w:szCs w:val="17"/>
          <w:color w:val="auto"/>
        </w:rPr>
        <w:t>We have incurred substantial losses during our history, do not expect to become profitable in the near future and may never achieve profitability. As of November 30, 2019, we had federal and state NOL carryforwards of approximately $94.2 million and $134.8 million, respectively. To the extent we continue to generate taxable losses, unused losses will carry forward to offset future taxable income, if any, subject to the restrictions and exceptions described below.</w:t>
      </w:r>
    </w:p>
    <w:p>
      <w:pPr>
        <w:ind w:right="60"/>
        <w:spacing w:after="0" w:line="246" w:lineRule="auto"/>
        <w:rPr>
          <w:sz w:val="20"/>
          <w:szCs w:val="20"/>
          <w:color w:val="auto"/>
        </w:rPr>
      </w:pPr>
      <w:r>
        <w:rPr>
          <w:rFonts w:ascii="Times New Roman" w:cs="Times New Roman" w:eastAsia="Times New Roman" w:hAnsi="Times New Roman"/>
          <w:sz w:val="18"/>
          <w:szCs w:val="18"/>
          <w:color w:val="auto"/>
        </w:rPr>
        <w:t>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the second fiscal quarter of 2020, we filed a refund claim of $15.7 million to carryback our NOLs generated in the fiscal year ended November 30, 2018, and we intend to file an additional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191"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2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9"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83" w:lineRule="exact"/>
        <w:rPr>
          <w:sz w:val="20"/>
          <w:szCs w:val="20"/>
          <w:color w:val="auto"/>
        </w:rPr>
      </w:pPr>
    </w:p>
    <w:p>
      <w:pPr>
        <w:ind w:left="1020" w:hanging="51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5" w:name="page76"/>
    <w:bookmarkEnd w:id="75"/>
    <w:p>
      <w:pPr>
        <w:ind w:left="1020" w:hanging="511"/>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0" w:lineRule="exact"/>
        <w:rPr>
          <w:rFonts w:ascii="Times New Roman" w:cs="Times New Roman" w:eastAsia="Times New Roman" w:hAnsi="Times New Roman"/>
          <w:sz w:val="18"/>
          <w:szCs w:val="18"/>
          <w:color w:val="auto"/>
        </w:rPr>
      </w:pPr>
    </w:p>
    <w:p>
      <w:pPr>
        <w:ind w:left="1020" w:right="480" w:hanging="511"/>
        <w:spacing w:after="0" w:line="27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61" w:lineRule="exact"/>
        <w:rPr>
          <w:rFonts w:ascii="Times New Roman" w:cs="Times New Roman" w:eastAsia="Times New Roman" w:hAnsi="Times New Roman"/>
          <w:sz w:val="18"/>
          <w:szCs w:val="18"/>
          <w:color w:val="auto"/>
        </w:rPr>
      </w:pPr>
    </w:p>
    <w:p>
      <w:pPr>
        <w:ind w:left="1020" w:right="360" w:hanging="511"/>
        <w:spacing w:after="0" w:line="27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0" w:lineRule="exact"/>
        <w:rPr>
          <w:rFonts w:ascii="Times New Roman" w:cs="Times New Roman" w:eastAsia="Times New Roman" w:hAnsi="Times New Roman"/>
          <w:sz w:val="18"/>
          <w:szCs w:val="18"/>
          <w:color w:val="auto"/>
        </w:rPr>
      </w:pPr>
    </w:p>
    <w:p>
      <w:pPr>
        <w:ind w:left="1020" w:right="900" w:hanging="511"/>
        <w:spacing w:after="0" w:line="27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8"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w:t>
      </w:r>
    </w:p>
    <w:p>
      <w:pPr>
        <w:spacing w:after="0" w:line="183" w:lineRule="exact"/>
        <w:rPr>
          <w:sz w:val="20"/>
          <w:szCs w:val="20"/>
          <w:color w:val="auto"/>
        </w:rPr>
      </w:pPr>
    </w:p>
    <w:p>
      <w:pPr>
        <w:ind w:firstLine="510"/>
        <w:spacing w:after="0" w:line="247" w:lineRule="auto"/>
        <w:rPr>
          <w:sz w:val="20"/>
          <w:szCs w:val="20"/>
          <w:color w:val="auto"/>
        </w:rPr>
      </w:pPr>
      <w:r>
        <w:rPr>
          <w:rFonts w:ascii="Times New Roman" w:cs="Times New Roman" w:eastAsia="Times New Roman" w:hAnsi="Times New Roman"/>
          <w:sz w:val="18"/>
          <w:szCs w:val="18"/>
          <w:color w:val="auto"/>
        </w:rPr>
        <w:t>Additionally, we may not realize the expected value of out-licensing, joint ventures, spin outs or other strategic transactions. For example, in July 2020, we established DeCART, a wholly owned subsidiary, with an investment of $3.0 million and granted DeCART a license to three of our compounds, including NX-0255, for drug-enhanced isolation of T cells nonexclusively with respect to one CAR-T therapy target and exclusively with respect to three novel CAR-T therapy targets. Over time, we intend for DeCART to seek equity financing from third parties and to become an independent operating entity. However, we cannot assure you that DeCART will be able to obtain financing on attractive terms or at all. We may lose all or part of our investment in DeCART. Our license agreement to DeCART does not require DeCART to pay any milestone payments or royalties or other payments to us, and to the extent that DeCART is successful, we would benefit exclusively through our ownership of shares of DeCART’s capital stock. If DeCART raises additional funds through further issuances of equity or convertible debt securities, including to its service providers pursuant to its equity incentive plan, we could suffer significant dilution, and any new equity securities issued by DeCART may have rights, preferences, and privileges superior to ours. We cannot assure you that we will retain significant influence over the management of DeCART, and the directors or management of DeCART may make decisions or take actions that we disagree with. Conflicts of interest may arise from time to time in connection with this transaction, DeCART may not successfully develop CAR-T or any other therapies and we may not realize the expected value from this strategy.</w:t>
      </w:r>
    </w:p>
    <w:p>
      <w:pPr>
        <w:spacing w:after="0" w:line="29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72"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9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United Kingdom and authorities in the European Union, including applicable export control regulations, economic sanctions on countries and persons, customs requirements and currency exchange regulations, which we collectively refer to as Trade Control Laws.</w:t>
      </w:r>
    </w:p>
    <w:p>
      <w:pPr>
        <w:spacing w:after="0" w:line="179"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439" w:right="359" w:bottom="1440" w:gutter="0" w:footer="0" w:header="0"/>
        </w:sectPr>
      </w:pPr>
    </w:p>
    <w:bookmarkStart w:id="76" w:name="page77"/>
    <w:bookmarkEnd w:id="76"/>
    <w:p>
      <w:pPr>
        <w:ind w:right="3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9"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1" w:lineRule="exact"/>
        <w:rPr>
          <w:sz w:val="20"/>
          <w:szCs w:val="20"/>
          <w:color w:val="auto"/>
        </w:rPr>
      </w:pPr>
    </w:p>
    <w:p>
      <w:pPr>
        <w:ind w:right="140" w:firstLine="510"/>
        <w:spacing w:after="0" w:line="250"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15" w:lineRule="exact"/>
        <w:rPr>
          <w:sz w:val="20"/>
          <w:szCs w:val="20"/>
          <w:color w:val="auto"/>
        </w:rPr>
      </w:pPr>
    </w:p>
    <w:p>
      <w:pPr>
        <w:ind w:right="20" w:firstLine="510"/>
        <w:spacing w:after="0" w:line="249"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COVID-19 outbreak has caused significant instability and disruptions in the capital and credit markets. A severe or prolonged economic downturn, such as the global financial crisis, could result in a variety of risks to our business, including weakened demand for our product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2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59" w:lineRule="exact"/>
        <w:rPr>
          <w:sz w:val="20"/>
          <w:szCs w:val="20"/>
          <w:color w:val="auto"/>
        </w:rPr>
      </w:pPr>
    </w:p>
    <w:p>
      <w:pPr>
        <w:ind w:firstLine="510"/>
        <w:spacing w:after="0" w:line="262" w:lineRule="auto"/>
        <w:rPr>
          <w:sz w:val="20"/>
          <w:szCs w:val="20"/>
          <w:color w:val="auto"/>
        </w:rPr>
      </w:pPr>
      <w:r>
        <w:rPr>
          <w:rFonts w:ascii="Times New Roman" w:cs="Times New Roman" w:eastAsia="Times New Roman" w:hAnsi="Times New Roman"/>
          <w:sz w:val="17"/>
          <w:szCs w:val="17"/>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646"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9" w:lineRule="exact"/>
        <w:rPr>
          <w:sz w:val="20"/>
          <w:szCs w:val="20"/>
          <w:color w:val="auto"/>
        </w:rPr>
      </w:pPr>
    </w:p>
    <w:p>
      <w:pPr>
        <w:ind w:right="260" w:firstLine="510"/>
        <w:spacing w:after="0" w:line="271"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20" w:right="800" w:hanging="511"/>
        <w:spacing w:after="0" w:line="27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DELigase platform, DeTIL or future development programs;</w:t>
      </w:r>
    </w:p>
    <w:p>
      <w:pPr>
        <w:spacing w:after="0" w:line="61" w:lineRule="exact"/>
        <w:rPr>
          <w:rFonts w:ascii="Times New Roman" w:cs="Times New Roman" w:eastAsia="Times New Roman" w:hAnsi="Times New Roman"/>
          <w:sz w:val="18"/>
          <w:szCs w:val="18"/>
          <w:color w:val="auto"/>
        </w:rPr>
      </w:pPr>
    </w:p>
    <w:p>
      <w:pPr>
        <w:ind w:left="1020" w:right="720" w:hanging="511"/>
        <w:spacing w:after="0" w:line="27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and clinical trials, or the addition or termination of clinical trials or funding support by us or by existing or future collaborators or licensing partners;</w:t>
      </w:r>
    </w:p>
    <w:p>
      <w:pPr>
        <w:spacing w:after="0" w:line="61" w:lineRule="exact"/>
        <w:rPr>
          <w:rFonts w:ascii="Times New Roman" w:cs="Times New Roman" w:eastAsia="Times New Roman" w:hAnsi="Times New Roman"/>
          <w:sz w:val="18"/>
          <w:szCs w:val="18"/>
          <w:color w:val="auto"/>
        </w:rPr>
      </w:pPr>
    </w:p>
    <w:p>
      <w:pPr>
        <w:ind w:left="1020" w:right="340" w:hanging="511"/>
        <w:spacing w:after="0" w:line="27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0" w:lineRule="exact"/>
        <w:rPr>
          <w:rFonts w:ascii="Times New Roman" w:cs="Times New Roman" w:eastAsia="Times New Roman" w:hAnsi="Times New Roman"/>
          <w:sz w:val="18"/>
          <w:szCs w:val="18"/>
          <w:color w:val="auto"/>
        </w:rPr>
      </w:pPr>
    </w:p>
    <w:p>
      <w:pPr>
        <w:ind w:left="1020" w:right="400" w:hanging="511"/>
        <w:spacing w:after="0" w:line="27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1" w:lineRule="exact"/>
        <w:rPr>
          <w:rFonts w:ascii="Times New Roman" w:cs="Times New Roman" w:eastAsia="Times New Roman" w:hAnsi="Times New Roman"/>
          <w:sz w:val="18"/>
          <w:szCs w:val="18"/>
          <w:color w:val="auto"/>
        </w:rPr>
      </w:pPr>
    </w:p>
    <w:p>
      <w:pPr>
        <w:ind w:left="1020" w:right="180" w:hanging="511"/>
        <w:spacing w:after="0" w:line="27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17"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1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74" w:lineRule="exact"/>
        <w:rPr>
          <w:sz w:val="20"/>
          <w:szCs w:val="20"/>
          <w:color w:val="auto"/>
        </w:rPr>
      </w:pPr>
    </w:p>
    <w:p>
      <w:pPr>
        <w:ind w:left="1020" w:hanging="511"/>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 or our existing or future collaborators;</w:t>
      </w:r>
    </w:p>
    <w:p>
      <w:pPr>
        <w:spacing w:after="0" w:line="110" w:lineRule="exact"/>
        <w:rPr>
          <w:rFonts w:ascii="Times New Roman" w:cs="Times New Roman" w:eastAsia="Times New Roman" w:hAnsi="Times New Roman"/>
          <w:sz w:val="18"/>
          <w:szCs w:val="18"/>
          <w:color w:val="auto"/>
        </w:rPr>
      </w:pPr>
    </w:p>
    <w:p>
      <w:pPr>
        <w:ind w:left="1020" w:right="240" w:hanging="511"/>
        <w:spacing w:after="0" w:line="27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0" w:lineRule="exact"/>
        <w:rPr>
          <w:rFonts w:ascii="Times New Roman" w:cs="Times New Roman" w:eastAsia="Times New Roman" w:hAnsi="Times New Roman"/>
          <w:sz w:val="18"/>
          <w:szCs w:val="18"/>
          <w:color w:val="auto"/>
        </w:rPr>
      </w:pPr>
    </w:p>
    <w:p>
      <w:pPr>
        <w:ind w:left="1020" w:right="40" w:hanging="511"/>
        <w:spacing w:after="0" w:line="27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61" w:lineRule="exact"/>
        <w:rPr>
          <w:rFonts w:ascii="Times New Roman" w:cs="Times New Roman" w:eastAsia="Times New Roman" w:hAnsi="Times New Roman"/>
          <w:sz w:val="18"/>
          <w:szCs w:val="18"/>
          <w:color w:val="auto"/>
        </w:rPr>
      </w:pPr>
    </w:p>
    <w:p>
      <w:pPr>
        <w:ind w:left="1020" w:right="420" w:hanging="511"/>
        <w:spacing w:after="0" w:line="27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0" w:lineRule="exact"/>
        <w:rPr>
          <w:rFonts w:ascii="Times New Roman" w:cs="Times New Roman" w:eastAsia="Times New Roman" w:hAnsi="Times New Roman"/>
          <w:sz w:val="18"/>
          <w:szCs w:val="18"/>
          <w:color w:val="auto"/>
        </w:rPr>
      </w:pPr>
    </w:p>
    <w:p>
      <w:pPr>
        <w:ind w:left="1020" w:right="140" w:hanging="511"/>
        <w:spacing w:after="0" w:line="27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00"/>
          </w:cols>
          <w:pgMar w:left="320" w:top="649" w:right="379" w:bottom="1440" w:gutter="0" w:footer="0" w:header="0"/>
        </w:sectPr>
      </w:pPr>
    </w:p>
    <w:bookmarkStart w:id="78" w:name="page79"/>
    <w:bookmarkEnd w:id="78"/>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0" w:lineRule="exact"/>
        <w:rPr>
          <w:rFonts w:ascii="Times New Roman" w:cs="Times New Roman" w:eastAsia="Times New Roman" w:hAnsi="Times New Roman"/>
          <w:sz w:val="18"/>
          <w:szCs w:val="18"/>
          <w:color w:val="auto"/>
        </w:rPr>
      </w:pPr>
    </w:p>
    <w:p>
      <w:pPr>
        <w:ind w:left="1020" w:right="380" w:hanging="511"/>
        <w:spacing w:after="0" w:line="27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0" w:lineRule="exact"/>
        <w:rPr>
          <w:rFonts w:ascii="Times New Roman" w:cs="Times New Roman" w:eastAsia="Times New Roman" w:hAnsi="Times New Roman"/>
          <w:sz w:val="18"/>
          <w:szCs w:val="18"/>
          <w:color w:val="auto"/>
        </w:rPr>
      </w:pPr>
    </w:p>
    <w:p>
      <w:pPr>
        <w:ind w:left="1020" w:right="340" w:hanging="511"/>
        <w:spacing w:after="0" w:line="27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such as COVID-19;</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17" w:lineRule="exact"/>
        <w:rPr>
          <w:sz w:val="20"/>
          <w:szCs w:val="20"/>
          <w:color w:val="auto"/>
        </w:rPr>
      </w:pPr>
    </w:p>
    <w:p>
      <w:pPr>
        <w:ind w:right="80" w:firstLine="510"/>
        <w:spacing w:after="0" w:line="251"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9" w:lineRule="exact"/>
        <w:rPr>
          <w:sz w:val="20"/>
          <w:szCs w:val="20"/>
          <w:color w:val="auto"/>
        </w:rPr>
      </w:pPr>
    </w:p>
    <w:p>
      <w:pPr>
        <w:ind w:firstLine="510"/>
        <w:spacing w:after="0" w:line="265" w:lineRule="auto"/>
        <w:rPr>
          <w:sz w:val="20"/>
          <w:szCs w:val="20"/>
          <w:color w:val="auto"/>
        </w:rPr>
      </w:pPr>
      <w:r>
        <w:rPr>
          <w:rFonts w:ascii="Times New Roman" w:cs="Times New Roman" w:eastAsia="Times New Roman" w:hAnsi="Times New Roman"/>
          <w:sz w:val="17"/>
          <w:szCs w:val="17"/>
          <w:color w:val="auto"/>
        </w:rPr>
        <w:t>Based on the beneficial ownership of our common stock as of August 31, 2020, our executive officers, directors and affiliates beneficially owned approximately 60.1% our outstanding voting stock. As a result, these stockholders, if acting together, could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15" w:lineRule="exact"/>
        <w:rPr>
          <w:sz w:val="20"/>
          <w:szCs w:val="20"/>
          <w:color w:val="auto"/>
        </w:rPr>
      </w:pPr>
    </w:p>
    <w:p>
      <w:pPr>
        <w:jc w:val="both"/>
        <w:ind w:right="520" w:firstLine="51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before or after the lock-up and other legal restrictions on resale lapse in connection with our initial public offering, the market price of our common stock could decline significantly. Each of our officers, directors and substantially all of our stockholders have entered into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439" w:right="359" w:bottom="1440" w:gutter="0" w:footer="0" w:header="0"/>
        </w:sectPr>
      </w:pPr>
    </w:p>
    <w:bookmarkStart w:id="79" w:name="page80"/>
    <w:bookmarkEnd w:id="79"/>
    <w:p>
      <w:pPr>
        <w:ind w:right="120"/>
        <w:spacing w:after="0" w:line="254" w:lineRule="auto"/>
        <w:rPr>
          <w:sz w:val="20"/>
          <w:szCs w:val="20"/>
          <w:color w:val="auto"/>
        </w:rPr>
      </w:pPr>
      <w:r>
        <w:rPr>
          <w:rFonts w:ascii="Times New Roman" w:cs="Times New Roman" w:eastAsia="Times New Roman" w:hAnsi="Times New Roman"/>
          <w:sz w:val="18"/>
          <w:szCs w:val="18"/>
          <w:color w:val="auto"/>
        </w:rPr>
        <w:t>lock-up agreements with the underwriters that restrict their ability to sell or transfer their shares. These lock-up agreements pertaining to our initial public offering will expire on January 19, 2021. However, our underwriters may, in their sole discretion, permit our officers, directors and other current stockholders who are subject to the contractual lock-up to sell shares prior to the expiration of the lock-up agreements. After the lock-up agreements expire, a substantial number of shares of common stock will be eligible for sale in the public market.</w:t>
      </w:r>
    </w:p>
    <w:p>
      <w:pPr>
        <w:spacing w:after="0" w:line="183" w:lineRule="exact"/>
        <w:rPr>
          <w:sz w:val="20"/>
          <w:szCs w:val="20"/>
          <w:color w:val="auto"/>
        </w:rPr>
      </w:pPr>
    </w:p>
    <w:p>
      <w:pPr>
        <w:jc w:val="both"/>
        <w:ind w:right="140" w:firstLine="510"/>
        <w:spacing w:after="0" w:line="258"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179" w:lineRule="exact"/>
        <w:rPr>
          <w:sz w:val="20"/>
          <w:szCs w:val="20"/>
          <w:color w:val="auto"/>
        </w:rPr>
      </w:pPr>
    </w:p>
    <w:p>
      <w:pPr>
        <w:jc w:val="both"/>
        <w:ind w:right="20" w:firstLine="510"/>
        <w:spacing w:after="0" w:line="258"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8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9" w:lineRule="exact"/>
        <w:rPr>
          <w:sz w:val="20"/>
          <w:szCs w:val="20"/>
          <w:color w:val="auto"/>
        </w:rPr>
      </w:pPr>
    </w:p>
    <w:p>
      <w:pPr>
        <w:ind w:right="80" w:firstLine="510"/>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15"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additional capital is raised through the sale and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59" w:lineRule="exact"/>
        <w:rPr>
          <w:sz w:val="20"/>
          <w:szCs w:val="20"/>
          <w:color w:val="auto"/>
        </w:rPr>
      </w:pPr>
    </w:p>
    <w:p>
      <w:pPr>
        <w:ind w:firstLine="510"/>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applicable to other public companies that are not emerging growth companies, including (i) not being required to comply with the auditor attestation requirements of Section 404 of the Sarbanes-Oxley Act, as amended, (ii) reduced disclosure obligations regarding executive compensation in our periodic reports, registration statements and proxy statements, and (iii) exemptions from the requirements of holding nonbinding advisory stockholder votes on executive compensation and stockholder approval of any golden parachute payments not approved previously. We could be an emerging growth company for up to five years following the completion of our initial public offering, although circumstances could cause us to lose that status earlier, including if we are deemed to be a “large accelerated filer,” which occurs when the market value of our common stock that is held by non-affiliates exceeds $700 million as of the prior May 31, or if we have total annual gross revenue of $1.07 billion or more during any fiscal year before that time, in which cases we no longer would be an emerging growth company as of the following November 30, or if we issue more than $1.0 billion in non-convertible debt during the prior three-year period before that time, in which case we no longer would be an emerging growth company immediately. Even after we no longer qualify as an emerging growth company, we still may qualify as a “smaller reporting company,” as such term is defined in Rule 12b-2 under the Exchange Act,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less-active trading market for our common stock and our share price may be more volatile.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80" w:name="page81"/>
    <w:bookmarkEnd w:id="80"/>
    <w:p>
      <w:pPr>
        <w:ind w:right="60" w:firstLine="510"/>
        <w:spacing w:after="0" w:line="268" w:lineRule="auto"/>
        <w:rPr>
          <w:sz w:val="20"/>
          <w:szCs w:val="20"/>
          <w:color w:val="auto"/>
        </w:rPr>
      </w:pPr>
      <w:r>
        <w:rPr>
          <w:rFonts w:ascii="Times New Roman" w:cs="Times New Roman" w:eastAsia="Times New Roman" w:hAnsi="Times New Roman"/>
          <w:sz w:val="17"/>
          <w:szCs w:val="17"/>
          <w:color w:val="auto"/>
        </w:rPr>
        <w:t>Under the JOBS Act, emerging growth companies also may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3" w:lineRule="exact"/>
        <w:rPr>
          <w:sz w:val="20"/>
          <w:szCs w:val="20"/>
          <w:color w:val="auto"/>
        </w:rPr>
      </w:pPr>
    </w:p>
    <w:p>
      <w:pPr>
        <w:ind w:right="40" w:firstLine="510"/>
        <w:spacing w:after="0" w:line="249" w:lineRule="auto"/>
        <w:rPr>
          <w:sz w:val="20"/>
          <w:szCs w:val="20"/>
          <w:color w:val="auto"/>
        </w:rPr>
      </w:pPr>
      <w:r>
        <w:rPr>
          <w:rFonts w:ascii="Times New Roman" w:cs="Times New Roman" w:eastAsia="Times New Roman" w:hAnsi="Times New Roman"/>
          <w:sz w:val="18"/>
          <w:szCs w:val="18"/>
          <w:color w:val="auto"/>
        </w:rPr>
        <w:t>We also are a “smaller reporting company,” and may continue to be a smaller reporting company if either (i) the market value of our stock held by non-affiliates is less than $250 million as of the prior May 31, or (ii) our annual revenue is less than $100 million during the most recently completed fiscal year and the market value of our stock held by non-affiliates is less than $700 million as of the prior May 31.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9"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74" w:lineRule="exact"/>
        <w:rPr>
          <w:sz w:val="20"/>
          <w:szCs w:val="20"/>
          <w:color w:val="auto"/>
        </w:rPr>
      </w:pPr>
    </w:p>
    <w:p>
      <w:pPr>
        <w:ind w:left="1020" w:hanging="511"/>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10" w:lineRule="exact"/>
        <w:rPr>
          <w:rFonts w:ascii="Times New Roman" w:cs="Times New Roman" w:eastAsia="Times New Roman" w:hAnsi="Times New Roman"/>
          <w:sz w:val="18"/>
          <w:szCs w:val="18"/>
          <w:color w:val="auto"/>
        </w:rPr>
      </w:pPr>
    </w:p>
    <w:p>
      <w:pPr>
        <w:ind w:left="1020" w:hanging="511"/>
        <w:spacing w:after="0" w:line="27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6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0"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0" w:lineRule="exact"/>
        <w:rPr>
          <w:rFonts w:ascii="Times New Roman" w:cs="Times New Roman" w:eastAsia="Times New Roman" w:hAnsi="Times New Roman"/>
          <w:sz w:val="18"/>
          <w:szCs w:val="18"/>
          <w:color w:val="auto"/>
        </w:rPr>
      </w:pPr>
    </w:p>
    <w:p>
      <w:pPr>
        <w:ind w:left="1020" w:right="100" w:hanging="511"/>
        <w:spacing w:after="0" w:line="27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8"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281" w:lineRule="exact"/>
        <w:rPr>
          <w:sz w:val="20"/>
          <w:szCs w:val="20"/>
          <w:color w:val="auto"/>
        </w:rPr>
      </w:pPr>
    </w:p>
    <w:p>
      <w:pPr>
        <w:ind w:right="10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5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83" w:lineRule="exact"/>
        <w:rPr>
          <w:sz w:val="20"/>
          <w:szCs w:val="20"/>
          <w:color w:val="auto"/>
        </w:rPr>
      </w:pPr>
    </w:p>
    <w:p>
      <w:pPr>
        <w:ind w:right="320" w:firstLine="510"/>
        <w:spacing w:after="0" w:line="271"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1" w:name="page82"/>
    <w:bookmarkEnd w:id="81"/>
    <w:p>
      <w:pPr>
        <w:spacing w:after="0" w:line="264" w:lineRule="auto"/>
        <w:rPr>
          <w:sz w:val="20"/>
          <w:szCs w:val="20"/>
          <w:color w:val="auto"/>
        </w:rPr>
      </w:pPr>
      <w:r>
        <w:rPr>
          <w:rFonts w:ascii="Times New Roman" w:cs="Times New Roman" w:eastAsia="Times New Roman" w:hAnsi="Times New Roman"/>
          <w:sz w:val="17"/>
          <w:szCs w:val="17"/>
          <w:color w:val="auto"/>
        </w:rPr>
        <w:t>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79" w:lineRule="exact"/>
        <w:rPr>
          <w:sz w:val="20"/>
          <w:szCs w:val="20"/>
          <w:color w:val="auto"/>
        </w:rPr>
      </w:pPr>
    </w:p>
    <w:p>
      <w:pPr>
        <w:ind w:right="40" w:firstLine="510"/>
        <w:spacing w:after="0" w:line="250"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291"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9" w:lineRule="exact"/>
        <w:rPr>
          <w:sz w:val="20"/>
          <w:szCs w:val="20"/>
          <w:color w:val="auto"/>
        </w:rPr>
      </w:pPr>
    </w:p>
    <w:p>
      <w:pPr>
        <w:ind w:right="100" w:firstLine="510"/>
        <w:spacing w:after="0" w:line="248" w:lineRule="auto"/>
        <w:rPr>
          <w:sz w:val="20"/>
          <w:szCs w:val="20"/>
          <w:color w:val="auto"/>
        </w:rPr>
      </w:pPr>
      <w:r>
        <w:rPr>
          <w:rFonts w:ascii="Times New Roman" w:cs="Times New Roman" w:eastAsia="Times New Roman" w:hAnsi="Times New Roman"/>
          <w:sz w:val="18"/>
          <w:szCs w:val="18"/>
          <w:color w:val="auto"/>
        </w:rPr>
        <w:t>As a public company, and particularly after we no longer are an emerging growth company, we will incur significant legal, accounting and other expenses that we did not incur as a private company. The Sarbanes-Oxley Act, the Dodd-Frank Wall Street Reform and Consumer Protection Act,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Our management and other personnel are required to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59" w:lineRule="exact"/>
        <w:rPr>
          <w:sz w:val="20"/>
          <w:szCs w:val="20"/>
          <w:color w:val="auto"/>
        </w:rPr>
      </w:pPr>
    </w:p>
    <w:p>
      <w:pPr>
        <w:ind w:right="20" w:firstLine="510"/>
        <w:spacing w:after="0" w:line="248" w:lineRule="auto"/>
        <w:rPr>
          <w:sz w:val="20"/>
          <w:szCs w:val="20"/>
          <w:color w:val="auto"/>
        </w:rPr>
      </w:pPr>
      <w:r>
        <w:rPr>
          <w:rFonts w:ascii="Times New Roman" w:cs="Times New Roman" w:eastAsia="Times New Roman" w:hAnsi="Times New Roman"/>
          <w:sz w:val="18"/>
          <w:szCs w:val="18"/>
          <w:color w:val="auto"/>
        </w:rPr>
        <w:t>We are not currently required to comply with the SEC’s rules that implement Section 404 of the Sarbanes-Oxley Act, and therefore are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process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90"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the course of preparing our financial statements for fiscal years 2018 and 2019, we identified a material weakness in our internal control over financial reporting. Specifically, we did not design and maintain formally documented controls and accounting policies and procedures, including information technology, general controls and segregation of duties over the review and approval of account reconciliations and manual journal entries. This material weakness could result in a misstatement of account balances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82" w:name="page83"/>
    <w:bookmarkEnd w:id="82"/>
    <w:p>
      <w:pPr>
        <w:ind w:right="100"/>
        <w:spacing w:after="0" w:line="250" w:lineRule="auto"/>
        <w:rPr>
          <w:sz w:val="20"/>
          <w:szCs w:val="20"/>
          <w:color w:val="auto"/>
        </w:rPr>
      </w:pPr>
      <w:r>
        <w:rPr>
          <w:rFonts w:ascii="Times New Roman" w:cs="Times New Roman" w:eastAsia="Times New Roman" w:hAnsi="Times New Roman"/>
          <w:sz w:val="18"/>
          <w:szCs w:val="18"/>
          <w:color w:val="auto"/>
        </w:rPr>
        <w:t>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To address our material weakness, we have added personnel as well as implemented new financial systems and processes. We intend to continue to take steps to remediate the material weakness through hiring additional accounting and financial reporting personnel, formalizing documentation of policies and procedures and further evolving our accounting processes.</w:t>
      </w:r>
    </w:p>
    <w:p>
      <w:pPr>
        <w:spacing w:after="0" w:line="189" w:lineRule="exact"/>
        <w:rPr>
          <w:sz w:val="20"/>
          <w:szCs w:val="20"/>
          <w:color w:val="auto"/>
        </w:rPr>
      </w:pPr>
    </w:p>
    <w:p>
      <w:pPr>
        <w:ind w:right="100" w:firstLine="510"/>
        <w:spacing w:after="0" w:line="249"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We cannot assure you that we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29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9" w:lineRule="exact"/>
        <w:rPr>
          <w:sz w:val="20"/>
          <w:szCs w:val="20"/>
          <w:color w:val="auto"/>
        </w:rPr>
      </w:pPr>
    </w:p>
    <w:p>
      <w:pPr>
        <w:ind w:firstLine="510"/>
        <w:spacing w:after="0" w:line="301"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15"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13"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8"/>
          <w:szCs w:val="18"/>
          <w:color w:val="auto"/>
        </w:rPr>
        <w:t>From June 1, 2020 through July 23, 2020 (the date of the filing of our registration statement on Form S-8) we granted our employees, directors, consultants, and other service providers stock options to purchase an aggregate of 798,590 shares of common stock under our 2012 Amended and Restated Equity Incentive Plan (the 2012 Plan), with exercise prices ranging from $9.57 to $17.01 per share and we issued 248,900 shares of common stock upon the exercise of stock options granted under the 2012 Plan, with purchase prices ranging from $0.24 to $9.57 per share, for an aggregate exercise price of $0.7 million. The sales of the above securities were exempt from registration under the Securities Act in reliance upon Section 4(a)(2) of the Securities Act,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93"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On July 24, 2020, upon completion of our initial public offering, all shares of our then-outstanding convertible preferred stock automatically converted into 22,245,251 shares of common stock. The issuance of such shares of common stock was exempt from the registration requirements of the Securities Act, pursuant to Section 3(a)(9) and Section 4(a)(2) of the Securities Act.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3"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In the third fiscal quarter of 2020, we completed our initial public offering and sold 12,550,000 shares of common stock at an offering price of $19.00 per share. The offer and sale of all of the shares in the initial public offering were registered under the Securities Act pursuant to a registration statement on Form S-1 (File No. 333-239651), which was declared effective by the SEC on July 23, 2020. No additional shares were registered.</w:t>
      </w:r>
    </w:p>
    <w:p>
      <w:pPr>
        <w:spacing w:after="0" w:line="179" w:lineRule="exact"/>
        <w:rPr>
          <w:sz w:val="20"/>
          <w:szCs w:val="20"/>
          <w:color w:val="auto"/>
        </w:rPr>
      </w:pPr>
    </w:p>
    <w:p>
      <w:pPr>
        <w:ind w:right="60" w:firstLine="510"/>
        <w:spacing w:after="0" w:line="251" w:lineRule="auto"/>
        <w:rPr>
          <w:sz w:val="20"/>
          <w:szCs w:val="20"/>
          <w:color w:val="auto"/>
        </w:rPr>
      </w:pPr>
      <w:r>
        <w:rPr>
          <w:rFonts w:ascii="Times New Roman" w:cs="Times New Roman" w:eastAsia="Times New Roman" w:hAnsi="Times New Roman"/>
          <w:sz w:val="18"/>
          <w:szCs w:val="18"/>
          <w:color w:val="auto"/>
        </w:rPr>
        <w:t>We received net proceeds from the initial public offering of approximately $218.1 million, after deducting underwriting discounts and commissions of approximately $16.7 million and offering expenses of approximately $3.7 million. J.P. Morgan Securities LLC, Piper Sandler &amp; Co. and Stifel, Nicolaus &amp; Company, Incorporated acted as joint book-running managers of the offering and as representatives of the underwriters. None of the expenses associated with the initial public offering were paid to directors, officers, persons owning 10% or more of any class of equity securities, or to their associates, or to our affiliates.</w:t>
      </w:r>
    </w:p>
    <w:p>
      <w:pPr>
        <w:spacing w:after="0" w:line="188" w:lineRule="exact"/>
        <w:rPr>
          <w:sz w:val="20"/>
          <w:szCs w:val="20"/>
          <w:color w:val="auto"/>
        </w:rPr>
      </w:pPr>
    </w:p>
    <w:p>
      <w:pPr>
        <w:ind w:right="320" w:firstLine="510"/>
        <w:spacing w:after="0" w:line="27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the prospectus filed with the SEC pursuant to Rule 424(b)(4) under the Securities Act on July 24, 2020.</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tcBorders>
              <w:bottom w:val="single" w:sz="8" w:color="auto"/>
            </w:tcBorders>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Filed o</w:t>
            </w:r>
          </w:p>
        </w:tc>
        <w:tc>
          <w:tcPr>
            <w:tcW w:w="0" w:type="dxa"/>
            <w:vAlign w:val="bottom"/>
          </w:tcPr>
          <w:p>
            <w:pPr>
              <w:spacing w:after="0"/>
              <w:rPr>
                <w:sz w:val="1"/>
                <w:szCs w:val="1"/>
                <w:color w:val="auto"/>
              </w:rPr>
            </w:pPr>
          </w:p>
        </w:tc>
      </w:tr>
      <w:tr>
        <w:trPr>
          <w:trHeight w:val="127"/>
        </w:trPr>
        <w:tc>
          <w:tcPr>
            <w:tcW w:w="86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6260" w:type="dxa"/>
            <w:vAlign w:val="bottom"/>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Furnishe</w:t>
            </w:r>
          </w:p>
        </w:tc>
        <w:tc>
          <w:tcPr>
            <w:tcW w:w="0" w:type="dxa"/>
            <w:vAlign w:val="bottom"/>
          </w:tcPr>
          <w:p>
            <w:pPr>
              <w:spacing w:after="0"/>
              <w:rPr>
                <w:sz w:val="1"/>
                <w:szCs w:val="1"/>
                <w:color w:val="auto"/>
              </w:rPr>
            </w:pPr>
          </w:p>
        </w:tc>
      </w:tr>
      <w:tr>
        <w:trPr>
          <w:trHeight w:val="170"/>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4"/>
                <w:szCs w:val="14"/>
                <w:color w:val="auto"/>
              </w:rPr>
            </w:pPr>
          </w:p>
        </w:tc>
        <w:tc>
          <w:tcPr>
            <w:tcW w:w="62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Herewit</w:t>
            </w:r>
          </w:p>
        </w:tc>
        <w:tc>
          <w:tcPr>
            <w:tcW w:w="0" w:type="dxa"/>
            <w:vAlign w:val="bottom"/>
          </w:tcPr>
          <w:p>
            <w:pPr>
              <w:spacing w:after="0"/>
              <w:rPr>
                <w:sz w:val="1"/>
                <w:szCs w:val="1"/>
                <w:color w:val="auto"/>
              </w:rPr>
            </w:pPr>
          </w:p>
        </w:tc>
      </w:tr>
    </w:tbl>
    <w:p>
      <w:pPr>
        <w:spacing w:after="0" w:line="114" w:lineRule="exact"/>
        <w:rPr>
          <w:sz w:val="20"/>
          <w:szCs w:val="20"/>
          <w:color w:val="auto"/>
        </w:rPr>
      </w:pPr>
    </w:p>
    <w:p>
      <w:pPr>
        <w:sectPr>
          <w:pgSz w:w="11900" w:h="16838" w:orient="portrait"/>
          <w:cols w:equalWidth="0" w:num="1">
            <w:col w:w="11340"/>
          </w:cols>
          <w:pgMar w:left="320" w:top="331" w:right="239" w:bottom="1440" w:gutter="0" w:footer="0" w:header="0"/>
        </w:sectPr>
      </w:pPr>
    </w:p>
    <w:p>
      <w:pPr>
        <w:spacing w:after="0" w:line="13"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20" w:type="dxa"/>
            <w:vAlign w:val="bottom"/>
            <w:gridSpan w:val="3"/>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Restated Certificate of Incorporation</w:t>
              </w:r>
            </w:hyperlink>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5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20" w:type="dxa"/>
            <w:vAlign w:val="bottom"/>
            <w:gridSpan w:val="3"/>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Restated Bylaws</w:t>
              </w:r>
            </w:hyperlink>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05">
              <w:r>
                <w:rPr>
                  <w:rFonts w:ascii="Times New Roman" w:cs="Times New Roman" w:eastAsia="Times New Roman" w:hAnsi="Times New Roman"/>
                  <w:sz w:val="18"/>
                  <w:szCs w:val="18"/>
                  <w:color w:val="0000EE"/>
                  <w:w w:val="97"/>
                </w:rPr>
                <w:t>Form of Indemnity Agreement by and between Nurix Therapeutics and each of its</w:t>
              </w:r>
            </w:hyperlink>
          </w:p>
        </w:tc>
        <w:tc>
          <w:tcPr>
            <w:tcW w:w="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S-1</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333-239651</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July 2, 2020</w:t>
            </w:r>
          </w:p>
        </w:tc>
      </w:tr>
      <w:tr>
        <w:trPr>
          <w:trHeight w:val="192"/>
        </w:trPr>
        <w:tc>
          <w:tcPr>
            <w:tcW w:w="760" w:type="dxa"/>
            <w:vAlign w:val="bottom"/>
          </w:tcPr>
          <w:p>
            <w:pPr>
              <w:spacing w:after="0"/>
              <w:rPr>
                <w:sz w:val="16"/>
                <w:szCs w:val="16"/>
                <w:color w:val="auto"/>
              </w:rPr>
            </w:pPr>
          </w:p>
        </w:tc>
        <w:tc>
          <w:tcPr>
            <w:tcW w:w="6220" w:type="dxa"/>
            <w:vAlign w:val="bottom"/>
            <w:gridSpan w:val="3"/>
          </w:tcPr>
          <w:p>
            <w:pPr>
              <w:spacing w:after="0" w:line="192"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directors and executive officers</w:t>
              </w:r>
            </w:hyperlink>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753" w:lineRule="exact"/>
        <w:rPr>
          <w:sz w:val="20"/>
          <w:szCs w:val="20"/>
          <w:color w:val="auto"/>
        </w:rPr>
      </w:pPr>
    </w:p>
    <w:p>
      <w:pPr>
        <w:sectPr>
          <w:pgSz w:w="11900" w:h="16838" w:orient="portrait"/>
          <w:cols w:equalWidth="0" w:num="2">
            <w:col w:w="10720" w:space="380"/>
            <w:col w:w="240"/>
          </w:cols>
          <w:pgMar w:left="320" w:top="331" w:right="239" w:bottom="1440" w:gutter="0" w:footer="0" w:header="0"/>
          <w:type w:val="continuous"/>
        </w:sectPr>
      </w:pPr>
    </w:p>
    <w:tbl>
      <w:tblPr>
        <w:tblLayout w:type="fixed"/>
        <w:tblInd w:w="100" w:type="dxa"/>
        <w:tblCellMar>
          <w:top w:w="0" w:type="dxa"/>
          <w:left w:w="0" w:type="dxa"/>
          <w:bottom w:w="0" w:type="dxa"/>
          <w:right w:w="0" w:type="dxa"/>
        </w:tblCellMar>
      </w:tblPr>
      <w:tr>
        <w:trPr>
          <w:trHeight w:val="212"/>
        </w:trPr>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10.2</w:t>
            </w:r>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2020</w:t>
              </w:r>
            </w:hyperlink>
          </w:p>
        </w:tc>
        <w:tc>
          <w:tcPr>
            <w:tcW w:w="5340" w:type="dxa"/>
            <w:vAlign w:val="bottom"/>
          </w:tcPr>
          <w:p>
            <w:pPr>
              <w:ind w:left="20"/>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Equity Incentive Plan and forms of award agreements</w:t>
              </w:r>
            </w:hyperlink>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S-1/A</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333-239651</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8"/>
              </w:rPr>
              <w:t>July 20,</w:t>
            </w:r>
          </w:p>
        </w:tc>
      </w:tr>
      <w:tr>
        <w:trPr>
          <w:trHeight w:val="229"/>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27"/>
        </w:trPr>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10.3</w:t>
            </w:r>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2020</w:t>
              </w:r>
            </w:hyperlink>
          </w:p>
        </w:tc>
        <w:tc>
          <w:tcPr>
            <w:tcW w:w="5340" w:type="dxa"/>
            <w:vAlign w:val="bottom"/>
          </w:tcPr>
          <w:p>
            <w:pPr>
              <w:ind w:left="20"/>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Employee Stock Purchase Plan and forms of award agreements</w:t>
              </w:r>
            </w:hyperlink>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S-1/A</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333-239651</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8"/>
              </w:rPr>
              <w:t>July 20,</w:t>
            </w:r>
          </w:p>
        </w:tc>
      </w:tr>
      <w:tr>
        <w:trPr>
          <w:trHeight w:val="229"/>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2020</w:t>
            </w:r>
          </w:p>
        </w:tc>
      </w:tr>
    </w:tbl>
    <w:p>
      <w:pPr>
        <w:spacing w:after="0" w:line="115" w:lineRule="exact"/>
        <w:rPr>
          <w:sz w:val="20"/>
          <w:szCs w:val="20"/>
          <w:color w:val="auto"/>
        </w:rPr>
      </w:pPr>
    </w:p>
    <w:p>
      <w:pPr>
        <w:sectPr>
          <w:pgSz w:w="11900" w:h="16838" w:orient="portrait"/>
          <w:cols w:equalWidth="0" w:num="1">
            <w:col w:w="11340"/>
          </w:cols>
          <w:pgMar w:left="320" w:top="331" w:right="239" w:bottom="1440" w:gutter="0" w:footer="0" w:header="0"/>
          <w:type w:val="continuous"/>
        </w:sectPr>
      </w:pPr>
    </w:p>
    <w:p>
      <w:pPr>
        <w:spacing w:after="0" w:line="13" w:lineRule="exact"/>
        <w:rPr>
          <w:sz w:val="20"/>
          <w:szCs w:val="20"/>
          <w:color w:val="auto"/>
        </w:rPr>
      </w:pPr>
    </w:p>
    <w:p>
      <w:pPr>
        <w:ind w:left="860" w:hanging="758"/>
        <w:spacing w:after="0" w:line="271"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08">
        <w:r>
          <w:rPr>
            <w:rFonts w:ascii="Times New Roman" w:cs="Times New Roman" w:eastAsia="Times New Roman" w:hAnsi="Times New Roman"/>
            <w:sz w:val="18"/>
            <w:szCs w:val="18"/>
            <w:u w:val="single" w:color="auto"/>
            <w:color w:val="0000EE"/>
          </w:rPr>
          <w:t>Employment Agreement, dated July 15, 2020, by and between the Registrant and Arthur</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T. Sands</w:t>
        </w:r>
      </w:hyperlink>
    </w:p>
    <w:p>
      <w:pPr>
        <w:spacing w:after="0" w:line="102" w:lineRule="exact"/>
        <w:rPr>
          <w:sz w:val="20"/>
          <w:szCs w:val="20"/>
          <w:color w:val="auto"/>
        </w:rPr>
      </w:pPr>
    </w:p>
    <w:p>
      <w:pPr>
        <w:ind w:left="860" w:right="60" w:hanging="758"/>
        <w:spacing w:after="0" w:line="271"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9">
        <w:r>
          <w:rPr>
            <w:rFonts w:ascii="Times New Roman" w:cs="Times New Roman" w:eastAsia="Times New Roman" w:hAnsi="Times New Roman"/>
            <w:sz w:val="18"/>
            <w:szCs w:val="18"/>
            <w:u w:val="single" w:color="auto"/>
            <w:color w:val="0000EE"/>
          </w:rPr>
          <w:t>Employment Agreement, dated July 15, 2020, by and between the Registrant and Pierre</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Beaurang</w:t>
        </w:r>
      </w:hyperlink>
    </w:p>
    <w:p>
      <w:pPr>
        <w:spacing w:after="0" w:line="102" w:lineRule="exact"/>
        <w:rPr>
          <w:sz w:val="20"/>
          <w:szCs w:val="20"/>
          <w:color w:val="auto"/>
        </w:rPr>
      </w:pPr>
    </w:p>
    <w:p>
      <w:pPr>
        <w:ind w:left="860" w:right="520" w:hanging="758"/>
        <w:spacing w:after="0" w:line="271"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10">
        <w:r>
          <w:rPr>
            <w:rFonts w:ascii="Times New Roman" w:cs="Times New Roman" w:eastAsia="Times New Roman" w:hAnsi="Times New Roman"/>
            <w:sz w:val="18"/>
            <w:szCs w:val="18"/>
            <w:u w:val="single" w:color="auto"/>
            <w:color w:val="0000EE"/>
          </w:rPr>
          <w:t>Employment Agreement, dated July 15, 2020, by and between the Registrant and</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Gwenn Hansen</w:t>
        </w:r>
      </w:hyperlink>
    </w:p>
    <w:p>
      <w:pPr>
        <w:spacing w:after="0" w:line="102" w:lineRule="exact"/>
        <w:rPr>
          <w:sz w:val="20"/>
          <w:szCs w:val="20"/>
          <w:color w:val="auto"/>
        </w:rPr>
      </w:pPr>
    </w:p>
    <w:p>
      <w:pPr>
        <w:ind w:left="860" w:right="280" w:hanging="758"/>
        <w:spacing w:after="0" w:line="271"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11">
        <w:r>
          <w:rPr>
            <w:rFonts w:ascii="Times New Roman" w:cs="Times New Roman" w:eastAsia="Times New Roman" w:hAnsi="Times New Roman"/>
            <w:sz w:val="18"/>
            <w:szCs w:val="18"/>
            <w:u w:val="single" w:color="auto"/>
            <w:color w:val="0000EE"/>
          </w:rPr>
          <w:t>Letter Agreement, dated June 15, 2020, by and between the Registrant and Arthur T.</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Sands</w:t>
        </w:r>
      </w:hyperlink>
    </w:p>
    <w:p>
      <w:pPr>
        <w:spacing w:after="0" w:line="102" w:lineRule="exact"/>
        <w:rPr>
          <w:sz w:val="20"/>
          <w:szCs w:val="20"/>
          <w:color w:val="auto"/>
        </w:rPr>
      </w:pPr>
    </w:p>
    <w:p>
      <w:pPr>
        <w:jc w:val="both"/>
        <w:ind w:left="860" w:right="120" w:hanging="758"/>
        <w:spacing w:after="0" w:line="258"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120">
        <w:r>
          <w:rPr>
            <w:rFonts w:ascii="Times New Roman" w:cs="Times New Roman" w:eastAsia="Times New Roman" w:hAnsi="Times New Roman"/>
            <w:sz w:val="18"/>
            <w:szCs w:val="18"/>
            <w:u w:val="single" w:color="auto"/>
            <w:color w:val="0000EE"/>
          </w:rPr>
          <w:t>Certification of Principal Executive Officer Pursuant to Rules 13a-14(a) and 15d-14(a)</w:t>
        </w:r>
      </w:hyperlink>
      <w:r>
        <w:rPr>
          <w:rFonts w:ascii="Times New Roman" w:cs="Times New Roman" w:eastAsia="Times New Roman" w:hAnsi="Times New Roman"/>
          <w:sz w:val="18"/>
          <w:szCs w:val="18"/>
          <w:u w:val="single" w:color="auto"/>
          <w:color w:val="0000EE"/>
        </w:rPr>
        <w:t xml:space="preserve"> </w:t>
      </w:r>
      <w:hyperlink w:anchor="page120">
        <w:r>
          <w:rPr>
            <w:rFonts w:ascii="Times New Roman" w:cs="Times New Roman" w:eastAsia="Times New Roman" w:hAnsi="Times New Roman"/>
            <w:sz w:val="18"/>
            <w:szCs w:val="18"/>
            <w:u w:val="single" w:color="auto"/>
            <w:color w:val="0000EE"/>
          </w:rPr>
          <w:t>under the Securities Exchange Act of 1934, as Adopted Pursuant to Section 302 of the</w:t>
        </w:r>
      </w:hyperlink>
      <w:r>
        <w:rPr>
          <w:rFonts w:ascii="Times New Roman" w:cs="Times New Roman" w:eastAsia="Times New Roman" w:hAnsi="Times New Roman"/>
          <w:sz w:val="18"/>
          <w:szCs w:val="18"/>
          <w:u w:val="single" w:color="auto"/>
          <w:color w:val="0000EE"/>
        </w:rPr>
        <w:t xml:space="preserve"> </w:t>
      </w:r>
      <w:hyperlink w:anchor="page120">
        <w:r>
          <w:rPr>
            <w:rFonts w:ascii="Times New Roman" w:cs="Times New Roman" w:eastAsia="Times New Roman" w:hAnsi="Times New Roman"/>
            <w:sz w:val="18"/>
            <w:szCs w:val="18"/>
            <w:u w:val="single" w:color="auto"/>
            <w:color w:val="0000EE"/>
          </w:rPr>
          <w:t>Sarbanes-Oxley Act of 2002.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333-239651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July 20,</w:t>
            </w:r>
          </w:p>
        </w:tc>
      </w:tr>
      <w:tr>
        <w:trPr>
          <w:trHeight w:val="229"/>
        </w:trPr>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333-239651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July 20,</w:t>
            </w:r>
          </w:p>
        </w:tc>
      </w:tr>
      <w:tr>
        <w:trPr>
          <w:trHeight w:val="229"/>
        </w:trPr>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333-239651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July 20,</w:t>
            </w:r>
          </w:p>
        </w:tc>
      </w:tr>
      <w:tr>
        <w:trPr>
          <w:trHeight w:val="229"/>
        </w:trPr>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333-239651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July 20,</w:t>
            </w:r>
          </w:p>
        </w:tc>
      </w:tr>
      <w:tr>
        <w:trPr>
          <w:trHeight w:val="229"/>
        </w:trPr>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2020</w:t>
            </w:r>
          </w:p>
        </w:tc>
      </w:tr>
    </w:tbl>
    <w:p>
      <w:pPr>
        <w:spacing w:after="0" w:line="128" w:lineRule="exact"/>
        <w:rPr>
          <w:rFonts w:ascii="Times New Roman" w:cs="Times New Roman" w:eastAsia="Times New Roman" w:hAnsi="Times New Roman"/>
          <w:sz w:val="18"/>
          <w:szCs w:val="18"/>
          <w:u w:val="single" w:color="auto"/>
          <w:color w:val="0000EE"/>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57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100" w:space="320"/>
            <w:col w:w="3920"/>
          </w:cols>
          <w:pgMar w:left="320" w:top="33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080" w:type="dxa"/>
            <w:vAlign w:val="bottom"/>
            <w:gridSpan w:val="5"/>
          </w:tcPr>
          <w:p>
            <w:pPr>
              <w:spacing w:after="0"/>
              <w:rPr>
                <w:rFonts w:ascii="Times New Roman" w:cs="Times New Roman" w:eastAsia="Times New Roman" w:hAnsi="Times New Roman"/>
                <w:sz w:val="18"/>
                <w:szCs w:val="18"/>
                <w:color w:val="0000EE"/>
                <w:w w:val="97"/>
              </w:rPr>
            </w:pPr>
            <w:hyperlink w:anchor="page121">
              <w:r>
                <w:rPr>
                  <w:rFonts w:ascii="Times New Roman" w:cs="Times New Roman" w:eastAsia="Times New Roman" w:hAnsi="Times New Roman"/>
                  <w:sz w:val="18"/>
                  <w:szCs w:val="18"/>
                  <w:color w:val="0000EE"/>
                  <w:w w:val="97"/>
                </w:rPr>
                <w:t>Certification of Principal Financial Officer Pursuant to Rules 13a-14(a) and 15d-14(a)</w:t>
              </w:r>
            </w:hyperlink>
          </w:p>
        </w:tc>
      </w:tr>
      <w:tr>
        <w:trPr>
          <w:trHeight w:val="20"/>
        </w:trPr>
        <w:tc>
          <w:tcPr>
            <w:tcW w:w="86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6080" w:type="dxa"/>
            <w:vAlign w:val="bottom"/>
            <w:tcBorders>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w:anchor="page121">
              <w:r>
                <w:rPr>
                  <w:rFonts w:ascii="Times New Roman" w:cs="Times New Roman" w:eastAsia="Times New Roman" w:hAnsi="Times New Roman"/>
                  <w:sz w:val="18"/>
                  <w:szCs w:val="18"/>
                  <w:color w:val="0000EE"/>
                  <w:w w:val="97"/>
                </w:rPr>
                <w:t>under the Securities Exchange Act of 1934, as Adopted Pursuant to Section 302 of the</w:t>
              </w:r>
            </w:hyperlink>
          </w:p>
        </w:tc>
      </w:tr>
      <w:tr>
        <w:trPr>
          <w:trHeight w:val="192"/>
        </w:trPr>
        <w:tc>
          <w:tcPr>
            <w:tcW w:w="860" w:type="dxa"/>
            <w:vAlign w:val="bottom"/>
          </w:tcPr>
          <w:p>
            <w:pPr>
              <w:spacing w:after="0"/>
              <w:rPr>
                <w:sz w:val="16"/>
                <w:szCs w:val="16"/>
                <w:color w:val="auto"/>
              </w:rPr>
            </w:pPr>
          </w:p>
        </w:tc>
        <w:tc>
          <w:tcPr>
            <w:tcW w:w="2060" w:type="dxa"/>
            <w:vAlign w:val="bottom"/>
            <w:tcBorders>
              <w:bottom w:val="single" w:sz="8" w:color="0000EE"/>
            </w:tcBorders>
          </w:tcPr>
          <w:p>
            <w:pPr>
              <w:spacing w:after="0" w:line="192" w:lineRule="exact"/>
              <w:rPr>
                <w:rFonts w:ascii="Times New Roman" w:cs="Times New Roman" w:eastAsia="Times New Roman" w:hAnsi="Times New Roman"/>
                <w:sz w:val="18"/>
                <w:szCs w:val="18"/>
                <w:color w:val="0000EE"/>
                <w:w w:val="97"/>
              </w:rPr>
            </w:pPr>
            <w:hyperlink w:anchor="page121">
              <w:r>
                <w:rPr>
                  <w:rFonts w:ascii="Times New Roman" w:cs="Times New Roman" w:eastAsia="Times New Roman" w:hAnsi="Times New Roman"/>
                  <w:sz w:val="18"/>
                  <w:szCs w:val="18"/>
                  <w:color w:val="0000EE"/>
                  <w:w w:val="97"/>
                </w:rPr>
                <w:t>Sarbanes-Oxley Act of 2002.</w:t>
              </w:r>
            </w:hyperlink>
          </w:p>
        </w:tc>
        <w:tc>
          <w:tcPr>
            <w:tcW w:w="4020" w:type="dxa"/>
            <w:vAlign w:val="bottom"/>
            <w:gridSpan w:val="4"/>
          </w:tcPr>
          <w:p>
            <w:pPr>
              <w:spacing w:after="0"/>
              <w:rPr>
                <w:sz w:val="16"/>
                <w:szCs w:val="16"/>
                <w:color w:val="auto"/>
              </w:rPr>
            </w:pPr>
          </w:p>
        </w:tc>
      </w:tr>
      <w:tr>
        <w:trPr>
          <w:trHeight w:val="337"/>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6080" w:type="dxa"/>
            <w:vAlign w:val="bottom"/>
            <w:gridSpan w:val="5"/>
          </w:tcPr>
          <w:p>
            <w:pPr>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Certification of Principal Executive Officer Pursuant to 18 U.S.C. Section 1350, as</w:t>
              </w:r>
            </w:hyperlink>
          </w:p>
        </w:tc>
      </w:tr>
      <w:tr>
        <w:trPr>
          <w:trHeight w:val="231"/>
        </w:trPr>
        <w:tc>
          <w:tcPr>
            <w:tcW w:w="860" w:type="dxa"/>
            <w:vAlign w:val="bottom"/>
          </w:tcPr>
          <w:p>
            <w:pPr>
              <w:spacing w:after="0"/>
              <w:rPr>
                <w:sz w:val="20"/>
                <w:szCs w:val="20"/>
                <w:color w:val="auto"/>
              </w:rPr>
            </w:pPr>
          </w:p>
        </w:tc>
        <w:tc>
          <w:tcPr>
            <w:tcW w:w="584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Adopted Pursuant to Section 906 of the Sarbanes-Oxley Act of 2002.</w:t>
              </w:r>
            </w:hyperlink>
          </w:p>
        </w:tc>
        <w:tc>
          <w:tcPr>
            <w:tcW w:w="240" w:type="dxa"/>
            <w:vAlign w:val="bottom"/>
            <w:gridSpan w:val="2"/>
          </w:tcPr>
          <w:p>
            <w:pPr>
              <w:spacing w:after="0"/>
              <w:rPr>
                <w:sz w:val="20"/>
                <w:szCs w:val="20"/>
                <w:color w:val="auto"/>
              </w:rPr>
            </w:pPr>
          </w:p>
        </w:tc>
      </w:tr>
      <w:tr>
        <w:trPr>
          <w:trHeight w:val="319"/>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58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123">
              <w:r>
                <w:rPr>
                  <w:rFonts w:ascii="Times New Roman" w:cs="Times New Roman" w:eastAsia="Times New Roman" w:hAnsi="Times New Roman"/>
                  <w:sz w:val="18"/>
                  <w:szCs w:val="18"/>
                  <w:color w:val="0000EE"/>
                  <w:w w:val="97"/>
                </w:rPr>
                <w:t>Certification of Principal Financial Officer Pursuant to 18 U.S.C. Section 1350, as</w:t>
              </w:r>
            </w:hyperlink>
          </w:p>
        </w:tc>
        <w:tc>
          <w:tcPr>
            <w:tcW w:w="280" w:type="dxa"/>
            <w:vAlign w:val="bottom"/>
            <w:gridSpan w:val="3"/>
          </w:tcPr>
          <w:p>
            <w:pPr>
              <w:spacing w:after="0"/>
              <w:rPr>
                <w:sz w:val="24"/>
                <w:szCs w:val="24"/>
                <w:color w:val="auto"/>
              </w:rPr>
            </w:pPr>
          </w:p>
        </w:tc>
      </w:tr>
      <w:tr>
        <w:trPr>
          <w:trHeight w:val="231"/>
        </w:trPr>
        <w:tc>
          <w:tcPr>
            <w:tcW w:w="860" w:type="dxa"/>
            <w:vAlign w:val="bottom"/>
          </w:tcPr>
          <w:p>
            <w:pPr>
              <w:spacing w:after="0"/>
              <w:rPr>
                <w:sz w:val="20"/>
                <w:szCs w:val="20"/>
                <w:color w:val="auto"/>
              </w:rPr>
            </w:pPr>
          </w:p>
        </w:tc>
        <w:tc>
          <w:tcPr>
            <w:tcW w:w="6080" w:type="dxa"/>
            <w:vAlign w:val="bottom"/>
            <w:gridSpan w:val="5"/>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Adopted Pursuant to Section 906 of the Sarbanes-Oxley Act of 2002.</w:t>
              </w:r>
            </w:hyperlink>
          </w:p>
        </w:tc>
      </w:tr>
      <w:tr>
        <w:trPr>
          <w:trHeight w:val="3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949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591" w:lineRule="exact"/>
        <w:rPr>
          <w:sz w:val="20"/>
          <w:szCs w:val="20"/>
          <w:color w:val="auto"/>
        </w:rPr>
      </w:pPr>
    </w:p>
    <w:p>
      <w:pPr>
        <w:sectPr>
          <w:pgSz w:w="11900" w:h="16838" w:orient="portrait"/>
          <w:cols w:equalWidth="0" w:num="2">
            <w:col w:w="10380" w:space="720"/>
            <w:col w:w="240"/>
          </w:cols>
          <w:pgMar w:left="320" w:top="331" w:right="239" w:bottom="1440" w:gutter="0" w:footer="0" w:header="0"/>
          <w:type w:val="continuous"/>
        </w:sectPr>
      </w:pPr>
    </w:p>
    <w:p>
      <w:pPr>
        <w:ind w:left="500" w:right="340" w:hanging="494"/>
        <w:spacing w:after="0" w:line="259"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340"/>
          </w:cols>
          <w:pgMar w:left="320" w:top="331" w:right="2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660" w:firstLine="51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34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Company Name</w:t>
            </w:r>
          </w:p>
        </w:tc>
        <w:tc>
          <w:tcPr>
            <w:tcW w:w="4200" w:type="dxa"/>
            <w:vAlign w:val="bottom"/>
          </w:tcPr>
          <w:p>
            <w:pPr>
              <w:spacing w:after="0"/>
              <w:rPr>
                <w:sz w:val="19"/>
                <w:szCs w:val="19"/>
                <w:color w:val="auto"/>
              </w:rPr>
            </w:pPr>
          </w:p>
        </w:tc>
      </w:tr>
      <w:tr>
        <w:trPr>
          <w:trHeight w:val="37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14, 2020</w:t>
            </w:r>
          </w:p>
        </w:tc>
        <w:tc>
          <w:tcPr>
            <w:tcW w:w="34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6"/>
              </w:rPr>
              <w:t>/s/ Arthur T. Sands</w:t>
            </w:r>
          </w:p>
        </w:tc>
      </w:tr>
      <w:tr>
        <w:trPr>
          <w:trHeight w:val="214"/>
        </w:trPr>
        <w:tc>
          <w:tcPr>
            <w:tcW w:w="3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jc w:val="center"/>
              <w:ind w:right="772"/>
              <w:spacing w:after="0"/>
              <w:rPr>
                <w:sz w:val="20"/>
                <w:szCs w:val="20"/>
                <w:color w:val="auto"/>
              </w:rPr>
            </w:pPr>
            <w:r>
              <w:rPr>
                <w:rFonts w:ascii="Times New Roman" w:cs="Times New Roman" w:eastAsia="Times New Roman" w:hAnsi="Times New Roman"/>
                <w:sz w:val="18"/>
                <w:szCs w:val="18"/>
                <w:color w:val="auto"/>
                <w:w w:val="96"/>
              </w:rPr>
              <w:t>Arthur T. Sands, M.D., Ph.D.</w:t>
            </w:r>
          </w:p>
        </w:tc>
      </w:tr>
      <w:tr>
        <w:trPr>
          <w:trHeight w:val="210"/>
        </w:trPr>
        <w:tc>
          <w:tcPr>
            <w:tcW w:w="3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0" w:type="dxa"/>
            <w:vAlign w:val="bottom"/>
          </w:tcPr>
          <w:p>
            <w:pPr>
              <w:jc w:val="center"/>
              <w:ind w:right="772"/>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1"/>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0" w:type="dxa"/>
            <w:vAlign w:val="bottom"/>
          </w:tcPr>
          <w:p>
            <w:pPr>
              <w:jc w:val="center"/>
              <w:ind w:right="772"/>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r>
        <w:trPr>
          <w:trHeight w:val="35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14, 2020</w:t>
            </w:r>
          </w:p>
        </w:tc>
        <w:tc>
          <w:tcPr>
            <w:tcW w:w="34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Pr>
          <w:p>
            <w:pPr>
              <w:jc w:val="center"/>
              <w:ind w:right="772"/>
              <w:spacing w:after="0"/>
              <w:rPr>
                <w:sz w:val="20"/>
                <w:szCs w:val="20"/>
                <w:color w:val="auto"/>
              </w:rPr>
            </w:pPr>
            <w:r>
              <w:rPr>
                <w:rFonts w:ascii="Times New Roman" w:cs="Times New Roman" w:eastAsia="Times New Roman" w:hAnsi="Times New Roman"/>
                <w:sz w:val="18"/>
                <w:szCs w:val="18"/>
                <w:color w:val="auto"/>
                <w:w w:val="97"/>
              </w:rPr>
              <w:t>/s/ Hans van Houte</w:t>
            </w:r>
          </w:p>
        </w:tc>
      </w:tr>
      <w:tr>
        <w:trPr>
          <w:trHeight w:val="214"/>
        </w:trPr>
        <w:tc>
          <w:tcPr>
            <w:tcW w:w="3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jc w:val="center"/>
              <w:ind w:right="772"/>
              <w:spacing w:after="0"/>
              <w:rPr>
                <w:sz w:val="20"/>
                <w:szCs w:val="20"/>
                <w:color w:val="auto"/>
              </w:rPr>
            </w:pPr>
            <w:r>
              <w:rPr>
                <w:rFonts w:ascii="Times New Roman" w:cs="Times New Roman" w:eastAsia="Times New Roman" w:hAnsi="Times New Roman"/>
                <w:sz w:val="18"/>
                <w:szCs w:val="18"/>
                <w:color w:val="auto"/>
                <w:w w:val="98"/>
              </w:rPr>
              <w:t>Hans van Houte</w:t>
            </w:r>
          </w:p>
        </w:tc>
      </w:tr>
      <w:tr>
        <w:trPr>
          <w:trHeight w:val="210"/>
        </w:trPr>
        <w:tc>
          <w:tcPr>
            <w:tcW w:w="3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31"/>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0" w:type="dxa"/>
            <w:vAlign w:val="bottom"/>
          </w:tcPr>
          <w:p>
            <w:pPr>
              <w:jc w:val="center"/>
              <w:ind w:right="772"/>
              <w:spacing w:after="0"/>
              <w:rPr>
                <w:sz w:val="20"/>
                <w:szCs w:val="20"/>
                <w:color w:val="auto"/>
              </w:rPr>
            </w:pPr>
            <w:r>
              <w:rPr>
                <w:rFonts w:ascii="Times New Roman" w:cs="Times New Roman" w:eastAsia="Times New Roman" w:hAnsi="Times New Roman"/>
                <w:sz w:val="18"/>
                <w:szCs w:val="18"/>
                <w:i w:val="1"/>
                <w:iCs w:val="1"/>
                <w:color w:val="auto"/>
                <w:w w:val="98"/>
              </w:rPr>
              <w:t>(Principal Financial and Accounting Officer)</w:t>
            </w:r>
          </w:p>
        </w:tc>
      </w:tr>
      <w:tr>
        <w:trPr>
          <w:trHeight w:val="635"/>
        </w:trPr>
        <w:tc>
          <w:tcPr>
            <w:tcW w:w="3600" w:type="dxa"/>
            <w:vAlign w:val="bottom"/>
          </w:tcPr>
          <w:p>
            <w:pPr>
              <w:spacing w:after="0"/>
              <w:rPr>
                <w:sz w:val="24"/>
                <w:szCs w:val="24"/>
                <w:color w:val="auto"/>
              </w:rPr>
            </w:pPr>
          </w:p>
        </w:tc>
        <w:tc>
          <w:tcPr>
            <w:tcW w:w="26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NURIX THERAPEUTICS, INC.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RESTATED CERTIFICATE OF INCORPORATION</w:t>
      </w:r>
    </w:p>
    <w:p>
      <w:pPr>
        <w:spacing w:after="0" w:line="200" w:lineRule="exact"/>
        <w:rPr>
          <w:sz w:val="20"/>
          <w:szCs w:val="20"/>
          <w:color w:val="auto"/>
        </w:rPr>
      </w:pPr>
    </w:p>
    <w:p>
      <w:pPr>
        <w:spacing w:after="0" w:line="33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Nurix Therapeutics, Inc., a Delaware corporation, hereby certifies as follows:</w:t>
      </w:r>
    </w:p>
    <w:p>
      <w:pPr>
        <w:spacing w:after="0" w:line="208" w:lineRule="exact"/>
        <w:rPr>
          <w:sz w:val="20"/>
          <w:szCs w:val="20"/>
          <w:color w:val="auto"/>
        </w:rPr>
      </w:pPr>
    </w:p>
    <w:p>
      <w:pPr>
        <w:ind w:firstLine="870"/>
        <w:spacing w:after="0" w:line="271" w:lineRule="auto"/>
        <w:tabs>
          <w:tab w:leader="none" w:pos="165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of this corporation is “Nurix Therapeutics, Inc.” The date of the filing of its original Certificate of Incorporation with the Secretary of State of the State of Delaware was August 27, 2009 under the name Kura Therapeutics, Inc.</w:t>
      </w:r>
    </w:p>
    <w:p>
      <w:pPr>
        <w:spacing w:after="0" w:line="142" w:lineRule="exact"/>
        <w:rPr>
          <w:rFonts w:ascii="Times New Roman" w:cs="Times New Roman" w:eastAsia="Times New Roman" w:hAnsi="Times New Roman"/>
          <w:sz w:val="21"/>
          <w:szCs w:val="21"/>
          <w:color w:val="auto"/>
        </w:rPr>
      </w:pPr>
    </w:p>
    <w:p>
      <w:pPr>
        <w:jc w:val="both"/>
        <w:ind w:firstLine="870"/>
        <w:spacing w:after="0" w:line="243" w:lineRule="auto"/>
        <w:tabs>
          <w:tab w:leader="none" w:pos="165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Restated Certificate of Incorporation of this corporation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74" w:lineRule="exact"/>
        <w:rPr>
          <w:sz w:val="20"/>
          <w:szCs w:val="20"/>
          <w:color w:val="auto"/>
        </w:rPr>
      </w:pPr>
    </w:p>
    <w:p>
      <w:pPr>
        <w:ind w:firstLine="864"/>
        <w:spacing w:after="0" w:line="271" w:lineRule="auto"/>
        <w:rPr>
          <w:sz w:val="20"/>
          <w:szCs w:val="20"/>
          <w:color w:val="auto"/>
        </w:rPr>
      </w:pPr>
      <w:r>
        <w:rPr>
          <w:rFonts w:ascii="Times New Roman" w:cs="Times New Roman" w:eastAsia="Times New Roman" w:hAnsi="Times New Roman"/>
          <w:sz w:val="21"/>
          <w:szCs w:val="21"/>
          <w:color w:val="auto"/>
        </w:rPr>
        <w:t>IN WITNESS WHEREOF, this corporation has caused this Restated Certificate of Incorporation to be signed by its duly authorized officer and the foregoing facts stated herein are true and correct.</w:t>
      </w:r>
    </w:p>
    <w:p>
      <w:pPr>
        <w:spacing w:after="0" w:line="143"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21"/>
          <w:szCs w:val="21"/>
          <w:color w:val="auto"/>
        </w:rPr>
        <w:t>Dated: July 28, 2020</w:t>
      </w:r>
      <w:r>
        <w:rPr>
          <w:sz w:val="20"/>
          <w:szCs w:val="20"/>
          <w:color w:val="auto"/>
        </w:rPr>
        <w:tab/>
      </w:r>
      <w:r>
        <w:rPr>
          <w:rFonts w:ascii="Times New Roman" w:cs="Times New Roman" w:eastAsia="Times New Roman" w:hAnsi="Times New Roman"/>
          <w:sz w:val="21"/>
          <w:szCs w:val="21"/>
          <w:color w:val="auto"/>
        </w:rPr>
        <w:t>NURIX THERAPEUTICS, INC.</w:t>
      </w:r>
    </w:p>
    <w:p>
      <w:pPr>
        <w:spacing w:after="0" w:line="20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1"/>
          <w:szCs w:val="21"/>
          <w:color w:val="auto"/>
        </w:rPr>
        <w:t>By: /s/ Arthur T.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-9525</wp:posOffset>
            </wp:positionV>
            <wp:extent cx="2190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21"/>
          <w:szCs w:val="21"/>
          <w:color w:val="auto"/>
        </w:rPr>
        <w:t>Name: Arthur T. Sands</w:t>
      </w:r>
    </w:p>
    <w:p>
      <w:pPr>
        <w:ind w:left="6060"/>
        <w:spacing w:after="0"/>
        <w:rPr>
          <w:sz w:val="20"/>
          <w:szCs w:val="20"/>
          <w:color w:val="auto"/>
        </w:rPr>
      </w:pPr>
      <w:r>
        <w:rPr>
          <w:rFonts w:ascii="Times New Roman" w:cs="Times New Roman" w:eastAsia="Times New Roman" w:hAnsi="Times New Roman"/>
          <w:sz w:val="21"/>
          <w:szCs w:val="21"/>
          <w:color w:val="auto"/>
        </w:rPr>
        <w:t>Title: 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5200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NURIX THERAPEUTICS, INC.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RESTATED CERTIFICATE OF INCORPORATION</w:t>
      </w:r>
    </w:p>
    <w:p>
      <w:pPr>
        <w:spacing w:after="0" w:line="200" w:lineRule="exact"/>
        <w:rPr>
          <w:sz w:val="20"/>
          <w:szCs w:val="20"/>
          <w:color w:val="auto"/>
        </w:rPr>
      </w:pPr>
    </w:p>
    <w:p>
      <w:pPr>
        <w:spacing w:after="0" w:line="3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I: NAME</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The name of the corporation is Nurix Therapeutics, Inc. (the “</w:t>
      </w:r>
      <w:r>
        <w:rPr>
          <w:rFonts w:ascii="Times New Roman" w:cs="Times New Roman" w:eastAsia="Times New Roman" w:hAnsi="Times New Roman"/>
          <w:sz w:val="21"/>
          <w:szCs w:val="21"/>
          <w:b w:val="1"/>
          <w:bCs w:val="1"/>
          <w:i w:val="1"/>
          <w:iCs w:val="1"/>
          <w:color w:val="auto"/>
        </w:rPr>
        <w:t>Corporation</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ARTICLE II: AGENT FOR SERVICE OF PROCESS</w:t>
      </w:r>
    </w:p>
    <w:p>
      <w:pPr>
        <w:spacing w:after="0" w:line="21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1"/>
          <w:szCs w:val="21"/>
          <w:color w:val="auto"/>
        </w:rPr>
        <w:t>The address of the registered office of this Company in the State of Delaware is 3500 South DuPont Highway, City of Dover, County of Kent, Delaware 19901, and the name of the registered agent of this Corporation in the State of Delaware at such address is Incorporating Services, Ltd.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 PURPOSE</w:t>
      </w:r>
    </w:p>
    <w:p>
      <w:pPr>
        <w:spacing w:after="0" w:line="212" w:lineRule="exact"/>
        <w:rPr>
          <w:sz w:val="20"/>
          <w:szCs w:val="20"/>
          <w:color w:val="auto"/>
        </w:rPr>
      </w:pPr>
    </w:p>
    <w:p>
      <w:pPr>
        <w:jc w:val="both"/>
        <w:ind w:firstLine="864"/>
        <w:spacing w:after="0" w:line="271" w:lineRule="auto"/>
        <w:rPr>
          <w:sz w:val="20"/>
          <w:szCs w:val="20"/>
          <w:color w:val="auto"/>
        </w:rPr>
      </w:pPr>
      <w:r>
        <w:rPr>
          <w:rFonts w:ascii="Times New Roman" w:cs="Times New Roman" w:eastAsia="Times New Roman" w:hAnsi="Times New Roman"/>
          <w:sz w:val="21"/>
          <w:szCs w:val="21"/>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21"/>
          <w:szCs w:val="21"/>
          <w:b w:val="1"/>
          <w:bCs w:val="1"/>
          <w:i w:val="1"/>
          <w:iCs w:val="1"/>
          <w:color w:val="auto"/>
        </w:rPr>
        <w:t>General Corporation Law</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 AUTHORIZED STOCK</w:t>
      </w:r>
    </w:p>
    <w:p>
      <w:pPr>
        <w:spacing w:after="0" w:line="208" w:lineRule="exact"/>
        <w:rPr>
          <w:sz w:val="20"/>
          <w:szCs w:val="20"/>
          <w:color w:val="auto"/>
        </w:rPr>
      </w:pPr>
    </w:p>
    <w:p>
      <w:pPr>
        <w:jc w:val="both"/>
        <w:ind w:firstLine="870"/>
        <w:spacing w:after="0" w:line="249" w:lineRule="auto"/>
        <w:tabs>
          <w:tab w:leader="none" w:pos="1658"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Total Authorized</w:t>
      </w:r>
      <w:r>
        <w:rPr>
          <w:rFonts w:ascii="Times New Roman" w:cs="Times New Roman" w:eastAsia="Times New Roman" w:hAnsi="Times New Roman"/>
          <w:sz w:val="21"/>
          <w:szCs w:val="21"/>
          <w:color w:val="auto"/>
        </w:rPr>
        <w:t>. The total number of shares of all classes of stock that the Corporation has authority to issue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Five Hundred Ten Million (510,000,000) shares, consisting of two classes: Five Hundred Million (500,000,000) shares of Common Stock, $0.001 par value per share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and Ten Million (10,000,000) shares of Preferred Stock, $0.001 par value per share (“</w:t>
      </w:r>
      <w:r>
        <w:rPr>
          <w:rFonts w:ascii="Times New Roman" w:cs="Times New Roman" w:eastAsia="Times New Roman" w:hAnsi="Times New Roman"/>
          <w:sz w:val="21"/>
          <w:szCs w:val="21"/>
          <w:b w:val="1"/>
          <w:bCs w:val="1"/>
          <w:i w:val="1"/>
          <w:iCs w:val="1"/>
          <w:color w:val="auto"/>
        </w:rPr>
        <w:t>Preferred Stock</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b w:val="1"/>
          <w:bCs w:val="1"/>
          <w:color w:val="auto"/>
        </w:rPr>
      </w:pPr>
    </w:p>
    <w:p>
      <w:pPr>
        <w:ind w:left="1660" w:hanging="790"/>
        <w:spacing w:after="0"/>
        <w:tabs>
          <w:tab w:leader="none" w:pos="166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Designation of Additional Series.</w:t>
      </w:r>
    </w:p>
    <w:p>
      <w:pPr>
        <w:spacing w:after="0" w:line="208" w:lineRule="exact"/>
        <w:rPr>
          <w:sz w:val="20"/>
          <w:szCs w:val="20"/>
          <w:color w:val="auto"/>
        </w:rPr>
      </w:pPr>
    </w:p>
    <w:p>
      <w:pPr>
        <w:jc w:val="both"/>
        <w:ind w:firstLine="1728"/>
        <w:spacing w:after="0" w:line="241" w:lineRule="auto"/>
        <w:rPr>
          <w:sz w:val="20"/>
          <w:szCs w:val="20"/>
          <w:color w:val="auto"/>
        </w:rPr>
      </w:pPr>
      <w:r>
        <w:rPr>
          <w:rFonts w:ascii="Times New Roman" w:cs="Times New Roman" w:eastAsia="Times New Roman" w:hAnsi="Times New Roman"/>
          <w:sz w:val="21"/>
          <w:szCs w:val="21"/>
          <w:color w:val="auto"/>
        </w:rPr>
        <w:t>2.1. The Board of Directors of the Corporation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Times New Roman" w:cs="Times New Roman" w:eastAsia="Times New Roman" w:hAnsi="Times New Roman"/>
          <w:sz w:val="21"/>
          <w:szCs w:val="21"/>
          <w:b w:val="1"/>
          <w:bCs w:val="1"/>
          <w:i w:val="1"/>
          <w:iCs w:val="1"/>
          <w:color w:val="auto"/>
        </w:rPr>
        <w:t>Certificate of Designation</w:t>
      </w:r>
      <w:r>
        <w:rPr>
          <w:rFonts w:ascii="Times New Roman" w:cs="Times New Roman" w:eastAsia="Times New Roman" w:hAnsi="Times New Roman"/>
          <w:sz w:val="21"/>
          <w:szCs w:val="21"/>
          <w:color w:val="auto"/>
        </w:rPr>
        <w:t>”),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5200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8" w:name="page89"/>
    <w:bookmarkEnd w:id="88"/>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Restated Certificate of Incorporation (as the same may be amended and/or restated from time to time, including pursuant to the terms of any Certificate of Designation designating a series of Preferred Stock, this “</w:t>
      </w:r>
      <w:r>
        <w:rPr>
          <w:rFonts w:ascii="Times New Roman" w:cs="Times New Roman" w:eastAsia="Times New Roman" w:hAnsi="Times New Roman"/>
          <w:sz w:val="21"/>
          <w:szCs w:val="21"/>
          <w:b w:val="1"/>
          <w:bCs w:val="1"/>
          <w:i w:val="1"/>
          <w:iCs w:val="1"/>
          <w:color w:val="auto"/>
        </w:rPr>
        <w:t>Certificate of Incorporation</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i w:val="1"/>
          <w:iCs w:val="1"/>
          <w:color w:val="auto"/>
        </w:rPr>
        <w:t>Whole Board</w:t>
      </w:r>
      <w:r>
        <w:rPr>
          <w:rFonts w:ascii="Times New Roman" w:cs="Times New Roman" w:eastAsia="Times New Roman" w:hAnsi="Times New Roman"/>
          <w:sz w:val="21"/>
          <w:szCs w:val="21"/>
          <w:color w:val="auto"/>
        </w:rPr>
        <w:t>” shall mean the total number of authorized directors whether or not there exist any vacancies in previously authorized directorships.</w:t>
      </w:r>
    </w:p>
    <w:p>
      <w:pPr>
        <w:spacing w:after="0" w:line="185" w:lineRule="exact"/>
        <w:rPr>
          <w:sz w:val="20"/>
          <w:szCs w:val="20"/>
          <w:color w:val="auto"/>
        </w:rPr>
      </w:pPr>
    </w:p>
    <w:p>
      <w:pPr>
        <w:jc w:val="both"/>
        <w:ind w:firstLine="1728"/>
        <w:spacing w:after="0" w:line="243" w:lineRule="auto"/>
        <w:rPr>
          <w:sz w:val="20"/>
          <w:szCs w:val="20"/>
          <w:color w:val="auto"/>
        </w:rPr>
      </w:pPr>
      <w:r>
        <w:rPr>
          <w:rFonts w:ascii="Times New Roman" w:cs="Times New Roman" w:eastAsia="Times New Roman" w:hAnsi="Times New Roman"/>
          <w:sz w:val="21"/>
          <w:szCs w:val="21"/>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74" w:lineRule="exact"/>
        <w:rPr>
          <w:sz w:val="20"/>
          <w:szCs w:val="20"/>
          <w:color w:val="auto"/>
        </w:rPr>
      </w:pPr>
    </w:p>
    <w:p>
      <w:pPr>
        <w:jc w:val="both"/>
        <w:ind w:firstLine="1728"/>
        <w:spacing w:after="0" w:line="242" w:lineRule="auto"/>
        <w:rPr>
          <w:sz w:val="20"/>
          <w:szCs w:val="20"/>
          <w:color w:val="auto"/>
        </w:rPr>
      </w:pPr>
      <w:r>
        <w:rPr>
          <w:rFonts w:ascii="Times New Roman" w:cs="Times New Roman" w:eastAsia="Times New Roman" w:hAnsi="Times New Roman"/>
          <w:sz w:val="21"/>
          <w:szCs w:val="21"/>
          <w:color w:val="auto"/>
        </w:rPr>
        <w:t xml:space="preserve">2.3 Each outstanding share of Common Stock shall entitle the holder thereof to one vote on each matter properly submitted to the stockholders of the Corporation for their vote;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that</w:t>
      </w:r>
      <w:r>
        <w:rPr>
          <w:rFonts w:ascii="Times New Roman" w:cs="Times New Roman" w:eastAsia="Times New Roman" w:hAnsi="Times New Roman"/>
          <w:sz w:val="21"/>
          <w:szCs w:val="21"/>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 AMENDMENT OF BYLAWS</w:t>
      </w:r>
    </w:p>
    <w:p>
      <w:pPr>
        <w:spacing w:after="0" w:line="212"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1"/>
          <w:szCs w:val="21"/>
          <w:color w:val="auto"/>
        </w:rPr>
        <w:t>The Board shall have the power to adopt, amend or repeal the Bylaws of the Corporation (as the same may be amended and/or restated from time to time, the “</w:t>
      </w:r>
      <w:r>
        <w:rPr>
          <w:rFonts w:ascii="Times New Roman" w:cs="Times New Roman" w:eastAsia="Times New Roman" w:hAnsi="Times New Roman"/>
          <w:sz w:val="21"/>
          <w:szCs w:val="21"/>
          <w:b w:val="1"/>
          <w:bCs w:val="1"/>
          <w:i w:val="1"/>
          <w:iCs w:val="1"/>
          <w:color w:val="auto"/>
        </w:rPr>
        <w:t>Bylaws</w:t>
      </w:r>
      <w:r>
        <w:rPr>
          <w:rFonts w:ascii="Times New Roman" w:cs="Times New Roman" w:eastAsia="Times New Roman" w:hAnsi="Times New Roman"/>
          <w:sz w:val="21"/>
          <w:szCs w:val="21"/>
          <w:color w:val="auto"/>
        </w:rPr>
        <w:t xml:space="preserve">”). Any adoption, amendment or repeal of the Bylaws by the Board shall require the approval of a majority of the Whole Board. The stockholders shall also have power to adopt, amend or repeal the Bylaws;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that</w:t>
      </w:r>
      <w:r>
        <w:rPr>
          <w:rFonts w:ascii="Times New Roman" w:cs="Times New Roman" w:eastAsia="Times New Roman" w:hAnsi="Times New Roman"/>
          <w:sz w:val="21"/>
          <w:szCs w:val="21"/>
          <w:color w:val="auto"/>
        </w:rPr>
        <w:t>, notwithstanding any other provision of this Certificate of Incorporation or any provision of law that might otherwise permit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lesser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5200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89" w:name="page90"/>
    <w:bookmarkEnd w:id="89"/>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voting together as a single class, shall be required for the stockholders to adopt, amend or repeal any provision of the Bylaws;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further</w:t>
      </w:r>
      <w:r>
        <w:rPr>
          <w:rFonts w:ascii="Times New Roman" w:cs="Times New Roman" w:eastAsia="Times New Roman" w:hAnsi="Times New Roman"/>
          <w:sz w:val="21"/>
          <w:szCs w:val="21"/>
          <w:color w:val="auto"/>
        </w:rPr>
        <w:t>, that, in the case of any proposed adoption, amendment or repeal of any provisions of the Bylaws that is approved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 MATTERS RELATING TO THE BOARD OF DIRECTORS</w:t>
      </w:r>
    </w:p>
    <w:p>
      <w:pPr>
        <w:spacing w:after="0" w:line="208" w:lineRule="exact"/>
        <w:rPr>
          <w:sz w:val="20"/>
          <w:szCs w:val="20"/>
          <w:color w:val="auto"/>
        </w:rPr>
      </w:pPr>
    </w:p>
    <w:p>
      <w:pPr>
        <w:ind w:firstLine="870"/>
        <w:spacing w:after="0" w:line="275" w:lineRule="auto"/>
        <w:tabs>
          <w:tab w:leader="none" w:pos="1658"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Director Powers</w:t>
      </w:r>
      <w:r>
        <w:rPr>
          <w:rFonts w:ascii="Times New Roman" w:cs="Times New Roman" w:eastAsia="Times New Roman" w:hAnsi="Times New Roman"/>
          <w:sz w:val="21"/>
          <w:szCs w:val="21"/>
          <w:color w:val="auto"/>
        </w:rPr>
        <w:t>. Except as otherwise provided by the General Corporation Law or this Certificate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Incorporation, the business and affairs of the Corporation shall be managed by or under the direction of the Board.</w:t>
      </w:r>
    </w:p>
    <w:p>
      <w:pPr>
        <w:spacing w:after="0" w:line="134" w:lineRule="exact"/>
        <w:rPr>
          <w:rFonts w:ascii="Times New Roman" w:cs="Times New Roman" w:eastAsia="Times New Roman" w:hAnsi="Times New Roman"/>
          <w:sz w:val="21"/>
          <w:szCs w:val="21"/>
          <w:b w:val="1"/>
          <w:bCs w:val="1"/>
          <w:color w:val="auto"/>
        </w:rPr>
      </w:pPr>
    </w:p>
    <w:p>
      <w:pPr>
        <w:jc w:val="both"/>
        <w:ind w:firstLine="870"/>
        <w:spacing w:after="0" w:line="256" w:lineRule="auto"/>
        <w:tabs>
          <w:tab w:leader="none" w:pos="1653"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Number of Directors</w:t>
      </w:r>
      <w:r>
        <w:rPr>
          <w:rFonts w:ascii="Times New Roman" w:cs="Times New Roman" w:eastAsia="Times New Roman" w:hAnsi="Times New Roman"/>
          <w:sz w:val="21"/>
          <w:szCs w:val="21"/>
          <w:color w:val="auto"/>
        </w:rPr>
        <w:t>. Subject to the special rights of the holders of any series of Preferred Stock to elect additional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directors under specified circumstances, the total number of directors constituting the Whole Board shall be fixed from time to time exclusively by resolution adopted by a majority of the Whole Board.</w:t>
      </w:r>
    </w:p>
    <w:p>
      <w:pPr>
        <w:spacing w:after="0" w:line="153" w:lineRule="exact"/>
        <w:rPr>
          <w:rFonts w:ascii="Times New Roman" w:cs="Times New Roman" w:eastAsia="Times New Roman" w:hAnsi="Times New Roman"/>
          <w:sz w:val="21"/>
          <w:szCs w:val="21"/>
          <w:b w:val="1"/>
          <w:bCs w:val="1"/>
          <w:color w:val="auto"/>
        </w:rPr>
      </w:pPr>
    </w:p>
    <w:p>
      <w:pPr>
        <w:jc w:val="both"/>
        <w:ind w:firstLine="870"/>
        <w:spacing w:after="0" w:line="239" w:lineRule="auto"/>
        <w:tabs>
          <w:tab w:leader="none" w:pos="1658"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Classified Board</w:t>
      </w:r>
      <w:r>
        <w:rPr>
          <w:rFonts w:ascii="Times New Roman" w:cs="Times New Roman" w:eastAsia="Times New Roman" w:hAnsi="Times New Roman"/>
          <w:sz w:val="21"/>
          <w:szCs w:val="21"/>
          <w:color w:val="auto"/>
        </w:rPr>
        <w:t>. Subject to the special rights of the holders of one or more series of Preferred Stock to elect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additional directors under specified circumstances, the directors shall be divided, with respect to the time for which they severally hold office, into three classes designated as Class I, Class II and Class III, respectively (the “</w:t>
      </w:r>
      <w:r>
        <w:rPr>
          <w:rFonts w:ascii="Times New Roman" w:cs="Times New Roman" w:eastAsia="Times New Roman" w:hAnsi="Times New Roman"/>
          <w:sz w:val="21"/>
          <w:szCs w:val="21"/>
          <w:b w:val="1"/>
          <w:bCs w:val="1"/>
          <w:i w:val="1"/>
          <w:iCs w:val="1"/>
          <w:color w:val="auto"/>
        </w:rPr>
        <w:t>Classified Board</w:t>
      </w:r>
      <w:r>
        <w:rPr>
          <w:rFonts w:ascii="Times New Roman" w:cs="Times New Roman" w:eastAsia="Times New Roman" w:hAnsi="Times New Roman"/>
          <w:sz w:val="21"/>
          <w:szCs w:val="21"/>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as nearly equal as is practicable.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Times New Roman" w:cs="Times New Roman" w:eastAsia="Times New Roman" w:hAnsi="Times New Roman"/>
          <w:sz w:val="21"/>
          <w:szCs w:val="21"/>
          <w:b w:val="1"/>
          <w:bCs w:val="1"/>
          <w:i w:val="1"/>
          <w:iCs w:val="1"/>
          <w:color w:val="auto"/>
        </w:rPr>
        <w:t>Initial Public Offering</w:t>
      </w:r>
      <w:r>
        <w:rPr>
          <w:rFonts w:ascii="Times New Roman" w:cs="Times New Roman" w:eastAsia="Times New Roman" w:hAnsi="Times New Roman"/>
          <w:sz w:val="21"/>
          <w:szCs w:val="21"/>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80" w:lineRule="exact"/>
        <w:rPr>
          <w:rFonts w:ascii="Times New Roman" w:cs="Times New Roman" w:eastAsia="Times New Roman" w:hAnsi="Times New Roman"/>
          <w:sz w:val="21"/>
          <w:szCs w:val="21"/>
          <w:b w:val="1"/>
          <w:bCs w:val="1"/>
          <w:color w:val="auto"/>
        </w:rPr>
      </w:pPr>
    </w:p>
    <w:p>
      <w:pPr>
        <w:jc w:val="both"/>
        <w:ind w:firstLine="870"/>
        <w:spacing w:after="0" w:line="249" w:lineRule="auto"/>
        <w:tabs>
          <w:tab w:leader="none" w:pos="1658"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 and Removal</w:t>
      </w:r>
      <w:r>
        <w:rPr>
          <w:rFonts w:ascii="Times New Roman" w:cs="Times New Roman" w:eastAsia="Times New Roman" w:hAnsi="Times New Roman"/>
          <w:sz w:val="21"/>
          <w:szCs w:val="21"/>
          <w:color w:val="auto"/>
        </w:rPr>
        <w:t>. Each director shall hold office until the annual meeting at which such director’s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expires and until such director’s 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5200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0" w:name="page91"/>
    <w:bookmarkEnd w:id="90"/>
    <w:p>
      <w:pPr>
        <w:jc w:val="both"/>
        <w:spacing w:after="0" w:line="241" w:lineRule="auto"/>
        <w:rPr>
          <w:sz w:val="20"/>
          <w:szCs w:val="20"/>
          <w:color w:val="auto"/>
        </w:rPr>
      </w:pPr>
      <w:r>
        <w:rPr>
          <w:rFonts w:ascii="Times New Roman" w:cs="Times New Roman" w:eastAsia="Times New Roman" w:hAnsi="Times New Roman"/>
          <w:sz w:val="21"/>
          <w:szCs w:val="21"/>
          <w:color w:val="auto"/>
        </w:rPr>
        <w:t>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and to ensure that no one class has more than one director more than any other class, provided that no decrease in the number of directors constituting the Board shall shorten the term of any director.</w:t>
      </w:r>
    </w:p>
    <w:p>
      <w:pPr>
        <w:spacing w:after="0" w:line="174" w:lineRule="exact"/>
        <w:rPr>
          <w:sz w:val="20"/>
          <w:szCs w:val="20"/>
          <w:color w:val="auto"/>
        </w:rPr>
      </w:pPr>
    </w:p>
    <w:p>
      <w:pPr>
        <w:jc w:val="both"/>
        <w:ind w:firstLine="870"/>
        <w:spacing w:after="0" w:line="243" w:lineRule="auto"/>
        <w:tabs>
          <w:tab w:leader="none" w:pos="1658"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Board Vacancies and Newly Created Directorships</w:t>
      </w:r>
      <w:r>
        <w:rPr>
          <w:rFonts w:ascii="Times New Roman" w:cs="Times New Roman" w:eastAsia="Times New Roman" w:hAnsi="Times New Roman"/>
          <w:sz w:val="21"/>
          <w:szCs w:val="21"/>
          <w:color w:val="auto"/>
        </w:rPr>
        <w:t>. Subject to the special rights of the holders of any series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Preferred Stock, any vacancy occurring in the Board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67" w:lineRule="exact"/>
        <w:rPr>
          <w:rFonts w:ascii="Times New Roman" w:cs="Times New Roman" w:eastAsia="Times New Roman" w:hAnsi="Times New Roman"/>
          <w:sz w:val="21"/>
          <w:szCs w:val="21"/>
          <w:b w:val="1"/>
          <w:bCs w:val="1"/>
          <w:color w:val="auto"/>
        </w:rPr>
      </w:pPr>
    </w:p>
    <w:p>
      <w:pPr>
        <w:ind w:left="1660" w:hanging="790"/>
        <w:spacing w:after="0"/>
        <w:tabs>
          <w:tab w:leader="none" w:pos="166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Vote by Ballot</w:t>
      </w:r>
      <w:r>
        <w:rPr>
          <w:rFonts w:ascii="Times New Roman" w:cs="Times New Roman" w:eastAsia="Times New Roman" w:hAnsi="Times New Roman"/>
          <w:sz w:val="21"/>
          <w:szCs w:val="21"/>
          <w:color w:val="auto"/>
        </w:rPr>
        <w:t>. Election of directors need not be by written ballot unless the Bylaws shall so provide.</w:t>
      </w:r>
    </w:p>
    <w:p>
      <w:pPr>
        <w:spacing w:after="0" w:line="208" w:lineRule="exact"/>
        <w:rPr>
          <w:rFonts w:ascii="Times New Roman" w:cs="Times New Roman" w:eastAsia="Times New Roman" w:hAnsi="Times New Roman"/>
          <w:sz w:val="21"/>
          <w:szCs w:val="21"/>
          <w:b w:val="1"/>
          <w:bCs w:val="1"/>
          <w:color w:val="auto"/>
        </w:rPr>
      </w:pPr>
    </w:p>
    <w:p>
      <w:pPr>
        <w:jc w:val="both"/>
        <w:ind w:firstLine="870"/>
        <w:spacing w:after="0"/>
        <w:tabs>
          <w:tab w:leader="none" w:pos="1658"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Preferred Directors</w:t>
      </w:r>
      <w:r>
        <w:rPr>
          <w:rFonts w:ascii="Times New Roman" w:cs="Times New Roman" w:eastAsia="Times New Roman" w:hAnsi="Times New Roman"/>
          <w:sz w:val="21"/>
          <w:szCs w:val="21"/>
          <w:color w:val="auto"/>
        </w:rPr>
        <w:t>. If and for so long as the holders of any series of Preferred Stock have the special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elect additional directors (the “</w:t>
      </w:r>
      <w:r>
        <w:rPr>
          <w:rFonts w:ascii="Times New Roman" w:cs="Times New Roman" w:eastAsia="Times New Roman" w:hAnsi="Times New Roman"/>
          <w:sz w:val="21"/>
          <w:szCs w:val="21"/>
          <w:b w:val="1"/>
          <w:bCs w:val="1"/>
          <w:i w:val="1"/>
          <w:iCs w:val="1"/>
          <w:color w:val="auto"/>
        </w:rPr>
        <w:t>Preferred Directors</w:t>
      </w:r>
      <w:r>
        <w:rPr>
          <w:rFonts w:ascii="Times New Roman" w:cs="Times New Roman" w:eastAsia="Times New Roman" w:hAnsi="Times New Roman"/>
          <w:sz w:val="21"/>
          <w:szCs w:val="21"/>
          <w:color w:val="auto"/>
        </w:rPr>
        <w:t>”), then upon commencement and for the duration of the period during which such right continues: (i) the total authorized number of directors of the Corporation shall automatically be increased by such specified number of Preferred Directors, and the holders of such series of Preferred Stock shall be entitled to elect the Preferred Directors so provided for or fixed pursuant to said provisions, and (ii) each such Preferred Director shall serve until such Preferred Director’s successor shall have been duly elected and qualified, or until such Preferred Director’s right to hold such office terminates pursuant to said provisions, whichever occurs earlier, subject to his or her earlier death, resignation, retirement, disqualification or removal. Except as otherwise provided by the Board in the resolution or resolutions establishing such series of Preferred Stock, whenever the holders of any series of Preferred Stock having such right to elect Preferred Directors are divested of such right pursuant to the provisions of such series of Preferred Stock, the terms of office of all such Preferred Directors shall immediately terminate and the total authorized number of directors of the Corporation shall be reduced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 DIRECTOR LIABILITY</w:t>
      </w:r>
    </w:p>
    <w:p>
      <w:pPr>
        <w:spacing w:after="0" w:line="208" w:lineRule="exact"/>
        <w:rPr>
          <w:sz w:val="20"/>
          <w:szCs w:val="20"/>
          <w:color w:val="auto"/>
        </w:rPr>
      </w:pPr>
    </w:p>
    <w:p>
      <w:pPr>
        <w:jc w:val="both"/>
        <w:ind w:firstLine="870"/>
        <w:spacing w:after="0" w:line="250" w:lineRule="auto"/>
        <w:tabs>
          <w:tab w:leader="none" w:pos="1658"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Limitation of Liability</w:t>
      </w:r>
      <w:r>
        <w:rPr>
          <w:rFonts w:ascii="Times New Roman" w:cs="Times New Roman" w:eastAsia="Times New Roman" w:hAnsi="Times New Roman"/>
          <w:sz w:val="21"/>
          <w:szCs w:val="21"/>
          <w:color w:val="auto"/>
        </w:rPr>
        <w:t>. To the fullest extent permitted by law, no director of the Corporation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personally liable for monetary damages for breach of fiduciary duty as a director. Without limiting the effect of the preceding sentence, if the General Corporation Law is hereafter amended to authorize the further elimination or limitation of the liability of a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5200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1" w:name="page92"/>
    <w:bookmarkEnd w:id="91"/>
    <w:p>
      <w:pPr>
        <w:spacing w:after="0" w:line="271" w:lineRule="auto"/>
        <w:rPr>
          <w:sz w:val="20"/>
          <w:szCs w:val="20"/>
          <w:color w:val="auto"/>
        </w:rPr>
      </w:pPr>
      <w:r>
        <w:rPr>
          <w:rFonts w:ascii="Times New Roman" w:cs="Times New Roman" w:eastAsia="Times New Roman" w:hAnsi="Times New Roman"/>
          <w:sz w:val="21"/>
          <w:szCs w:val="21"/>
          <w:color w:val="auto"/>
        </w:rPr>
        <w:t>then the liability of a director of the Corporation shall be eliminated or limited to the fullest extent permitted by the General Corporation Law, as so amended.</w:t>
      </w:r>
    </w:p>
    <w:p>
      <w:pPr>
        <w:spacing w:after="0" w:line="139" w:lineRule="exact"/>
        <w:rPr>
          <w:sz w:val="20"/>
          <w:szCs w:val="20"/>
          <w:color w:val="auto"/>
        </w:rPr>
      </w:pPr>
    </w:p>
    <w:p>
      <w:pPr>
        <w:jc w:val="both"/>
        <w:ind w:firstLine="870"/>
        <w:spacing w:after="0" w:line="249" w:lineRule="auto"/>
        <w:tabs>
          <w:tab w:leader="none" w:pos="1658"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Change in Rights</w:t>
      </w:r>
      <w:r>
        <w:rPr>
          <w:rFonts w:ascii="Times New Roman" w:cs="Times New Roman" w:eastAsia="Times New Roman" w:hAnsi="Times New Roman"/>
          <w:sz w:val="21"/>
          <w:szCs w:val="21"/>
          <w:color w:val="auto"/>
        </w:rPr>
        <w:t>. Neither any amendment nor repeal of this Article VII, nor the adoption of any provision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VIII: MATTERS RELATING TO STOCKHOLDERS</w:t>
      </w:r>
    </w:p>
    <w:p>
      <w:pPr>
        <w:spacing w:after="0" w:line="208" w:lineRule="exact"/>
        <w:rPr>
          <w:sz w:val="20"/>
          <w:szCs w:val="20"/>
          <w:color w:val="auto"/>
        </w:rPr>
      </w:pPr>
    </w:p>
    <w:p>
      <w:pPr>
        <w:jc w:val="both"/>
        <w:ind w:firstLine="870"/>
        <w:spacing w:after="0" w:line="256" w:lineRule="auto"/>
        <w:tabs>
          <w:tab w:leader="none" w:pos="1658"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Action by Written Consent of Stockholders</w:t>
      </w:r>
      <w:r>
        <w:rPr>
          <w:rFonts w:ascii="Times New Roman" w:cs="Times New Roman" w:eastAsia="Times New Roman" w:hAnsi="Times New Roman"/>
          <w:sz w:val="21"/>
          <w:szCs w:val="21"/>
          <w:color w:val="auto"/>
        </w:rPr>
        <w:t>. Subject to the rights of any series of Preferred Stock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outstanding, no action shall be taken by the stockholders of the Corporation except at a duly called annual or special meeting of stockholders and no action shall be taken by the stockholders of the Corporation by written consent in lieu of a meeting.</w:t>
      </w:r>
    </w:p>
    <w:p>
      <w:pPr>
        <w:spacing w:after="0" w:line="153" w:lineRule="exact"/>
        <w:rPr>
          <w:rFonts w:ascii="Times New Roman" w:cs="Times New Roman" w:eastAsia="Times New Roman" w:hAnsi="Times New Roman"/>
          <w:sz w:val="21"/>
          <w:szCs w:val="21"/>
          <w:b w:val="1"/>
          <w:bCs w:val="1"/>
          <w:color w:val="auto"/>
        </w:rPr>
      </w:pPr>
    </w:p>
    <w:p>
      <w:pPr>
        <w:jc w:val="both"/>
        <w:ind w:firstLine="870"/>
        <w:spacing w:after="0" w:line="249" w:lineRule="auto"/>
        <w:tabs>
          <w:tab w:leader="none" w:pos="1658"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Special Meeting of Stockholders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meetings of the stockholders of the Corporation may be called only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Chairperson of the 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62" w:lineRule="exact"/>
        <w:rPr>
          <w:rFonts w:ascii="Times New Roman" w:cs="Times New Roman" w:eastAsia="Times New Roman" w:hAnsi="Times New Roman"/>
          <w:sz w:val="21"/>
          <w:szCs w:val="21"/>
          <w:b w:val="1"/>
          <w:bCs w:val="1"/>
          <w:color w:val="auto"/>
        </w:rPr>
      </w:pPr>
    </w:p>
    <w:p>
      <w:pPr>
        <w:jc w:val="both"/>
        <w:ind w:firstLine="870"/>
        <w:spacing w:after="0" w:line="249" w:lineRule="auto"/>
        <w:tabs>
          <w:tab w:leader="none" w:pos="1658"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Advance Notice of Stockholder Nominations and Business Transacted at Special Meetings</w:t>
      </w:r>
      <w:r>
        <w:rPr>
          <w:rFonts w:ascii="Times New Roman" w:cs="Times New Roman" w:eastAsia="Times New Roman" w:hAnsi="Times New Roman"/>
          <w:sz w:val="21"/>
          <w:szCs w:val="21"/>
          <w:color w:val="auto"/>
        </w:rPr>
        <w:t>. Advance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 CHOICE OF FORUM</w:t>
      </w:r>
    </w:p>
    <w:p>
      <w:pPr>
        <w:spacing w:after="0" w:line="212"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5200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1"/>
          <w:szCs w:val="21"/>
          <w:b w:val="1"/>
          <w:bCs w:val="1"/>
          <w:color w:val="auto"/>
        </w:rPr>
        <w:t>ARTICLE X: AMENDMENT OF CERTIFICATE OF INCORPORATION</w:t>
      </w:r>
    </w:p>
    <w:p>
      <w:pPr>
        <w:spacing w:after="0" w:line="212"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1"/>
          <w:szCs w:val="21"/>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7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1"/>
          <w:szCs w:val="21"/>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further</w:t>
      </w:r>
      <w:r>
        <w:rPr>
          <w:rFonts w:ascii="Times New Roman" w:cs="Times New Roman" w:eastAsia="Times New Roman" w:hAnsi="Times New Roman"/>
          <w:sz w:val="21"/>
          <w:szCs w:val="21"/>
          <w:color w:val="auto"/>
        </w:rPr>
        <w:t>, that if two-thirds of the Whole Board has approved such amendment or repeal of any provisions of this Certificate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of by this Certificate of Incorporation or any Certificate of Designation), shall be required to amend or repeal such provisions of this Certificate of Incorporation.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34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1"/>
          <w:szCs w:val="21"/>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177800</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194945</wp:posOffset>
            </wp:positionV>
            <wp:extent cx="7134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NURIX THERAPEUTICS, INC.</w:t>
      </w:r>
    </w:p>
    <w:p>
      <w:pPr>
        <w:spacing w:after="0" w:line="1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b w:val="1"/>
          <w:bCs w:val="1"/>
          <w:color w:val="auto"/>
        </w:rPr>
        <w:t>RESTATED BYLAWS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As Adopted July 14, 2020 and</w:t>
      </w:r>
    </w:p>
    <w:p>
      <w:pPr>
        <w:spacing w:after="0" w:line="200" w:lineRule="exact"/>
        <w:rPr>
          <w:sz w:val="20"/>
          <w:szCs w:val="20"/>
          <w:color w:val="auto"/>
        </w:rPr>
      </w:pPr>
    </w:p>
    <w:p>
      <w:pPr>
        <w:spacing w:after="0" w:line="2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As Effective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318135</wp:posOffset>
            </wp:positionV>
            <wp:extent cx="7134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334645</wp:posOffset>
            </wp:positionV>
            <wp:extent cx="7134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1402080</wp:posOffset>
            </wp:positionV>
            <wp:extent cx="715200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81"/>
        </w:trPr>
        <w:tc>
          <w:tcPr>
            <w:tcW w:w="1760" w:type="dxa"/>
            <w:vAlign w:val="bottom"/>
          </w:tcPr>
          <w:p>
            <w:pPr>
              <w:spacing w:after="0"/>
              <w:rPr>
                <w:sz w:val="24"/>
                <w:szCs w:val="24"/>
                <w:color w:val="auto"/>
              </w:rPr>
            </w:pPr>
          </w:p>
        </w:tc>
        <w:tc>
          <w:tcPr>
            <w:tcW w:w="7380" w:type="dxa"/>
            <w:vAlign w:val="bottom"/>
          </w:tcPr>
          <w:p>
            <w:pPr>
              <w:jc w:val="center"/>
              <w:ind w:left="234"/>
              <w:spacing w:after="0"/>
              <w:rPr>
                <w:sz w:val="20"/>
                <w:szCs w:val="20"/>
                <w:color w:val="auto"/>
              </w:rPr>
            </w:pPr>
            <w:r>
              <w:rPr>
                <w:rFonts w:ascii="Times New Roman" w:cs="Times New Roman" w:eastAsia="Times New Roman" w:hAnsi="Times New Roman"/>
                <w:sz w:val="21"/>
                <w:szCs w:val="21"/>
                <w:b w:val="1"/>
                <w:bCs w:val="1"/>
                <w:color w:val="auto"/>
              </w:rPr>
              <w:t>NURIX THERAPEUTICS, INC.</w:t>
            </w:r>
          </w:p>
        </w:tc>
        <w:tc>
          <w:tcPr>
            <w:tcW w:w="2100" w:type="dxa"/>
            <w:vAlign w:val="bottom"/>
          </w:tcPr>
          <w:p>
            <w:pPr>
              <w:spacing w:after="0"/>
              <w:rPr>
                <w:sz w:val="24"/>
                <w:szCs w:val="24"/>
                <w:color w:val="auto"/>
              </w:rPr>
            </w:pPr>
          </w:p>
        </w:tc>
      </w:tr>
      <w:tr>
        <w:trPr>
          <w:trHeight w:val="344"/>
        </w:trPr>
        <w:tc>
          <w:tcPr>
            <w:tcW w:w="1760" w:type="dxa"/>
            <w:vAlign w:val="bottom"/>
          </w:tcPr>
          <w:p>
            <w:pPr>
              <w:spacing w:after="0"/>
              <w:rPr>
                <w:sz w:val="24"/>
                <w:szCs w:val="24"/>
                <w:color w:val="auto"/>
              </w:rPr>
            </w:pPr>
          </w:p>
        </w:tc>
        <w:tc>
          <w:tcPr>
            <w:tcW w:w="7380" w:type="dxa"/>
            <w:vAlign w:val="bottom"/>
          </w:tcPr>
          <w:p>
            <w:pPr>
              <w:jc w:val="center"/>
              <w:ind w:left="234"/>
              <w:spacing w:after="0"/>
              <w:rPr>
                <w:sz w:val="20"/>
                <w:szCs w:val="20"/>
                <w:color w:val="auto"/>
              </w:rPr>
            </w:pPr>
            <w:r>
              <w:rPr>
                <w:rFonts w:ascii="Times New Roman" w:cs="Times New Roman" w:eastAsia="Times New Roman" w:hAnsi="Times New Roman"/>
                <w:sz w:val="21"/>
                <w:szCs w:val="21"/>
                <w:color w:val="auto"/>
              </w:rPr>
              <w:t>(a Delaware corporation)</w:t>
            </w:r>
          </w:p>
        </w:tc>
        <w:tc>
          <w:tcPr>
            <w:tcW w:w="2100" w:type="dxa"/>
            <w:vAlign w:val="bottom"/>
          </w:tcPr>
          <w:p>
            <w:pPr>
              <w:spacing w:after="0"/>
              <w:rPr>
                <w:sz w:val="24"/>
                <w:szCs w:val="24"/>
                <w:color w:val="auto"/>
              </w:rPr>
            </w:pPr>
          </w:p>
        </w:tc>
      </w:tr>
      <w:tr>
        <w:trPr>
          <w:trHeight w:val="450"/>
        </w:trPr>
        <w:tc>
          <w:tcPr>
            <w:tcW w:w="1760" w:type="dxa"/>
            <w:vAlign w:val="bottom"/>
          </w:tcPr>
          <w:p>
            <w:pPr>
              <w:spacing w:after="0"/>
              <w:rPr>
                <w:sz w:val="24"/>
                <w:szCs w:val="24"/>
                <w:color w:val="auto"/>
              </w:rPr>
            </w:pPr>
          </w:p>
        </w:tc>
        <w:tc>
          <w:tcPr>
            <w:tcW w:w="7380" w:type="dxa"/>
            <w:vAlign w:val="bottom"/>
          </w:tcPr>
          <w:p>
            <w:pPr>
              <w:jc w:val="center"/>
              <w:ind w:left="254"/>
              <w:spacing w:after="0"/>
              <w:rPr>
                <w:sz w:val="20"/>
                <w:szCs w:val="20"/>
                <w:color w:val="auto"/>
              </w:rPr>
            </w:pPr>
            <w:r>
              <w:rPr>
                <w:rFonts w:ascii="Times New Roman" w:cs="Times New Roman" w:eastAsia="Times New Roman" w:hAnsi="Times New Roman"/>
                <w:sz w:val="21"/>
                <w:szCs w:val="21"/>
                <w:b w:val="1"/>
                <w:bCs w:val="1"/>
                <w:color w:val="auto"/>
                <w:w w:val="98"/>
              </w:rPr>
              <w:t>RESTATED BYLAWS</w:t>
            </w:r>
          </w:p>
        </w:tc>
        <w:tc>
          <w:tcPr>
            <w:tcW w:w="2100" w:type="dxa"/>
            <w:vAlign w:val="bottom"/>
          </w:tcPr>
          <w:p>
            <w:pPr>
              <w:spacing w:after="0"/>
              <w:rPr>
                <w:sz w:val="24"/>
                <w:szCs w:val="24"/>
                <w:color w:val="auto"/>
              </w:rPr>
            </w:pPr>
          </w:p>
        </w:tc>
      </w:tr>
      <w:tr>
        <w:trPr>
          <w:trHeight w:val="450"/>
        </w:trPr>
        <w:tc>
          <w:tcPr>
            <w:tcW w:w="1760" w:type="dxa"/>
            <w:vAlign w:val="bottom"/>
          </w:tcPr>
          <w:p>
            <w:pPr>
              <w:spacing w:after="0"/>
              <w:rPr>
                <w:sz w:val="24"/>
                <w:szCs w:val="24"/>
                <w:color w:val="auto"/>
              </w:rPr>
            </w:pPr>
          </w:p>
        </w:tc>
        <w:tc>
          <w:tcPr>
            <w:tcW w:w="7380" w:type="dxa"/>
            <w:vAlign w:val="bottom"/>
          </w:tcPr>
          <w:p>
            <w:pPr>
              <w:jc w:val="center"/>
              <w:ind w:left="254"/>
              <w:spacing w:after="0"/>
              <w:rPr>
                <w:sz w:val="20"/>
                <w:szCs w:val="20"/>
                <w:color w:val="auto"/>
              </w:rPr>
            </w:pPr>
            <w:r>
              <w:rPr>
                <w:rFonts w:ascii="Times New Roman" w:cs="Times New Roman" w:eastAsia="Times New Roman" w:hAnsi="Times New Roman"/>
                <w:sz w:val="21"/>
                <w:szCs w:val="21"/>
                <w:b w:val="1"/>
                <w:bCs w:val="1"/>
                <w:color w:val="auto"/>
                <w:w w:val="99"/>
              </w:rPr>
              <w:t>TABLE OF CONTENTS</w:t>
            </w:r>
          </w:p>
        </w:tc>
        <w:tc>
          <w:tcPr>
            <w:tcW w:w="2100" w:type="dxa"/>
            <w:vAlign w:val="bottom"/>
          </w:tcPr>
          <w:p>
            <w:pPr>
              <w:spacing w:after="0"/>
              <w:rPr>
                <w:sz w:val="24"/>
                <w:szCs w:val="24"/>
                <w:color w:val="auto"/>
              </w:rPr>
            </w:pPr>
          </w:p>
        </w:tc>
      </w:tr>
      <w:tr>
        <w:trPr>
          <w:trHeight w:val="434"/>
        </w:trPr>
        <w:tc>
          <w:tcPr>
            <w:tcW w:w="9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I: </w:t>
            </w:r>
            <w:r>
              <w:rPr>
                <w:rFonts w:ascii="Times New Roman" w:cs="Times New Roman" w:eastAsia="Times New Roman" w:hAnsi="Times New Roman"/>
                <w:sz w:val="21"/>
                <w:szCs w:val="21"/>
                <w:color w:val="auto"/>
              </w:rPr>
              <w:t>STOCKHOLDERS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1.1:</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Annual Meetings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1.2:</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Special Meetings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1.3:</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Notice of Meetings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1.4:</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Adjournments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1.5:</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Quorum</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1.6:</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Organization</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1.7:</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Voting; Proxies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1.8:</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Fixing Date for Determination of Stockholders of Record</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3</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1.9:</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List of Stockholders Entitled to Vote</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3</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1.10:</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Inspectors of Elections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4</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1.11:</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Conduct of Meetings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5</w:t>
            </w:r>
          </w:p>
        </w:tc>
      </w:tr>
      <w:tr>
        <w:trPr>
          <w:trHeight w:val="281"/>
        </w:trPr>
        <w:tc>
          <w:tcPr>
            <w:tcW w:w="176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1.12:</w:t>
            </w:r>
          </w:p>
        </w:tc>
        <w:tc>
          <w:tcPr>
            <w:tcW w:w="738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Notice of Stockholder Business; Nominations.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62"/>
        </w:trPr>
        <w:tc>
          <w:tcPr>
            <w:tcW w:w="9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II: </w:t>
            </w:r>
            <w:r>
              <w:rPr>
                <w:rFonts w:ascii="Times New Roman" w:cs="Times New Roman" w:eastAsia="Times New Roman" w:hAnsi="Times New Roman"/>
                <w:sz w:val="21"/>
                <w:szCs w:val="21"/>
                <w:color w:val="auto"/>
              </w:rPr>
              <w:t>BOARD OF DIRECTORS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2.1:</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Number; Qualifications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13</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2.2:</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Election; Resignation; Removal; Vacancies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13</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2.3:</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Regular Meetings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13</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2.4:</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Special Meetings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14</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2.5:</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Remote Meetings Permitted</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14</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2.6:</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Quorum; Vote Required for Action</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14</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2.7:</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Organization</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14</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2.8:</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Unanimous Action by Directors in Lieu of a Meeting</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14</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2.9:</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Powers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14</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2.10:</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Compensation of Directors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14</w:t>
            </w:r>
          </w:p>
        </w:tc>
      </w:tr>
      <w:tr>
        <w:trPr>
          <w:trHeight w:val="281"/>
        </w:trPr>
        <w:tc>
          <w:tcPr>
            <w:tcW w:w="176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2.11:</w:t>
            </w:r>
          </w:p>
        </w:tc>
        <w:tc>
          <w:tcPr>
            <w:tcW w:w="738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Confidentiality</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2"/>
        </w:trPr>
        <w:tc>
          <w:tcPr>
            <w:tcW w:w="9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III: </w:t>
            </w:r>
            <w:r>
              <w:rPr>
                <w:rFonts w:ascii="Times New Roman" w:cs="Times New Roman" w:eastAsia="Times New Roman" w:hAnsi="Times New Roman"/>
                <w:sz w:val="21"/>
                <w:szCs w:val="21"/>
                <w:color w:val="auto"/>
              </w:rPr>
              <w:t>COMMITTEES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3.1:</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Committees</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15</w:t>
            </w:r>
          </w:p>
        </w:tc>
      </w:tr>
      <w:tr>
        <w:trPr>
          <w:trHeight w:val="281"/>
        </w:trPr>
        <w:tc>
          <w:tcPr>
            <w:tcW w:w="176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3.2:</w:t>
            </w:r>
          </w:p>
        </w:tc>
        <w:tc>
          <w:tcPr>
            <w:tcW w:w="738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Committee Rules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2"/>
        </w:trPr>
        <w:tc>
          <w:tcPr>
            <w:tcW w:w="9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IV: </w:t>
            </w:r>
            <w:r>
              <w:rPr>
                <w:rFonts w:ascii="Times New Roman" w:cs="Times New Roman" w:eastAsia="Times New Roman" w:hAnsi="Times New Roman"/>
                <w:sz w:val="21"/>
                <w:szCs w:val="21"/>
                <w:color w:val="auto"/>
              </w:rPr>
              <w:t>OFFICERS; CHAIRPERSON; LEAD INDEPENDENT DIRECTOR</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4.1:</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Generally</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15</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4.2:</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Chief Executive Officer</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16</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4.3:</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Chairperson of the Board</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16</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4.4:</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Lead Independent Director</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16</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4.5:</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President</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17</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4.6:</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Chief Financial Officer</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17</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4.7:</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Treasurer</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17</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4.8:</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Vice President</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17</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4.9:</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Secretary</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17</w:t>
            </w:r>
          </w:p>
        </w:tc>
      </w:tr>
      <w:tr>
        <w:trPr>
          <w:trHeight w:val="238"/>
        </w:trPr>
        <w:tc>
          <w:tcPr>
            <w:tcW w:w="176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4.10:</w:t>
            </w:r>
          </w:p>
        </w:tc>
        <w:tc>
          <w:tcPr>
            <w:tcW w:w="7380" w:type="dxa"/>
            <w:vAlign w:val="bottom"/>
          </w:tcPr>
          <w:p>
            <w:pPr>
              <w:ind w:left="280"/>
              <w:spacing w:after="0" w:line="238" w:lineRule="exact"/>
              <w:rPr>
                <w:sz w:val="20"/>
                <w:szCs w:val="20"/>
                <w:color w:val="auto"/>
              </w:rPr>
            </w:pPr>
            <w:r>
              <w:rPr>
                <w:rFonts w:ascii="Times New Roman" w:cs="Times New Roman" w:eastAsia="Times New Roman" w:hAnsi="Times New Roman"/>
                <w:sz w:val="21"/>
                <w:szCs w:val="21"/>
                <w:color w:val="auto"/>
              </w:rPr>
              <w:t>Delegation of Authority</w:t>
            </w:r>
          </w:p>
        </w:tc>
        <w:tc>
          <w:tcPr>
            <w:tcW w:w="21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17</w:t>
            </w:r>
          </w:p>
        </w:tc>
      </w:tr>
      <w:tr>
        <w:trPr>
          <w:trHeight w:val="281"/>
        </w:trPr>
        <w:tc>
          <w:tcPr>
            <w:tcW w:w="176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4.11:</w:t>
            </w:r>
          </w:p>
        </w:tc>
        <w:tc>
          <w:tcPr>
            <w:tcW w:w="738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Removal</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200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V: </w:t>
            </w:r>
            <w:r>
              <w:rPr>
                <w:rFonts w:ascii="Times New Roman" w:cs="Times New Roman" w:eastAsia="Times New Roman" w:hAnsi="Times New Roman"/>
                <w:sz w:val="21"/>
                <w:szCs w:val="21"/>
                <w:color w:val="auto"/>
              </w:rPr>
              <w:t>STOCK</w:t>
            </w:r>
          </w:p>
        </w:tc>
        <w:tc>
          <w:tcPr>
            <w:tcW w:w="8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5.1:</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Certificates; Uncertificated Shares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18</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5.2:</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Lost, Stolen or Destroyed Stock Certificates; Issuance of New Certificates or Uncertificated Shares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18</w:t>
            </w:r>
          </w:p>
        </w:tc>
      </w:tr>
      <w:tr>
        <w:trPr>
          <w:trHeight w:val="281"/>
        </w:trPr>
        <w:tc>
          <w:tcPr>
            <w:tcW w:w="200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5.3:</w:t>
            </w:r>
          </w:p>
        </w:tc>
        <w:tc>
          <w:tcPr>
            <w:tcW w:w="87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Other Regulations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2"/>
        </w:trPr>
        <w:tc>
          <w:tcPr>
            <w:tcW w:w="107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VI: </w:t>
            </w:r>
            <w:r>
              <w:rPr>
                <w:rFonts w:ascii="Times New Roman" w:cs="Times New Roman" w:eastAsia="Times New Roman" w:hAnsi="Times New Roman"/>
                <w:sz w:val="21"/>
                <w:szCs w:val="21"/>
                <w:color w:val="auto"/>
              </w:rPr>
              <w:t>INDEMNIFICATION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6.1:</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Indemnification of Officers and Directors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18</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6.2:</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Advancement of Expenses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19</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6.3:</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Non-Exclusivity of Rights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19</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6.4:</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Indemnification Contracts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19</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6.5:</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Right of Indemnitee to Bring Suit</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19</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6.6:</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Nature of Rights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20</w:t>
            </w:r>
          </w:p>
        </w:tc>
      </w:tr>
      <w:tr>
        <w:trPr>
          <w:trHeight w:val="281"/>
        </w:trPr>
        <w:tc>
          <w:tcPr>
            <w:tcW w:w="200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6.7:</w:t>
            </w:r>
          </w:p>
        </w:tc>
        <w:tc>
          <w:tcPr>
            <w:tcW w:w="87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Insurance</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62"/>
        </w:trPr>
        <w:tc>
          <w:tcPr>
            <w:tcW w:w="107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VII: </w:t>
            </w:r>
            <w:r>
              <w:rPr>
                <w:rFonts w:ascii="Times New Roman" w:cs="Times New Roman" w:eastAsia="Times New Roman" w:hAnsi="Times New Roman"/>
                <w:sz w:val="21"/>
                <w:szCs w:val="21"/>
                <w:color w:val="auto"/>
              </w:rPr>
              <w:t>NOTICES</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7.1:</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Notice</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20</w:t>
            </w:r>
          </w:p>
        </w:tc>
      </w:tr>
      <w:tr>
        <w:trPr>
          <w:trHeight w:val="281"/>
        </w:trPr>
        <w:tc>
          <w:tcPr>
            <w:tcW w:w="200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7.2:</w:t>
            </w:r>
          </w:p>
        </w:tc>
        <w:tc>
          <w:tcPr>
            <w:tcW w:w="87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Waiver of Notice</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2"/>
        </w:trPr>
        <w:tc>
          <w:tcPr>
            <w:tcW w:w="107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VIII: </w:t>
            </w:r>
            <w:r>
              <w:rPr>
                <w:rFonts w:ascii="Times New Roman" w:cs="Times New Roman" w:eastAsia="Times New Roman" w:hAnsi="Times New Roman"/>
                <w:sz w:val="21"/>
                <w:szCs w:val="21"/>
                <w:color w:val="auto"/>
              </w:rPr>
              <w:t>INTERESTED DIRECTORS</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8.1:</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Interested Directors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21</w:t>
            </w:r>
          </w:p>
        </w:tc>
      </w:tr>
      <w:tr>
        <w:trPr>
          <w:trHeight w:val="281"/>
        </w:trPr>
        <w:tc>
          <w:tcPr>
            <w:tcW w:w="200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8.2:</w:t>
            </w:r>
          </w:p>
        </w:tc>
        <w:tc>
          <w:tcPr>
            <w:tcW w:w="87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Quorum</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2"/>
        </w:trPr>
        <w:tc>
          <w:tcPr>
            <w:tcW w:w="107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IX: </w:t>
            </w:r>
            <w:r>
              <w:rPr>
                <w:rFonts w:ascii="Times New Roman" w:cs="Times New Roman" w:eastAsia="Times New Roman" w:hAnsi="Times New Roman"/>
                <w:sz w:val="21"/>
                <w:szCs w:val="21"/>
                <w:color w:val="auto"/>
              </w:rPr>
              <w:t>MISCELLANEOUS</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9.1:</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Fiscal Year</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22</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9.2:</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Seal</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22</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9.3:</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Form of Records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22</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9.4:</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Reliance Upon Books and Records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22</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9.5:</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Certificate of Incorporation Governs</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22</w:t>
            </w:r>
          </w:p>
        </w:tc>
      </w:tr>
      <w:tr>
        <w:trPr>
          <w:trHeight w:val="238"/>
        </w:trPr>
        <w:tc>
          <w:tcPr>
            <w:tcW w:w="2000" w:type="dxa"/>
            <w:vAlign w:val="bottom"/>
          </w:tcPr>
          <w:p>
            <w:pPr>
              <w:ind w:left="360"/>
              <w:spacing w:after="0" w:line="238" w:lineRule="exact"/>
              <w:rPr>
                <w:sz w:val="20"/>
                <w:szCs w:val="20"/>
                <w:color w:val="auto"/>
              </w:rPr>
            </w:pPr>
            <w:r>
              <w:rPr>
                <w:rFonts w:ascii="Times New Roman" w:cs="Times New Roman" w:eastAsia="Times New Roman" w:hAnsi="Times New Roman"/>
                <w:sz w:val="21"/>
                <w:szCs w:val="21"/>
                <w:b w:val="1"/>
                <w:bCs w:val="1"/>
                <w:color w:val="auto"/>
              </w:rPr>
              <w:t>Section 9.6:</w:t>
            </w:r>
          </w:p>
        </w:tc>
        <w:tc>
          <w:tcPr>
            <w:tcW w:w="8740" w:type="dxa"/>
            <w:vAlign w:val="bottom"/>
          </w:tcPr>
          <w:p>
            <w:pPr>
              <w:ind w:left="40"/>
              <w:spacing w:after="0" w:line="238" w:lineRule="exact"/>
              <w:rPr>
                <w:sz w:val="20"/>
                <w:szCs w:val="20"/>
                <w:color w:val="auto"/>
              </w:rPr>
            </w:pPr>
            <w:r>
              <w:rPr>
                <w:rFonts w:ascii="Times New Roman" w:cs="Times New Roman" w:eastAsia="Times New Roman" w:hAnsi="Times New Roman"/>
                <w:sz w:val="21"/>
                <w:szCs w:val="21"/>
                <w:color w:val="auto"/>
              </w:rPr>
              <w:t>Severability</w:t>
            </w:r>
          </w:p>
        </w:tc>
        <w:tc>
          <w:tcPr>
            <w:tcW w:w="5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22</w:t>
            </w:r>
          </w:p>
        </w:tc>
      </w:tr>
      <w:tr>
        <w:trPr>
          <w:trHeight w:val="281"/>
        </w:trPr>
        <w:tc>
          <w:tcPr>
            <w:tcW w:w="200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rPr>
              <w:t>Section 9.7:</w:t>
            </w:r>
          </w:p>
        </w:tc>
        <w:tc>
          <w:tcPr>
            <w:tcW w:w="87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Time Periods</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304"/>
        </w:trPr>
        <w:tc>
          <w:tcPr>
            <w:tcW w:w="107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X: </w:t>
            </w:r>
            <w:r>
              <w:rPr>
                <w:rFonts w:ascii="Times New Roman" w:cs="Times New Roman" w:eastAsia="Times New Roman" w:hAnsi="Times New Roman"/>
                <w:sz w:val="21"/>
                <w:szCs w:val="21"/>
                <w:color w:val="auto"/>
              </w:rPr>
              <w:t>AMENDMENT</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304"/>
        </w:trPr>
        <w:tc>
          <w:tcPr>
            <w:tcW w:w="107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xml:space="preserve">ARTICLE XI: </w:t>
            </w:r>
            <w:r>
              <w:rPr>
                <w:rFonts w:ascii="Times New Roman" w:cs="Times New Roman" w:eastAsia="Times New Roman" w:hAnsi="Times New Roman"/>
                <w:sz w:val="21"/>
                <w:szCs w:val="21"/>
                <w:color w:val="auto"/>
              </w:rPr>
              <w:t>EXCLUSIVE FORUM</w:t>
            </w: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200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1"/>
          <w:szCs w:val="21"/>
          <w:b w:val="1"/>
          <w:bCs w:val="1"/>
          <w:color w:val="auto"/>
        </w:rPr>
        <w:t>NURIX THERAPEUTICS, INC.</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0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b w:val="1"/>
          <w:bCs w:val="1"/>
          <w:color w:val="auto"/>
        </w:rPr>
        <w:t>RESTATED BYLAWS</w:t>
      </w:r>
    </w:p>
    <w:p>
      <w:pPr>
        <w:spacing w:after="0" w:line="1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As Adopted July 14, 2020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Effective July 28, 2020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 STOCKHOLDERS</w:t>
      </w:r>
    </w:p>
    <w:p>
      <w:pPr>
        <w:spacing w:after="0" w:line="208"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b w:val="1"/>
          <w:bCs w:val="1"/>
          <w:u w:val="single" w:color="auto"/>
          <w:color w:val="auto"/>
        </w:rPr>
        <w:t>Annual Meetings</w:t>
      </w:r>
      <w:r>
        <w:rPr>
          <w:rFonts w:ascii="Times New Roman" w:cs="Times New Roman" w:eastAsia="Times New Roman" w:hAnsi="Times New Roman"/>
          <w:sz w:val="21"/>
          <w:szCs w:val="21"/>
          <w:color w:val="auto"/>
        </w:rPr>
        <w:t>. If required by applicable law, an annual meeting of stockholders shall be held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election of directors at such date and time as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Nurix Therapeutics, Inc. (the “</w:t>
      </w:r>
      <w:r>
        <w:rPr>
          <w:rFonts w:ascii="Times New Roman" w:cs="Times New Roman" w:eastAsia="Times New Roman" w:hAnsi="Times New Roman"/>
          <w:sz w:val="21"/>
          <w:szCs w:val="21"/>
          <w:b w:val="1"/>
          <w:bCs w:val="1"/>
          <w:i w:val="1"/>
          <w:iCs w:val="1"/>
          <w:color w:val="auto"/>
        </w:rPr>
        <w:t>Corporation</w:t>
      </w:r>
      <w:r>
        <w:rPr>
          <w:rFonts w:ascii="Times New Roman" w:cs="Times New Roman" w:eastAsia="Times New Roman" w:hAnsi="Times New Roman"/>
          <w:sz w:val="21"/>
          <w:szCs w:val="21"/>
          <w:color w:val="auto"/>
        </w:rPr>
        <w:t>”) shall each year fix. The meeting may be held either at a place, within or without the State of Delaware as permitted by the Delaware General Corporation Law (the “</w:t>
      </w:r>
      <w:r>
        <w:rPr>
          <w:rFonts w:ascii="Times New Roman" w:cs="Times New Roman" w:eastAsia="Times New Roman" w:hAnsi="Times New Roman"/>
          <w:sz w:val="21"/>
          <w:szCs w:val="21"/>
          <w:b w:val="1"/>
          <w:bCs w:val="1"/>
          <w:i w:val="1"/>
          <w:iCs w:val="1"/>
          <w:color w:val="auto"/>
        </w:rPr>
        <w:t>DGCL</w:t>
      </w:r>
      <w:r>
        <w:rPr>
          <w:rFonts w:ascii="Times New Roman" w:cs="Times New Roman" w:eastAsia="Times New Roman" w:hAnsi="Times New Roman"/>
          <w:sz w:val="21"/>
          <w:szCs w:val="21"/>
          <w:color w:val="auto"/>
        </w:rPr>
        <w:t>”), or by means of remote communication as the Board in its sole discretion may determine. Any proper business may be transacted at the annual meeting.</w:t>
      </w:r>
    </w:p>
    <w:p>
      <w:pPr>
        <w:spacing w:after="0" w:line="165"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1.2: </w:t>
      </w:r>
      <w:r>
        <w:rPr>
          <w:rFonts w:ascii="Times New Roman" w:cs="Times New Roman" w:eastAsia="Times New Roman" w:hAnsi="Times New Roman"/>
          <w:sz w:val="21"/>
          <w:szCs w:val="21"/>
          <w:b w:val="1"/>
          <w:bCs w:val="1"/>
          <w:u w:val="single" w:color="auto"/>
          <w:color w:val="auto"/>
        </w:rPr>
        <w:t>Special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meetings of stockholders for any purpose or purposes shall be called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manner set forth in the Restated Certificate of Incorporation of the Corporation (as the same may be amended and/or restated from time to time, the “</w:t>
      </w:r>
      <w:r>
        <w:rPr>
          <w:rFonts w:ascii="Times New Roman" w:cs="Times New Roman" w:eastAsia="Times New Roman" w:hAnsi="Times New Roman"/>
          <w:sz w:val="21"/>
          <w:szCs w:val="21"/>
          <w:b w:val="1"/>
          <w:bCs w:val="1"/>
          <w:i w:val="1"/>
          <w:iCs w:val="1"/>
          <w:color w:val="auto"/>
        </w:rPr>
        <w:t>Certificate of Incorporation</w:t>
      </w:r>
      <w:r>
        <w:rPr>
          <w:rFonts w:ascii="Times New Roman" w:cs="Times New Roman" w:eastAsia="Times New Roman" w:hAnsi="Times New Roman"/>
          <w:sz w:val="21"/>
          <w:szCs w:val="21"/>
          <w:color w:val="auto"/>
        </w:rPr>
        <w:t>”).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65"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1.3: </w:t>
      </w:r>
      <w:r>
        <w:rPr>
          <w:rFonts w:ascii="Times New Roman" w:cs="Times New Roman" w:eastAsia="Times New Roman" w:hAnsi="Times New Roman"/>
          <w:sz w:val="21"/>
          <w:szCs w:val="21"/>
          <w:b w:val="1"/>
          <w:bCs w:val="1"/>
          <w:u w:val="single" w:color="auto"/>
          <w:color w:val="auto"/>
        </w:rPr>
        <w:t>Notice of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of all meetings of stockholders shall be given in writing or by electronic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transmission in 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73"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1"/>
          <w:szCs w:val="21"/>
          <w:b w:val="1"/>
          <w:bCs w:val="1"/>
          <w:color w:val="auto"/>
        </w:rPr>
        <w:t xml:space="preserve">Section 1.4: </w:t>
      </w:r>
      <w:r>
        <w:rPr>
          <w:rFonts w:ascii="Times New Roman" w:cs="Times New Roman" w:eastAsia="Times New Roman" w:hAnsi="Times New Roman"/>
          <w:sz w:val="21"/>
          <w:szCs w:val="21"/>
          <w:b w:val="1"/>
          <w:bCs w:val="1"/>
          <w:u w:val="single" w:color="auto"/>
          <w:color w:val="auto"/>
        </w:rPr>
        <w:t>Adjournments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Section 1.5 of these Bylaws, the chairperson of the meeting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have the power to adjourn the 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adjournment is for more than thirty (30) days, a notice of the adjourned meeting shall be given to each stockholder of record entitled to vote at the meeting. If, after the adjournment, a new record date for determination of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7" w:name="page98"/>
    <w:bookmarkEnd w:id="97"/>
    <w:p>
      <w:pPr>
        <w:jc w:val="both"/>
        <w:spacing w:after="0" w:line="241" w:lineRule="auto"/>
        <w:rPr>
          <w:sz w:val="20"/>
          <w:szCs w:val="20"/>
          <w:color w:val="auto"/>
        </w:rPr>
      </w:pPr>
      <w:r>
        <w:rPr>
          <w:rFonts w:ascii="Times New Roman" w:cs="Times New Roman" w:eastAsia="Times New Roman" w:hAnsi="Times New Roman"/>
          <w:sz w:val="21"/>
          <w:szCs w:val="21"/>
          <w:color w:val="auto"/>
        </w:rPr>
        <w:t>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69"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1"/>
          <w:szCs w:val="21"/>
          <w:b w:val="1"/>
          <w:bCs w:val="1"/>
          <w:color w:val="auto"/>
        </w:rPr>
        <w:t xml:space="preserve">Section 1.5: </w:t>
      </w:r>
      <w:r>
        <w:rPr>
          <w:rFonts w:ascii="Times New Roman" w:cs="Times New Roman" w:eastAsia="Times New Roman" w:hAnsi="Times New Roman"/>
          <w:sz w:val="21"/>
          <w:szCs w:val="21"/>
          <w:b w:val="1"/>
          <w:bCs w:val="1"/>
          <w:u w:val="single" w:color="auto"/>
          <w:color w:val="auto"/>
        </w:rPr>
        <w:t>Quorum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otherwise provided by applicable law, the Certificate of Incorporation or these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Bylaws,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7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1.6: </w:t>
      </w:r>
      <w:r>
        <w:rPr>
          <w:rFonts w:ascii="Times New Roman" w:cs="Times New Roman" w:eastAsia="Times New Roman" w:hAnsi="Times New Roman"/>
          <w:sz w:val="21"/>
          <w:szCs w:val="21"/>
          <w:b w:val="1"/>
          <w:bCs w:val="1"/>
          <w:u w:val="single" w:color="auto"/>
          <w:color w:val="auto"/>
        </w:rPr>
        <w:t>Organization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Meetings of stockholders shall be presided over by (a) such person as the Board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 or (b) in the absence 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6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1.7: </w:t>
      </w:r>
      <w:r>
        <w:rPr>
          <w:rFonts w:ascii="Times New Roman" w:cs="Times New Roman" w:eastAsia="Times New Roman" w:hAnsi="Times New Roman"/>
          <w:sz w:val="21"/>
          <w:szCs w:val="21"/>
          <w:b w:val="1"/>
          <w:bCs w:val="1"/>
          <w:u w:val="single" w:color="auto"/>
          <w:color w:val="auto"/>
        </w:rPr>
        <w:t>Voting; Proxies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stockholder of record entitled to vote at a meeting of stockholders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8" w:name="page99"/>
    <w:bookmarkEnd w:id="98"/>
    <w:p>
      <w:pPr>
        <w:jc w:val="both"/>
        <w:spacing w:after="0" w:line="242" w:lineRule="auto"/>
        <w:rPr>
          <w:sz w:val="20"/>
          <w:szCs w:val="20"/>
          <w:color w:val="auto"/>
        </w:rPr>
      </w:pPr>
      <w:r>
        <w:rPr>
          <w:rFonts w:ascii="Times New Roman" w:cs="Times New Roman" w:eastAsia="Times New Roman" w:hAnsi="Times New Roman"/>
          <w:sz w:val="21"/>
          <w:szCs w:val="21"/>
          <w:color w:val="auto"/>
        </w:rPr>
        <w:t>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71"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1"/>
          <w:szCs w:val="21"/>
          <w:b w:val="1"/>
          <w:bCs w:val="1"/>
          <w:color w:val="auto"/>
        </w:rPr>
        <w:t xml:space="preserve">Section 1.8: </w:t>
      </w:r>
      <w:r>
        <w:rPr>
          <w:rFonts w:ascii="Times New Roman" w:cs="Times New Roman" w:eastAsia="Times New Roman" w:hAnsi="Times New Roman"/>
          <w:sz w:val="21"/>
          <w:szCs w:val="21"/>
          <w:b w:val="1"/>
          <w:bCs w:val="1"/>
          <w:u w:val="single" w:color="auto"/>
          <w:color w:val="auto"/>
        </w:rPr>
        <w:t>Fixing Date for Determination of Stockholders of Record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order that the Corporation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12"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7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1.9: </w:t>
      </w:r>
      <w:r>
        <w:rPr>
          <w:rFonts w:ascii="Times New Roman" w:cs="Times New Roman" w:eastAsia="Times New Roman" w:hAnsi="Times New Roman"/>
          <w:sz w:val="21"/>
          <w:szCs w:val="21"/>
          <w:b w:val="1"/>
          <w:bCs w:val="1"/>
          <w:u w:val="single" w:color="auto"/>
          <w:color w:val="auto"/>
        </w:rPr>
        <w:t>List of Stockholders Entitled to Vote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Corporation shall prepare, at least ten (10) days before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every meeting of stockholders, a complete list of stockholders entitled to vote at the meeting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9" w:name="page100"/>
    <w:bookmarkEnd w:id="99"/>
    <w:p>
      <w:pPr>
        <w:jc w:val="both"/>
        <w:spacing w:after="0" w:line="243" w:lineRule="auto"/>
        <w:rPr>
          <w:sz w:val="20"/>
          <w:szCs w:val="20"/>
          <w:color w:val="auto"/>
        </w:rPr>
      </w:pPr>
      <w:r>
        <w:rPr>
          <w:rFonts w:ascii="Times New Roman" w:cs="Times New Roman" w:eastAsia="Times New Roman" w:hAnsi="Times New Roman"/>
          <w:sz w:val="21"/>
          <w:szCs w:val="21"/>
          <w:color w:val="auto"/>
        </w:rPr>
        <w:t>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18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Section 1.10:</w:t>
            </w:r>
          </w:p>
        </w:tc>
        <w:tc>
          <w:tcPr>
            <w:tcW w:w="858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Inspectors of Elections.</w:t>
            </w:r>
          </w:p>
        </w:tc>
      </w:tr>
      <w:tr>
        <w:trPr>
          <w:trHeight w:val="20"/>
        </w:trPr>
        <w:tc>
          <w:tcPr>
            <w:tcW w:w="1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30"/>
        </w:trPr>
        <w:tc>
          <w:tcPr>
            <w:tcW w:w="1800" w:type="dxa"/>
            <w:vAlign w:val="bottom"/>
          </w:tcPr>
          <w:p>
            <w:pPr>
              <w:spacing w:after="0"/>
              <w:rPr>
                <w:sz w:val="20"/>
                <w:szCs w:val="20"/>
                <w:color w:val="auto"/>
              </w:rPr>
            </w:pPr>
            <w:r>
              <w:rPr>
                <w:rFonts w:ascii="Times New Roman" w:cs="Times New Roman" w:eastAsia="Times New Roman" w:hAnsi="Times New Roman"/>
                <w:sz w:val="21"/>
                <w:szCs w:val="21"/>
                <w:color w:val="010000"/>
              </w:rPr>
              <w:t>1.10.1</w:t>
            </w:r>
          </w:p>
        </w:tc>
        <w:tc>
          <w:tcPr>
            <w:tcW w:w="85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Applicability. Unless otherwise required by the Certificate of Incorporation or by applicable law, the</w:t>
            </w:r>
          </w:p>
        </w:tc>
      </w:tr>
      <w:tr>
        <w:trPr>
          <w:trHeight w:val="20"/>
        </w:trPr>
        <w:tc>
          <w:tcPr>
            <w:tcW w:w="1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jc w:val="both"/>
        <w:spacing w:after="0" w:line="248" w:lineRule="auto"/>
        <w:rPr>
          <w:sz w:val="20"/>
          <w:szCs w:val="20"/>
          <w:color w:val="auto"/>
        </w:rPr>
      </w:pPr>
      <w:r>
        <w:rPr>
          <w:rFonts w:ascii="Times New Roman" w:cs="Times New Roman" w:eastAsia="Times New Roman" w:hAnsi="Times New Roman"/>
          <w:sz w:val="21"/>
          <w:szCs w:val="21"/>
          <w:color w:val="auto"/>
        </w:rPr>
        <w:t>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66" w:lineRule="exact"/>
        <w:rPr>
          <w:sz w:val="20"/>
          <w:szCs w:val="20"/>
          <w:color w:val="auto"/>
        </w:rPr>
      </w:pPr>
    </w:p>
    <w:p>
      <w:pPr>
        <w:jc w:val="both"/>
        <w:ind w:firstLine="864"/>
        <w:spacing w:after="0" w:line="248" w:lineRule="auto"/>
        <w:rPr>
          <w:sz w:val="20"/>
          <w:szCs w:val="20"/>
          <w:color w:val="auto"/>
        </w:rPr>
      </w:pPr>
      <w:r>
        <w:rPr>
          <w:rFonts w:ascii="Times New Roman" w:cs="Times New Roman" w:eastAsia="Times New Roman" w:hAnsi="Times New Roman"/>
          <w:sz w:val="21"/>
          <w:szCs w:val="21"/>
          <w:color w:val="010000"/>
        </w:rPr>
        <w:t xml:space="preserve">1.10.2 </w:t>
      </w:r>
      <w:r>
        <w:rPr>
          <w:rFonts w:ascii="Times New Roman" w:cs="Times New Roman" w:eastAsia="Times New Roman" w:hAnsi="Times New Roman"/>
          <w:sz w:val="21"/>
          <w:szCs w:val="21"/>
          <w:u w:val="single" w:color="auto"/>
          <w:color w:val="000000"/>
        </w:rPr>
        <w:t>Appointment</w:t>
      </w:r>
      <w:r>
        <w:rPr>
          <w:rFonts w:ascii="Times New Roman" w:cs="Times New Roman" w:eastAsia="Times New Roman" w:hAnsi="Times New Roman"/>
          <w:sz w:val="21"/>
          <w:szCs w:val="21"/>
          <w:color w:val="000000"/>
        </w:rPr>
        <w:t>. The Corporation shall, in advance of any meeting of stockholders, appoint one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6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21"/>
          <w:szCs w:val="21"/>
          <w:color w:val="010000"/>
        </w:rPr>
        <w:t xml:space="preserve">1.10.3 </w:t>
      </w:r>
      <w:r>
        <w:rPr>
          <w:rFonts w:ascii="Times New Roman" w:cs="Times New Roman" w:eastAsia="Times New Roman" w:hAnsi="Times New Roman"/>
          <w:sz w:val="21"/>
          <w:szCs w:val="21"/>
          <w:u w:val="single" w:color="auto"/>
          <w:color w:val="000000"/>
        </w:rPr>
        <w:t>Inspector’s Oath</w:t>
      </w:r>
      <w:r>
        <w:rPr>
          <w:rFonts w:ascii="Times New Roman" w:cs="Times New Roman" w:eastAsia="Times New Roman" w:hAnsi="Times New Roman"/>
          <w:sz w:val="21"/>
          <w:szCs w:val="21"/>
          <w:color w:val="000000"/>
        </w:rPr>
        <w:t>. Each inspector of election, before entering upon the discharge of his or her duties,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shall take and sign an oath faithfully to execute the duties of inspector with strict impartiality and according to the best of such inspector’s ability.</w:t>
      </w:r>
    </w:p>
    <w:p>
      <w:pPr>
        <w:spacing w:after="0" w:line="200" w:lineRule="exact"/>
        <w:rPr>
          <w:sz w:val="20"/>
          <w:szCs w:val="20"/>
          <w:color w:val="auto"/>
        </w:rPr>
      </w:pPr>
    </w:p>
    <w:p>
      <w:pPr>
        <w:spacing w:after="0" w:line="205"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color w:val="010000"/>
        </w:rPr>
        <w:t xml:space="preserve">1.10.4 </w:t>
      </w:r>
      <w:r>
        <w:rPr>
          <w:rFonts w:ascii="Times New Roman" w:cs="Times New Roman" w:eastAsia="Times New Roman" w:hAnsi="Times New Roman"/>
          <w:sz w:val="21"/>
          <w:szCs w:val="21"/>
          <w:u w:val="single" w:color="auto"/>
          <w:color w:val="000000"/>
        </w:rPr>
        <w:t>Duties of Inspectors</w:t>
      </w:r>
      <w:r>
        <w:rPr>
          <w:rFonts w:ascii="Times New Roman" w:cs="Times New Roman" w:eastAsia="Times New Roman" w:hAnsi="Times New Roman"/>
          <w:sz w:val="21"/>
          <w:szCs w:val="21"/>
          <w:color w:val="000000"/>
        </w:rPr>
        <w:t>. At a meeting of stockholders, the inspectors of election shall (a) ascertain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74" w:lineRule="exact"/>
        <w:rPr>
          <w:sz w:val="20"/>
          <w:szCs w:val="20"/>
          <w:color w:val="auto"/>
        </w:rPr>
      </w:pPr>
    </w:p>
    <w:p>
      <w:pPr>
        <w:jc w:val="both"/>
        <w:ind w:firstLine="864"/>
        <w:spacing w:after="0" w:line="248" w:lineRule="auto"/>
        <w:rPr>
          <w:sz w:val="20"/>
          <w:szCs w:val="20"/>
          <w:color w:val="auto"/>
        </w:rPr>
      </w:pPr>
      <w:r>
        <w:rPr>
          <w:rFonts w:ascii="Times New Roman" w:cs="Times New Roman" w:eastAsia="Times New Roman" w:hAnsi="Times New Roman"/>
          <w:sz w:val="21"/>
          <w:szCs w:val="21"/>
          <w:color w:val="010000"/>
        </w:rPr>
        <w:t xml:space="preserve">1.10.5 </w:t>
      </w:r>
      <w:r>
        <w:rPr>
          <w:rFonts w:ascii="Times New Roman" w:cs="Times New Roman" w:eastAsia="Times New Roman" w:hAnsi="Times New Roman"/>
          <w:sz w:val="21"/>
          <w:szCs w:val="21"/>
          <w:u w:val="single" w:color="auto"/>
          <w:color w:val="000000"/>
        </w:rPr>
        <w:t>Opening and Closing of Polls</w:t>
      </w:r>
      <w:r>
        <w:rPr>
          <w:rFonts w:ascii="Times New Roman" w:cs="Times New Roman" w:eastAsia="Times New Roman" w:hAnsi="Times New Roman"/>
          <w:sz w:val="21"/>
          <w:szCs w:val="21"/>
          <w:color w:val="000000"/>
        </w:rPr>
        <w:t>. The date and time of the opening and the closing of the polls for each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67"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color w:val="010000"/>
        </w:rPr>
        <w:t xml:space="preserve">1.10.6 </w:t>
      </w:r>
      <w:r>
        <w:rPr>
          <w:rFonts w:ascii="Times New Roman" w:cs="Times New Roman" w:eastAsia="Times New Roman" w:hAnsi="Times New Roman"/>
          <w:sz w:val="21"/>
          <w:szCs w:val="21"/>
          <w:u w:val="single" w:color="auto"/>
          <w:color w:val="000000"/>
        </w:rPr>
        <w:t>Determinations</w:t>
      </w:r>
      <w:r>
        <w:rPr>
          <w:rFonts w:ascii="Times New Roman" w:cs="Times New Roman" w:eastAsia="Times New Roman" w:hAnsi="Times New Roman"/>
          <w:sz w:val="21"/>
          <w:szCs w:val="21"/>
          <w:color w:val="000000"/>
        </w:rPr>
        <w:t>. In determining the validity and counting of proxies and ballots, the inspectors shall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jc w:val="both"/>
        <w:spacing w:after="0" w:line="245" w:lineRule="auto"/>
        <w:rPr>
          <w:sz w:val="20"/>
          <w:szCs w:val="20"/>
          <w:color w:val="auto"/>
        </w:rPr>
      </w:pPr>
      <w:r>
        <w:rPr>
          <w:rFonts w:ascii="Times New Roman" w:cs="Times New Roman" w:eastAsia="Times New Roman" w:hAnsi="Times New Roman"/>
          <w:sz w:val="21"/>
          <w:szCs w:val="21"/>
          <w:color w:val="auto"/>
        </w:rPr>
        <w:t>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6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1"/>
          <w:szCs w:val="21"/>
          <w:b w:val="1"/>
          <w:bCs w:val="1"/>
          <w:color w:val="auto"/>
        </w:rPr>
        <w:t xml:space="preserve">Section 1.11: </w:t>
      </w:r>
      <w:r>
        <w:rPr>
          <w:rFonts w:ascii="Times New Roman" w:cs="Times New Roman" w:eastAsia="Times New Roman" w:hAnsi="Times New Roman"/>
          <w:sz w:val="21"/>
          <w:szCs w:val="21"/>
          <w:b w:val="1"/>
          <w:bCs w:val="1"/>
          <w:u w:val="single" w:color="auto"/>
          <w:color w:val="auto"/>
        </w:rPr>
        <w:t>Conduct of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may adopt by resolution such rules and regulations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1" w:lineRule="exact"/>
        <w:rPr>
          <w:sz w:val="20"/>
          <w:szCs w:val="20"/>
          <w:color w:val="auto"/>
        </w:rPr>
      </w:pPr>
    </w:p>
    <w:p>
      <w:pPr>
        <w:ind w:left="860"/>
        <w:spacing w:after="0"/>
        <w:tabs>
          <w:tab w:leader="none" w:pos="2640" w:val="left"/>
        </w:tabs>
        <w:rPr>
          <w:sz w:val="20"/>
          <w:szCs w:val="20"/>
          <w:color w:val="auto"/>
        </w:rPr>
      </w:pPr>
      <w:r>
        <w:rPr>
          <w:rFonts w:ascii="Times New Roman" w:cs="Times New Roman" w:eastAsia="Times New Roman" w:hAnsi="Times New Roman"/>
          <w:sz w:val="21"/>
          <w:szCs w:val="21"/>
          <w:b w:val="1"/>
          <w:bCs w:val="1"/>
          <w:color w:val="auto"/>
        </w:rPr>
        <w:t>Section 1.12:</w:t>
      </w:r>
      <w:r>
        <w:rPr>
          <w:sz w:val="20"/>
          <w:szCs w:val="20"/>
          <w:color w:val="auto"/>
        </w:rPr>
        <w:tab/>
      </w:r>
      <w:r>
        <w:rPr>
          <w:rFonts w:ascii="Times New Roman" w:cs="Times New Roman" w:eastAsia="Times New Roman" w:hAnsi="Times New Roman"/>
          <w:sz w:val="21"/>
          <w:szCs w:val="21"/>
          <w:b w:val="1"/>
          <w:bCs w:val="1"/>
          <w:u w:val="single" w:color="auto"/>
          <w:color w:val="auto"/>
        </w:rPr>
        <w:t>Notice of Stockholder Business; Nominations.</w:t>
      </w:r>
    </w:p>
    <w:p>
      <w:pPr>
        <w:spacing w:after="0" w:line="212" w:lineRule="exact"/>
        <w:rPr>
          <w:sz w:val="20"/>
          <w:szCs w:val="20"/>
          <w:color w:val="auto"/>
        </w:rPr>
      </w:pPr>
    </w:p>
    <w:p>
      <w:pPr>
        <w:ind w:left="860"/>
        <w:spacing w:after="0"/>
        <w:tabs>
          <w:tab w:leader="none" w:pos="2640" w:val="left"/>
        </w:tabs>
        <w:rPr>
          <w:sz w:val="20"/>
          <w:szCs w:val="20"/>
          <w:color w:val="auto"/>
        </w:rPr>
      </w:pPr>
      <w:r>
        <w:rPr>
          <w:rFonts w:ascii="Times New Roman" w:cs="Times New Roman" w:eastAsia="Times New Roman" w:hAnsi="Times New Roman"/>
          <w:sz w:val="21"/>
          <w:szCs w:val="21"/>
          <w:color w:val="010000"/>
        </w:rPr>
        <w:t>1.12.1</w:t>
      </w:r>
      <w:r>
        <w:rPr>
          <w:sz w:val="20"/>
          <w:szCs w:val="20"/>
          <w:color w:val="auto"/>
        </w:rPr>
        <w:tab/>
      </w:r>
      <w:r>
        <w:rPr>
          <w:rFonts w:ascii="Times New Roman" w:cs="Times New Roman" w:eastAsia="Times New Roman" w:hAnsi="Times New Roman"/>
          <w:sz w:val="21"/>
          <w:szCs w:val="21"/>
          <w:u w:val="single" w:color="auto"/>
          <w:color w:val="auto"/>
        </w:rPr>
        <w:t>Annual Meeting of Stockholders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870"/>
        <w:spacing w:after="0"/>
        <w:tabs>
          <w:tab w:leader="none" w:pos="2369"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Times New Roman" w:cs="Times New Roman" w:eastAsia="Times New Roman" w:hAnsi="Times New Roman"/>
          <w:sz w:val="21"/>
          <w:szCs w:val="21"/>
          <w:b w:val="1"/>
          <w:bCs w:val="1"/>
          <w:i w:val="1"/>
          <w:iCs w:val="1"/>
          <w:color w:val="auto"/>
        </w:rPr>
        <w:t>Record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Stockholder</w:t>
      </w:r>
      <w:r>
        <w:rPr>
          <w:rFonts w:ascii="Times New Roman" w:cs="Times New Roman" w:eastAsia="Times New Roman" w:hAnsi="Times New Roman"/>
          <w:sz w:val="21"/>
          <w:szCs w:val="21"/>
          <w:color w:val="auto"/>
        </w:rPr>
        <w:t>”), who is entitled to vote at such meeting and who complies with the notice and other procedures set forth in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at an annual meeting of stockholders, and such stockholder must fully comply with the notice and other procedures set forth in this Section 1.12 to make such nominations or propose business before an annual meeting.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ind w:firstLine="870"/>
        <w:spacing w:after="0" w:line="271" w:lineRule="auto"/>
        <w:tabs>
          <w:tab w:leader="none" w:pos="2381"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nominations or other business to be properly brought before an annual meeting by a Record Stockholder pursuant to Section 1.12.1(a) of these Bylaws:</w:t>
      </w:r>
    </w:p>
    <w:p>
      <w:pPr>
        <w:spacing w:after="0" w:line="142" w:lineRule="exact"/>
        <w:rPr>
          <w:rFonts w:ascii="Times New Roman" w:cs="Times New Roman" w:eastAsia="Times New Roman" w:hAnsi="Times New Roman"/>
          <w:sz w:val="21"/>
          <w:szCs w:val="21"/>
          <w:color w:val="010000"/>
        </w:rPr>
      </w:pPr>
    </w:p>
    <w:p>
      <w:pPr>
        <w:ind w:firstLine="1734"/>
        <w:spacing w:after="0" w:line="271" w:lineRule="auto"/>
        <w:tabs>
          <w:tab w:leader="none" w:pos="2563"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42" w:lineRule="exact"/>
        <w:rPr>
          <w:rFonts w:ascii="Times New Roman" w:cs="Times New Roman" w:eastAsia="Times New Roman" w:hAnsi="Times New Roman"/>
          <w:sz w:val="21"/>
          <w:szCs w:val="21"/>
          <w:color w:val="010000"/>
        </w:rPr>
      </w:pPr>
    </w:p>
    <w:p>
      <w:pPr>
        <w:ind w:firstLine="1734"/>
        <w:spacing w:after="0" w:line="271" w:lineRule="auto"/>
        <w:tabs>
          <w:tab w:leader="none" w:pos="2622"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such other business (other than the nomination of persons for election to the Board) must otherwise be a proper matter for stockholder action;</w:t>
      </w:r>
    </w:p>
    <w:p>
      <w:pPr>
        <w:spacing w:after="0" w:line="142" w:lineRule="exact"/>
        <w:rPr>
          <w:rFonts w:ascii="Times New Roman" w:cs="Times New Roman" w:eastAsia="Times New Roman" w:hAnsi="Times New Roman"/>
          <w:sz w:val="21"/>
          <w:szCs w:val="21"/>
          <w:color w:val="010000"/>
        </w:rPr>
      </w:pPr>
    </w:p>
    <w:p>
      <w:pPr>
        <w:jc w:val="both"/>
        <w:ind w:firstLine="1734"/>
        <w:spacing w:after="0" w:line="242" w:lineRule="auto"/>
        <w:tabs>
          <w:tab w:leader="none" w:pos="2681"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74" w:lineRule="exact"/>
        <w:rPr>
          <w:rFonts w:ascii="Times New Roman" w:cs="Times New Roman" w:eastAsia="Times New Roman" w:hAnsi="Times New Roman"/>
          <w:sz w:val="21"/>
          <w:szCs w:val="21"/>
          <w:color w:val="010000"/>
        </w:rPr>
      </w:pPr>
    </w:p>
    <w:p>
      <w:pPr>
        <w:jc w:val="both"/>
        <w:ind w:firstLine="1734"/>
        <w:spacing w:after="0" w:line="254" w:lineRule="auto"/>
        <w:tabs>
          <w:tab w:leader="none" w:pos="2669"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6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1"/>
          <w:szCs w:val="21"/>
          <w:color w:val="auto"/>
        </w:rPr>
        <w:t xml:space="preserve">To be timely, a Record Stockholder’s notice must be delivered to the Secretary at the principal executive offices of the Corporation not later than 5:00 p.m. Eastern Time on the ninetieth (90th) day nor earlier than 5:00 p.m. Eastern Time on the one hundred and twentieth (120th)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1.12.3 of these Bylaws);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in the event that the date of the annual meeting is more than thirty (30) days before or more than seventy (70) days after such anniversary date, notice by the Record Stockholder to be timely must be so delivered (A) no earlier than 5:00 p.m. Eastern Time on the one hundred and twentieth (120th)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85" w:lineRule="exact"/>
        <w:rPr>
          <w:sz w:val="20"/>
          <w:szCs w:val="20"/>
          <w:color w:val="auto"/>
        </w:rPr>
      </w:pPr>
    </w:p>
    <w:p>
      <w:pPr>
        <w:ind w:firstLine="870"/>
        <w:spacing w:after="0" w:line="271" w:lineRule="auto"/>
        <w:tabs>
          <w:tab w:leader="none" w:pos="2369"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to each person whom the Record Stockholder proposes to nominate for election or reelection as a director, in addition to the matters set forth in paragraph (e) below, such Record Stockholder’s notice shall set forth:</w:t>
      </w:r>
    </w:p>
    <w:p>
      <w:pPr>
        <w:spacing w:after="0" w:line="142" w:lineRule="exact"/>
        <w:rPr>
          <w:rFonts w:ascii="Times New Roman" w:cs="Times New Roman" w:eastAsia="Times New Roman" w:hAnsi="Times New Roman"/>
          <w:sz w:val="21"/>
          <w:szCs w:val="21"/>
          <w:color w:val="010000"/>
        </w:rPr>
      </w:pPr>
    </w:p>
    <w:p>
      <w:pPr>
        <w:ind w:left="2500" w:hanging="833"/>
        <w:spacing w:after="0"/>
        <w:tabs>
          <w:tab w:leader="none" w:pos="250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age, business address and residence address of such person;</w:t>
      </w:r>
    </w:p>
    <w:p>
      <w:pPr>
        <w:spacing w:after="0" w:line="208" w:lineRule="exact"/>
        <w:rPr>
          <w:rFonts w:ascii="Times New Roman" w:cs="Times New Roman" w:eastAsia="Times New Roman" w:hAnsi="Times New Roman"/>
          <w:sz w:val="21"/>
          <w:szCs w:val="21"/>
          <w:color w:val="auto"/>
        </w:rPr>
      </w:pPr>
    </w:p>
    <w:p>
      <w:pPr>
        <w:ind w:left="2560" w:hanging="893"/>
        <w:spacing w:after="0"/>
        <w:tabs>
          <w:tab w:leader="none" w:pos="256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occupation or employment of such nominee;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p>
      <w:pPr>
        <w:ind w:left="860" w:firstLine="807"/>
        <w:spacing w:after="0" w:line="271" w:lineRule="auto"/>
        <w:tabs>
          <w:tab w:leader="none" w:pos="261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series and number of any shares of stock of the Corporation that are beneficially owned or owned of record by such person or any Associated Person (as defined in Section 1.12.4(c));</w:t>
      </w:r>
    </w:p>
    <w:p>
      <w:pPr>
        <w:spacing w:after="0" w:line="142" w:lineRule="exact"/>
        <w:rPr>
          <w:rFonts w:ascii="Times New Roman" w:cs="Times New Roman" w:eastAsia="Times New Roman" w:hAnsi="Times New Roman"/>
          <w:sz w:val="21"/>
          <w:szCs w:val="21"/>
          <w:color w:val="auto"/>
        </w:rPr>
      </w:pPr>
    </w:p>
    <w:p>
      <w:pPr>
        <w:ind w:left="2600" w:hanging="933"/>
        <w:spacing w:after="0"/>
        <w:tabs>
          <w:tab w:leader="none" w:pos="260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or dates such shares were acquired and the investment intent of such acquisition;</w:t>
      </w:r>
    </w:p>
    <w:p>
      <w:pPr>
        <w:spacing w:after="0" w:line="208" w:lineRule="exact"/>
        <w:rPr>
          <w:rFonts w:ascii="Times New Roman" w:cs="Times New Roman" w:eastAsia="Times New Roman" w:hAnsi="Times New Roman"/>
          <w:sz w:val="21"/>
          <w:szCs w:val="21"/>
          <w:color w:val="auto"/>
        </w:rPr>
      </w:pPr>
    </w:p>
    <w:p>
      <w:pPr>
        <w:jc w:val="both"/>
        <w:ind w:left="860" w:firstLine="807"/>
        <w:spacing w:after="0" w:line="248" w:lineRule="auto"/>
        <w:tabs>
          <w:tab w:leader="none" w:pos="254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66" w:lineRule="exact"/>
        <w:rPr>
          <w:rFonts w:ascii="Times New Roman" w:cs="Times New Roman" w:eastAsia="Times New Roman" w:hAnsi="Times New Roman"/>
          <w:sz w:val="21"/>
          <w:szCs w:val="21"/>
          <w:color w:val="auto"/>
        </w:rPr>
      </w:pPr>
    </w:p>
    <w:p>
      <w:pPr>
        <w:jc w:val="both"/>
        <w:ind w:left="860" w:firstLine="807"/>
        <w:spacing w:after="0" w:line="254" w:lineRule="auto"/>
        <w:tabs>
          <w:tab w:leader="none" w:pos="259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59" w:lineRule="exact"/>
        <w:rPr>
          <w:rFonts w:ascii="Times New Roman" w:cs="Times New Roman" w:eastAsia="Times New Roman" w:hAnsi="Times New Roman"/>
          <w:sz w:val="21"/>
          <w:szCs w:val="21"/>
          <w:color w:val="auto"/>
        </w:rPr>
      </w:pPr>
    </w:p>
    <w:p>
      <w:pPr>
        <w:ind w:left="860" w:firstLine="807"/>
        <w:spacing w:after="0" w:line="271" w:lineRule="auto"/>
        <w:tabs>
          <w:tab w:leader="none" w:pos="2657"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such person meets the independence requirements of the stock exchange upon which the Corporation’s Common Stock is primarily traded;</w:t>
      </w:r>
    </w:p>
    <w:p>
      <w:pPr>
        <w:spacing w:after="0" w:line="142" w:lineRule="exact"/>
        <w:rPr>
          <w:rFonts w:ascii="Times New Roman" w:cs="Times New Roman" w:eastAsia="Times New Roman" w:hAnsi="Times New Roman"/>
          <w:sz w:val="21"/>
          <w:szCs w:val="21"/>
          <w:color w:val="auto"/>
        </w:rPr>
      </w:pPr>
    </w:p>
    <w:p>
      <w:pPr>
        <w:jc w:val="both"/>
        <w:ind w:left="860" w:firstLine="807"/>
        <w:spacing w:after="0" w:line="242" w:lineRule="auto"/>
        <w:tabs>
          <w:tab w:leader="none" w:pos="280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74" w:lineRule="exact"/>
        <w:rPr>
          <w:rFonts w:ascii="Times New Roman" w:cs="Times New Roman" w:eastAsia="Times New Roman" w:hAnsi="Times New Roman"/>
          <w:sz w:val="21"/>
          <w:szCs w:val="21"/>
          <w:color w:val="auto"/>
        </w:rPr>
      </w:pPr>
    </w:p>
    <w:p>
      <w:pPr>
        <w:ind w:left="2680" w:hanging="1013"/>
        <w:spacing w:after="0"/>
        <w:tabs>
          <w:tab w:leader="none" w:pos="268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completed and signed questionnaire, representation and agreement required by Section 1.12.2 of</w:t>
      </w:r>
    </w:p>
    <w:p>
      <w:pPr>
        <w:spacing w:after="0" w:line="20"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Bylaws.</w:t>
      </w:r>
    </w:p>
    <w:p>
      <w:pPr>
        <w:spacing w:after="0" w:line="184" w:lineRule="exact"/>
        <w:rPr>
          <w:rFonts w:ascii="Times New Roman" w:cs="Times New Roman" w:eastAsia="Times New Roman" w:hAnsi="Times New Roman"/>
          <w:sz w:val="21"/>
          <w:szCs w:val="21"/>
          <w:color w:val="auto"/>
        </w:rPr>
      </w:pPr>
    </w:p>
    <w:p>
      <w:pPr>
        <w:jc w:val="both"/>
        <w:ind w:firstLine="870"/>
        <w:spacing w:after="0" w:line="254" w:lineRule="auto"/>
        <w:tabs>
          <w:tab w:leader="none" w:pos="2381"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59" w:lineRule="exact"/>
        <w:rPr>
          <w:rFonts w:ascii="Times New Roman" w:cs="Times New Roman" w:eastAsia="Times New Roman" w:hAnsi="Times New Roman"/>
          <w:sz w:val="21"/>
          <w:szCs w:val="21"/>
          <w:color w:val="010000"/>
        </w:rPr>
      </w:pPr>
    </w:p>
    <w:p>
      <w:pPr>
        <w:jc w:val="both"/>
        <w:ind w:left="860" w:firstLine="807"/>
        <w:spacing w:after="0" w:line="245" w:lineRule="auto"/>
        <w:tabs>
          <w:tab w:leader="none" w:pos="2493"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70" w:lineRule="exact"/>
        <w:rPr>
          <w:rFonts w:ascii="Times New Roman" w:cs="Times New Roman" w:eastAsia="Times New Roman" w:hAnsi="Times New Roman"/>
          <w:sz w:val="21"/>
          <w:szCs w:val="21"/>
          <w:color w:val="auto"/>
        </w:rPr>
      </w:pPr>
    </w:p>
    <w:p>
      <w:pPr>
        <w:jc w:val="both"/>
        <w:ind w:left="860" w:firstLine="807"/>
        <w:spacing w:after="0" w:line="254" w:lineRule="auto"/>
        <w:tabs>
          <w:tab w:leader="none" w:pos="2552"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3" w:name="page104"/>
    <w:bookmarkEnd w:id="103"/>
    <w:p>
      <w:pPr>
        <w:ind w:left="1510" w:hanging="1510"/>
        <w:spacing w:after="0"/>
        <w:tabs>
          <w:tab w:leader="none" w:pos="1510"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to each Proposing Person giving the notice, such Record Stockholder’s notice shall set forth:</w:t>
      </w:r>
    </w:p>
    <w:p>
      <w:pPr>
        <w:spacing w:after="0" w:line="208" w:lineRule="exact"/>
        <w:rPr>
          <w:rFonts w:ascii="Times New Roman" w:cs="Times New Roman" w:eastAsia="Times New Roman" w:hAnsi="Times New Roman"/>
          <w:sz w:val="21"/>
          <w:szCs w:val="21"/>
          <w:color w:val="010000"/>
        </w:rPr>
      </w:pPr>
    </w:p>
    <w:p>
      <w:pPr>
        <w:ind w:left="-10" w:firstLine="807"/>
        <w:spacing w:after="0" w:line="271" w:lineRule="auto"/>
        <w:tabs>
          <w:tab w:leader="none" w:pos="162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current name and address of such Proposing Person, including, if applicable, their name and address as they appear on the Corporation’s stock ledger, if different;</w:t>
      </w:r>
    </w:p>
    <w:p>
      <w:pPr>
        <w:spacing w:after="0" w:line="142" w:lineRule="exact"/>
        <w:rPr>
          <w:rFonts w:ascii="Times New Roman" w:cs="Times New Roman" w:eastAsia="Times New Roman" w:hAnsi="Times New Roman"/>
          <w:sz w:val="21"/>
          <w:szCs w:val="21"/>
          <w:color w:val="auto"/>
        </w:rPr>
      </w:pPr>
    </w:p>
    <w:p>
      <w:pPr>
        <w:jc w:val="both"/>
        <w:ind w:left="-10" w:firstLine="807"/>
        <w:spacing w:after="0" w:line="254" w:lineRule="auto"/>
        <w:tabs>
          <w:tab w:leader="none" w:pos="1682"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59" w:lineRule="exact"/>
        <w:rPr>
          <w:rFonts w:ascii="Times New Roman" w:cs="Times New Roman" w:eastAsia="Times New Roman" w:hAnsi="Times New Roman"/>
          <w:sz w:val="21"/>
          <w:szCs w:val="21"/>
          <w:color w:val="auto"/>
        </w:rPr>
      </w:pPr>
    </w:p>
    <w:p>
      <w:pPr>
        <w:jc w:val="both"/>
        <w:ind w:left="-10" w:firstLine="807"/>
        <w:spacing w:after="0" w:line="238" w:lineRule="auto"/>
        <w:tabs>
          <w:tab w:leader="none" w:pos="174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“Derivative Instrument”),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“Short Interest”);</w:t>
      </w:r>
    </w:p>
    <w:p>
      <w:pPr>
        <w:spacing w:after="0" w:line="189" w:lineRule="exact"/>
        <w:rPr>
          <w:rFonts w:ascii="Times New Roman" w:cs="Times New Roman" w:eastAsia="Times New Roman" w:hAnsi="Times New Roman"/>
          <w:sz w:val="21"/>
          <w:szCs w:val="21"/>
          <w:color w:val="auto"/>
        </w:rPr>
      </w:pPr>
    </w:p>
    <w:p>
      <w:pPr>
        <w:jc w:val="both"/>
        <w:ind w:left="-10" w:firstLine="807"/>
        <w:spacing w:after="0" w:line="248" w:lineRule="auto"/>
        <w:tabs>
          <w:tab w:leader="none" w:pos="172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66" w:lineRule="exact"/>
        <w:rPr>
          <w:rFonts w:ascii="Times New Roman" w:cs="Times New Roman" w:eastAsia="Times New Roman" w:hAnsi="Times New Roman"/>
          <w:sz w:val="21"/>
          <w:szCs w:val="21"/>
          <w:color w:val="auto"/>
        </w:rPr>
      </w:pPr>
    </w:p>
    <w:p>
      <w:pPr>
        <w:jc w:val="both"/>
        <w:ind w:left="-10" w:firstLine="807"/>
        <w:spacing w:after="0" w:line="254" w:lineRule="auto"/>
        <w:tabs>
          <w:tab w:leader="none" w:pos="167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59" w:lineRule="exact"/>
        <w:rPr>
          <w:rFonts w:ascii="Times New Roman" w:cs="Times New Roman" w:eastAsia="Times New Roman" w:hAnsi="Times New Roman"/>
          <w:sz w:val="21"/>
          <w:szCs w:val="21"/>
          <w:color w:val="auto"/>
        </w:rPr>
      </w:pPr>
    </w:p>
    <w:p>
      <w:pPr>
        <w:ind w:left="-10" w:firstLine="807"/>
        <w:spacing w:after="0" w:line="271" w:lineRule="auto"/>
        <w:tabs>
          <w:tab w:leader="none" w:pos="172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significant equity interests or any Derivative Instruments or Short Interests in any Competitor held by such Proposing Person and/or any of its respective affiliates or associates;</w:t>
      </w:r>
    </w:p>
    <w:p>
      <w:pPr>
        <w:spacing w:after="0" w:line="152" w:lineRule="exact"/>
        <w:rPr>
          <w:sz w:val="20"/>
          <w:szCs w:val="20"/>
          <w:color w:val="auto"/>
        </w:rPr>
      </w:pPr>
    </w:p>
    <w:p>
      <w:pPr>
        <w:ind w:left="471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81915</wp:posOffset>
            </wp:positionV>
            <wp:extent cx="715200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0370"/>
          </w:cols>
          <w:pgMar w:left="1190" w:top="324" w:right="339" w:bottom="1440" w:gutter="0" w:footer="0" w:header="0"/>
        </w:sectPr>
      </w:pPr>
    </w:p>
    <w:bookmarkStart w:id="104" w:name="page105"/>
    <w:bookmarkEnd w:id="104"/>
    <w:p>
      <w:pPr>
        <w:ind w:left="860" w:firstLine="807"/>
        <w:spacing w:after="0" w:line="271" w:lineRule="auto"/>
        <w:tabs>
          <w:tab w:leader="none" w:pos="265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material relationship between such Proposing Person, on the one hand, and the Corporation, any affiliate of the Corporation or any Competitor, on the other hand;</w:t>
      </w:r>
    </w:p>
    <w:p>
      <w:pPr>
        <w:spacing w:after="0" w:line="142" w:lineRule="exact"/>
        <w:rPr>
          <w:rFonts w:ascii="Times New Roman" w:cs="Times New Roman" w:eastAsia="Times New Roman" w:hAnsi="Times New Roman"/>
          <w:sz w:val="21"/>
          <w:szCs w:val="21"/>
          <w:color w:val="auto"/>
        </w:rPr>
      </w:pPr>
    </w:p>
    <w:p>
      <w:pPr>
        <w:jc w:val="both"/>
        <w:ind w:left="860" w:firstLine="807"/>
        <w:spacing w:after="0" w:line="248" w:lineRule="auto"/>
        <w:tabs>
          <w:tab w:leader="none" w:pos="271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66" w:lineRule="exact"/>
        <w:rPr>
          <w:rFonts w:ascii="Times New Roman" w:cs="Times New Roman" w:eastAsia="Times New Roman" w:hAnsi="Times New Roman"/>
          <w:sz w:val="21"/>
          <w:szCs w:val="21"/>
          <w:color w:val="auto"/>
        </w:rPr>
      </w:pPr>
    </w:p>
    <w:p>
      <w:pPr>
        <w:jc w:val="both"/>
        <w:ind w:left="860" w:firstLine="807"/>
        <w:spacing w:after="0" w:line="248" w:lineRule="auto"/>
        <w:tabs>
          <w:tab w:leader="none" w:pos="259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66" w:lineRule="exact"/>
        <w:rPr>
          <w:rFonts w:ascii="Times New Roman" w:cs="Times New Roman" w:eastAsia="Times New Roman" w:hAnsi="Times New Roman"/>
          <w:sz w:val="21"/>
          <w:szCs w:val="21"/>
          <w:color w:val="auto"/>
        </w:rPr>
      </w:pPr>
    </w:p>
    <w:p>
      <w:pPr>
        <w:ind w:left="860" w:firstLine="807"/>
        <w:spacing w:after="0" w:line="271" w:lineRule="auto"/>
        <w:tabs>
          <w:tab w:leader="none" w:pos="25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Proposing Person’s written consent to the public disclosure of information provided to the Corporation pursuant to this Section 1.12;</w:t>
      </w:r>
    </w:p>
    <w:p>
      <w:pPr>
        <w:spacing w:after="0" w:line="142" w:lineRule="exact"/>
        <w:rPr>
          <w:rFonts w:ascii="Times New Roman" w:cs="Times New Roman" w:eastAsia="Times New Roman" w:hAnsi="Times New Roman"/>
          <w:sz w:val="21"/>
          <w:szCs w:val="21"/>
          <w:color w:val="auto"/>
        </w:rPr>
      </w:pPr>
    </w:p>
    <w:p>
      <w:pPr>
        <w:jc w:val="both"/>
        <w:ind w:left="860" w:firstLine="807"/>
        <w:spacing w:after="0" w:line="248" w:lineRule="auto"/>
        <w:tabs>
          <w:tab w:leader="none" w:pos="259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66" w:lineRule="exact"/>
        <w:rPr>
          <w:rFonts w:ascii="Times New Roman" w:cs="Times New Roman" w:eastAsia="Times New Roman" w:hAnsi="Times New Roman"/>
          <w:sz w:val="21"/>
          <w:szCs w:val="21"/>
          <w:color w:val="auto"/>
        </w:rPr>
      </w:pPr>
    </w:p>
    <w:p>
      <w:pPr>
        <w:jc w:val="both"/>
        <w:ind w:left="860" w:firstLine="807"/>
        <w:spacing w:after="0" w:line="259" w:lineRule="auto"/>
        <w:tabs>
          <w:tab w:leader="none" w:pos="265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200" w:lineRule="exact"/>
        <w:rPr>
          <w:rFonts w:ascii="Times New Roman" w:cs="Times New Roman" w:eastAsia="Times New Roman" w:hAnsi="Times New Roman"/>
          <w:sz w:val="21"/>
          <w:szCs w:val="21"/>
          <w:color w:val="auto"/>
        </w:rPr>
      </w:pPr>
    </w:p>
    <w:p>
      <w:pPr>
        <w:spacing w:after="0" w:line="205" w:lineRule="exact"/>
        <w:rPr>
          <w:rFonts w:ascii="Times New Roman" w:cs="Times New Roman" w:eastAsia="Times New Roman" w:hAnsi="Times New Roman"/>
          <w:sz w:val="21"/>
          <w:szCs w:val="21"/>
          <w:color w:val="auto"/>
        </w:rPr>
      </w:pPr>
    </w:p>
    <w:p>
      <w:pPr>
        <w:jc w:val="both"/>
        <w:ind w:left="860" w:firstLine="807"/>
        <w:spacing w:after="0" w:line="245" w:lineRule="auto"/>
        <w:tabs>
          <w:tab w:leader="none" w:pos="271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“Solicitation Notice”); and</w:t>
      </w:r>
    </w:p>
    <w:p>
      <w:pPr>
        <w:spacing w:after="0" w:line="170" w:lineRule="exact"/>
        <w:rPr>
          <w:rFonts w:ascii="Times New Roman" w:cs="Times New Roman" w:eastAsia="Times New Roman" w:hAnsi="Times New Roman"/>
          <w:sz w:val="21"/>
          <w:szCs w:val="21"/>
          <w:color w:val="auto"/>
        </w:rPr>
      </w:pPr>
    </w:p>
    <w:p>
      <w:pPr>
        <w:ind w:left="860" w:firstLine="807"/>
        <w:spacing w:after="0" w:line="271" w:lineRule="auto"/>
        <w:tabs>
          <w:tab w:leader="none" w:pos="270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proxy, contract, arrangement, or relationship pursuant to which the Proposing Person has a right to vote, directly or indirectly, any shares of any security of the Corporation.</w:t>
      </w:r>
    </w:p>
    <w:p>
      <w:pPr>
        <w:spacing w:after="0" w:line="143" w:lineRule="exact"/>
        <w:rPr>
          <w:sz w:val="20"/>
          <w:szCs w:val="20"/>
          <w:color w:val="auto"/>
        </w:rPr>
      </w:pPr>
    </w:p>
    <w:p>
      <w:pPr>
        <w:jc w:val="both"/>
        <w:ind w:firstLine="864"/>
        <w:spacing w:after="0" w:line="248" w:lineRule="auto"/>
        <w:rPr>
          <w:sz w:val="20"/>
          <w:szCs w:val="20"/>
          <w:color w:val="auto"/>
        </w:rPr>
      </w:pPr>
      <w:r>
        <w:rPr>
          <w:rFonts w:ascii="Times New Roman" w:cs="Times New Roman" w:eastAsia="Times New Roman" w:hAnsi="Times New Roman"/>
          <w:sz w:val="21"/>
          <w:szCs w:val="21"/>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67" w:lineRule="exact"/>
        <w:rPr>
          <w:sz w:val="20"/>
          <w:szCs w:val="20"/>
          <w:color w:val="auto"/>
        </w:rPr>
      </w:pPr>
    </w:p>
    <w:p>
      <w:pPr>
        <w:jc w:val="both"/>
        <w:ind w:firstLine="870"/>
        <w:spacing w:after="0" w:line="245" w:lineRule="auto"/>
        <w:tabs>
          <w:tab w:leader="none" w:pos="2346"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010000"/>
        </w:rPr>
        <w:t xml:space="preserve">A stockholder providing written notice required by this </w:t>
      </w:r>
      <w:r>
        <w:rPr>
          <w:rFonts w:ascii="Times New Roman" w:cs="Times New Roman" w:eastAsia="Times New Roman" w:hAnsi="Times New Roman"/>
          <w:sz w:val="21"/>
          <w:szCs w:val="21"/>
          <w:color w:val="000000"/>
        </w:rPr>
        <w:t>Section 1.12</w:t>
      </w:r>
      <w:r>
        <w:rPr>
          <w:rFonts w:ascii="Times New Roman" w:cs="Times New Roman" w:eastAsia="Times New Roman" w:hAnsi="Times New Roman"/>
          <w:sz w:val="21"/>
          <w:szCs w:val="21"/>
          <w:color w:val="010000"/>
        </w:rPr>
        <w:t xml:space="preserve"> shall update such notice in writing, if necessary, so that the information provided or required to be provided in such notice is true and correct in all material respects as of (i) the record date for determining the stockholders entitled to notice of the meeting and (ii) </w:t>
      </w:r>
      <w:r>
        <w:rPr>
          <w:rFonts w:ascii="Times New Roman" w:cs="Times New Roman" w:eastAsia="Times New Roman" w:hAnsi="Times New Roman"/>
          <w:sz w:val="21"/>
          <w:szCs w:val="21"/>
          <w:color w:val="000000"/>
        </w:rPr>
        <w:t>5:00 p.m. Eastern Time</w:t>
      </w:r>
      <w:r>
        <w:rPr>
          <w:rFonts w:ascii="Times New Roman" w:cs="Times New Roman" w:eastAsia="Times New Roman" w:hAnsi="Times New Roman"/>
          <w:sz w:val="21"/>
          <w:szCs w:val="21"/>
          <w:color w:val="010000"/>
        </w:rPr>
        <w:t xml:space="preserve"> on the tenth (10th) business day prior to the meeting or any adjournment or postponement thereof. In the case of an update pursuant to clause (i) of the foregoing sentence, such update shall be received by the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jc w:val="both"/>
        <w:spacing w:after="0"/>
        <w:rPr>
          <w:sz w:val="20"/>
          <w:szCs w:val="20"/>
          <w:color w:val="auto"/>
        </w:rPr>
      </w:pPr>
      <w:r>
        <w:rPr>
          <w:rFonts w:ascii="Times New Roman" w:cs="Times New Roman" w:eastAsia="Times New Roman" w:hAnsi="Times New Roman"/>
          <w:sz w:val="21"/>
          <w:szCs w:val="21"/>
          <w:color w:val="010000"/>
        </w:rPr>
        <w:t xml:space="preserve">Secretary </w:t>
      </w:r>
      <w:r>
        <w:rPr>
          <w:rFonts w:ascii="Times New Roman" w:cs="Times New Roman" w:eastAsia="Times New Roman" w:hAnsi="Times New Roman"/>
          <w:sz w:val="21"/>
          <w:szCs w:val="21"/>
          <w:color w:val="000000"/>
        </w:rPr>
        <w:t>of the Corporation at the principal executive office of the Corporation</w:t>
      </w:r>
      <w:r>
        <w:rPr>
          <w:rFonts w:ascii="Times New Roman" w:cs="Times New Roman" w:eastAsia="Times New Roman" w:hAnsi="Times New Roman"/>
          <w:sz w:val="21"/>
          <w:szCs w:val="21"/>
          <w:color w:val="010000"/>
        </w:rPr>
        <w:t xml:space="preserve">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w:t>
      </w:r>
      <w:r>
        <w:rPr>
          <w:rFonts w:ascii="Times New Roman" w:cs="Times New Roman" w:eastAsia="Times New Roman" w:hAnsi="Times New Roman"/>
          <w:sz w:val="21"/>
          <w:szCs w:val="21"/>
          <w:color w:val="000000"/>
        </w:rPr>
        <w:t>of the Corporation at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principal executive office of the Corporation </w:t>
      </w:r>
      <w:r>
        <w:rPr>
          <w:rFonts w:ascii="Times New Roman" w:cs="Times New Roman" w:eastAsia="Times New Roman" w:hAnsi="Times New Roman"/>
          <w:sz w:val="21"/>
          <w:szCs w:val="21"/>
          <w:color w:val="010000"/>
        </w:rPr>
        <w:t>not later than eight (8) business days prior to the date for the meeting and, if</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010000"/>
        </w:rPr>
        <w:t xml:space="preserve">practicable, any adjournment or postponement thereof (and, if not practicable, on the first practicable date prior to the date </w:t>
      </w:r>
      <w:r>
        <w:rPr>
          <w:rFonts w:ascii="Times New Roman" w:cs="Times New Roman" w:eastAsia="Times New Roman" w:hAnsi="Times New Roman"/>
          <w:sz w:val="21"/>
          <w:szCs w:val="21"/>
          <w:color w:val="000000"/>
        </w:rPr>
        <w:t>to which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meeting has been adjourned or postponed)</w:t>
      </w:r>
      <w:r>
        <w:rPr>
          <w:rFonts w:ascii="Times New Roman" w:cs="Times New Roman" w:eastAsia="Times New Roman" w:hAnsi="Times New Roman"/>
          <w:sz w:val="21"/>
          <w:szCs w:val="21"/>
          <w:color w:val="010000"/>
        </w:rPr>
        <w:t>.</w:t>
      </w:r>
      <w:r>
        <w:rPr>
          <w:rFonts w:ascii="Times New Roman" w:cs="Times New Roman" w:eastAsia="Times New Roman" w:hAnsi="Times New Roman"/>
          <w:sz w:val="21"/>
          <w:szCs w:val="21"/>
          <w:color w:val="000000"/>
        </w:rPr>
        <w:t xml:space="preserve">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79" w:lineRule="exact"/>
        <w:rPr>
          <w:sz w:val="20"/>
          <w:szCs w:val="20"/>
          <w:color w:val="auto"/>
        </w:rPr>
      </w:pPr>
    </w:p>
    <w:p>
      <w:pPr>
        <w:jc w:val="both"/>
        <w:ind w:firstLine="870"/>
        <w:spacing w:after="0" w:line="245" w:lineRule="auto"/>
        <w:tabs>
          <w:tab w:leader="none" w:pos="2381" w:val="left"/>
        </w:tabs>
        <w:numPr>
          <w:ilvl w:val="0"/>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70" w:lineRule="exact"/>
        <w:rPr>
          <w:sz w:val="20"/>
          <w:szCs w:val="20"/>
          <w:color w:val="auto"/>
        </w:rPr>
      </w:pPr>
    </w:p>
    <w:p>
      <w:pPr>
        <w:ind w:left="860"/>
        <w:spacing w:after="0"/>
        <w:tabs>
          <w:tab w:leader="none" w:pos="2640" w:val="left"/>
        </w:tabs>
        <w:rPr>
          <w:sz w:val="20"/>
          <w:szCs w:val="20"/>
          <w:color w:val="auto"/>
        </w:rPr>
      </w:pPr>
      <w:r>
        <w:rPr>
          <w:rFonts w:ascii="Times New Roman" w:cs="Times New Roman" w:eastAsia="Times New Roman" w:hAnsi="Times New Roman"/>
          <w:sz w:val="21"/>
          <w:szCs w:val="21"/>
          <w:color w:val="010000"/>
        </w:rPr>
        <w:t>1.12.2</w:t>
      </w:r>
      <w:r>
        <w:rPr>
          <w:sz w:val="20"/>
          <w:szCs w:val="20"/>
          <w:color w:val="auto"/>
        </w:rPr>
        <w:tab/>
      </w:r>
      <w:r>
        <w:rPr>
          <w:rFonts w:ascii="Times New Roman" w:cs="Times New Roman" w:eastAsia="Times New Roman" w:hAnsi="Times New Roman"/>
          <w:sz w:val="21"/>
          <w:szCs w:val="21"/>
          <w:u w:val="single" w:color="auto"/>
          <w:color w:val="auto"/>
        </w:rPr>
        <w:t>Submission of Questionnaire, Representation and Agreement</w:t>
      </w:r>
      <w:r>
        <w:rPr>
          <w:rFonts w:ascii="Times New Roman" w:cs="Times New Roman" w:eastAsia="Times New Roman" w:hAnsi="Times New Roman"/>
          <w:sz w:val="21"/>
          <w:szCs w:val="21"/>
          <w:color w:val="auto"/>
        </w:rPr>
        <w:t>. To be eligible to be a nominee of any</w:t>
      </w:r>
    </w:p>
    <w:p>
      <w:pPr>
        <w:spacing w:after="0" w:line="2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stockholder for election or reelection as a director of the Corporation, the person proposed to be nominated must deliver (in accordance with the time periods prescribed for delivery of notice under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10000"/>
        </w:rPr>
        <w:t>of th</w:t>
      </w:r>
      <w:r>
        <w:rPr>
          <w:rFonts w:ascii="Times New Roman" w:cs="Times New Roman" w:eastAsia="Times New Roman" w:hAnsi="Times New Roman"/>
          <w:sz w:val="21"/>
          <w:szCs w:val="21"/>
          <w:color w:val="auto"/>
        </w:rPr>
        <w:t>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21"/>
          <w:szCs w:val="21"/>
          <w:b w:val="1"/>
          <w:bCs w:val="1"/>
          <w:i w:val="1"/>
          <w:iCs w:val="1"/>
          <w:color w:val="auto"/>
        </w:rPr>
        <w:t>Voting Commitment</w:t>
      </w:r>
      <w:r>
        <w:rPr>
          <w:rFonts w:ascii="Times New Roman" w:cs="Times New Roman" w:eastAsia="Times New Roman" w:hAnsi="Times New Roman"/>
          <w:sz w:val="21"/>
          <w:szCs w:val="21"/>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w:t>
      </w:r>
    </w:p>
    <w:p>
      <w:pPr>
        <w:spacing w:after="0" w:line="12" w:lineRule="exact"/>
        <w:rPr>
          <w:sz w:val="20"/>
          <w:szCs w:val="20"/>
          <w:color w:val="auto"/>
        </w:rPr>
      </w:pPr>
    </w:p>
    <w:p>
      <w:pPr>
        <w:jc w:val="both"/>
        <w:ind w:firstLine="6"/>
        <w:spacing w:after="0"/>
        <w:tabs>
          <w:tab w:leader="none" w:pos="30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p>
      <w:pPr>
        <w:jc w:val="both"/>
        <w:ind w:firstLine="864"/>
        <w:spacing w:after="0" w:line="239" w:lineRule="auto"/>
        <w:rPr>
          <w:sz w:val="20"/>
          <w:szCs w:val="20"/>
          <w:color w:val="auto"/>
        </w:rPr>
      </w:pPr>
      <w:r>
        <w:rPr>
          <w:rFonts w:ascii="Times New Roman" w:cs="Times New Roman" w:eastAsia="Times New Roman" w:hAnsi="Times New Roman"/>
          <w:sz w:val="21"/>
          <w:szCs w:val="21"/>
          <w:color w:val="010000"/>
        </w:rPr>
        <w:t xml:space="preserve">1.12.3 </w:t>
      </w:r>
      <w:r>
        <w:rPr>
          <w:rFonts w:ascii="Times New Roman" w:cs="Times New Roman" w:eastAsia="Times New Roman" w:hAnsi="Times New Roman"/>
          <w:sz w:val="21"/>
          <w:szCs w:val="21"/>
          <w:u w:val="single" w:color="auto"/>
          <w:color w:val="000000"/>
        </w:rPr>
        <w:t>Special Meetings of Stockholders</w:t>
      </w:r>
      <w:r>
        <w:rPr>
          <w:rFonts w:ascii="Times New Roman" w:cs="Times New Roman" w:eastAsia="Times New Roman" w:hAnsi="Times New Roman"/>
          <w:sz w:val="21"/>
          <w:szCs w:val="21"/>
          <w:color w:val="000000"/>
        </w:rPr>
        <w:t>. Only such business shall be conducted at a special meeting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Eastern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78" w:lineRule="exact"/>
        <w:rPr>
          <w:sz w:val="20"/>
          <w:szCs w:val="20"/>
          <w:color w:val="auto"/>
        </w:rPr>
      </w:pPr>
    </w:p>
    <w:p>
      <w:pPr>
        <w:ind w:left="860"/>
        <w:spacing w:after="0"/>
        <w:tabs>
          <w:tab w:leader="none" w:pos="2640" w:val="left"/>
        </w:tabs>
        <w:rPr>
          <w:sz w:val="20"/>
          <w:szCs w:val="20"/>
          <w:color w:val="auto"/>
        </w:rPr>
      </w:pPr>
      <w:r>
        <w:rPr>
          <w:rFonts w:ascii="Times New Roman" w:cs="Times New Roman" w:eastAsia="Times New Roman" w:hAnsi="Times New Roman"/>
          <w:sz w:val="21"/>
          <w:szCs w:val="21"/>
          <w:color w:val="010000"/>
        </w:rPr>
        <w:t>1.12.4</w:t>
      </w:r>
      <w:r>
        <w:rPr>
          <w:sz w:val="20"/>
          <w:szCs w:val="20"/>
          <w:color w:val="auto"/>
        </w:rPr>
        <w:tab/>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870"/>
        <w:spacing w:after="0" w:line="239" w:lineRule="auto"/>
        <w:tabs>
          <w:tab w:leader="none" w:pos="2369"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84" w:lineRule="exact"/>
        <w:rPr>
          <w:rFonts w:ascii="Times New Roman" w:cs="Times New Roman" w:eastAsia="Times New Roman" w:hAnsi="Times New Roman"/>
          <w:sz w:val="21"/>
          <w:szCs w:val="21"/>
          <w:color w:val="010000"/>
        </w:rPr>
      </w:pPr>
    </w:p>
    <w:p>
      <w:pPr>
        <w:jc w:val="both"/>
        <w:ind w:firstLine="870"/>
        <w:spacing w:after="0" w:line="245" w:lineRule="auto"/>
        <w:tabs>
          <w:tab w:leader="none" w:pos="2381"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p>
      <w:pPr>
        <w:ind w:left="1510" w:hanging="1510"/>
        <w:spacing w:after="0"/>
        <w:tabs>
          <w:tab w:leader="none" w:pos="1510" w:val="left"/>
        </w:tabs>
        <w:numPr>
          <w:ilvl w:val="0"/>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these Bylaws the following definitions shall apply:</w:t>
      </w:r>
    </w:p>
    <w:p>
      <w:pPr>
        <w:spacing w:after="0" w:line="204" w:lineRule="exact"/>
        <w:rPr>
          <w:rFonts w:ascii="Times New Roman" w:cs="Times New Roman" w:eastAsia="Times New Roman" w:hAnsi="Times New Roman"/>
          <w:sz w:val="21"/>
          <w:szCs w:val="21"/>
          <w:color w:val="010000"/>
        </w:rPr>
      </w:pPr>
    </w:p>
    <w:p>
      <w:pPr>
        <w:jc w:val="both"/>
        <w:ind w:left="870" w:firstLine="725"/>
        <w:spacing w:after="0" w:line="239" w:lineRule="auto"/>
        <w:tabs>
          <w:tab w:leader="none" w:pos="2530"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person shall be deemed to be “</w:t>
      </w:r>
      <w:r>
        <w:rPr>
          <w:rFonts w:ascii="Times New Roman" w:cs="Times New Roman" w:eastAsia="Times New Roman" w:hAnsi="Times New Roman"/>
          <w:sz w:val="21"/>
          <w:szCs w:val="21"/>
          <w:b w:val="1"/>
          <w:bCs w:val="1"/>
          <w:i w:val="1"/>
          <w:iCs w:val="1"/>
          <w:color w:val="auto"/>
        </w:rPr>
        <w:t>Acting in Concert</w:t>
      </w:r>
      <w:r>
        <w:rPr>
          <w:rFonts w:ascii="Times New Roman" w:cs="Times New Roman" w:eastAsia="Times New Roman" w:hAnsi="Times New Roman"/>
          <w:sz w:val="21"/>
          <w:szCs w:val="21"/>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80" w:lineRule="exact"/>
        <w:rPr>
          <w:rFonts w:ascii="Times New Roman" w:cs="Times New Roman" w:eastAsia="Times New Roman" w:hAnsi="Times New Roman"/>
          <w:sz w:val="21"/>
          <w:szCs w:val="21"/>
          <w:color w:val="010000"/>
        </w:rPr>
      </w:pPr>
    </w:p>
    <w:p>
      <w:pPr>
        <w:jc w:val="both"/>
        <w:ind w:left="870" w:firstLine="725"/>
        <w:spacing w:after="0" w:line="249" w:lineRule="auto"/>
        <w:tabs>
          <w:tab w:leader="none" w:pos="2519"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associate</w:t>
      </w:r>
      <w:r>
        <w:rPr>
          <w:rFonts w:ascii="Times New Roman" w:cs="Times New Roman" w:eastAsia="Times New Roman" w:hAnsi="Times New Roman"/>
          <w:sz w:val="21"/>
          <w:szCs w:val="21"/>
          <w:color w:val="auto"/>
        </w:rPr>
        <w:t>” shall have the meanings ascribed thereto in Rule 405 under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provided, however, that the term “partner” as used in the definition of “associate” shall not include any limited partner that is not involved in the management of the relevant partnership;</w:t>
      </w:r>
    </w:p>
    <w:p>
      <w:pPr>
        <w:spacing w:after="0" w:line="162" w:lineRule="exact"/>
        <w:rPr>
          <w:rFonts w:ascii="Times New Roman" w:cs="Times New Roman" w:eastAsia="Times New Roman" w:hAnsi="Times New Roman"/>
          <w:sz w:val="21"/>
          <w:szCs w:val="21"/>
          <w:color w:val="010000"/>
        </w:rPr>
      </w:pPr>
    </w:p>
    <w:p>
      <w:pPr>
        <w:jc w:val="both"/>
        <w:ind w:left="870" w:firstLine="725"/>
        <w:spacing w:after="0" w:line="244" w:lineRule="auto"/>
        <w:tabs>
          <w:tab w:leader="none" w:pos="2519"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Associated Person</w:t>
      </w:r>
      <w:r>
        <w:rPr>
          <w:rFonts w:ascii="Times New Roman" w:cs="Times New Roman" w:eastAsia="Times New Roman" w:hAnsi="Times New Roman"/>
          <w:sz w:val="21"/>
          <w:szCs w:val="21"/>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68" w:lineRule="exact"/>
        <w:rPr>
          <w:rFonts w:ascii="Times New Roman" w:cs="Times New Roman" w:eastAsia="Times New Roman" w:hAnsi="Times New Roman"/>
          <w:sz w:val="21"/>
          <w:szCs w:val="21"/>
          <w:color w:val="010000"/>
        </w:rPr>
      </w:pPr>
    </w:p>
    <w:p>
      <w:pPr>
        <w:jc w:val="both"/>
        <w:ind w:left="870" w:firstLine="725"/>
        <w:spacing w:after="0" w:line="246" w:lineRule="auto"/>
        <w:tabs>
          <w:tab w:leader="none" w:pos="2530"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Compensation Arrangement</w:t>
      </w:r>
      <w:r>
        <w:rPr>
          <w:rFonts w:ascii="Times New Roman" w:cs="Times New Roman" w:eastAsia="Times New Roman" w:hAnsi="Times New Roman"/>
          <w:sz w:val="21"/>
          <w:szCs w:val="21"/>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65" w:lineRule="exact"/>
        <w:rPr>
          <w:rFonts w:ascii="Times New Roman" w:cs="Times New Roman" w:eastAsia="Times New Roman" w:hAnsi="Times New Roman"/>
          <w:sz w:val="21"/>
          <w:szCs w:val="21"/>
          <w:color w:val="010000"/>
        </w:rPr>
      </w:pPr>
    </w:p>
    <w:p>
      <w:pPr>
        <w:ind w:left="870" w:firstLine="725"/>
        <w:spacing w:after="0" w:line="275" w:lineRule="auto"/>
        <w:tabs>
          <w:tab w:leader="none" w:pos="2507"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Competitor</w:t>
      </w:r>
      <w:r>
        <w:rPr>
          <w:rFonts w:ascii="Times New Roman" w:cs="Times New Roman" w:eastAsia="Times New Roman" w:hAnsi="Times New Roman"/>
          <w:sz w:val="21"/>
          <w:szCs w:val="21"/>
          <w:color w:val="auto"/>
        </w:rPr>
        <w:t>” shall mean any entity that provides products or services that compete with or are alternatives to the principal products produced or services provided by the Corporation or its affiliates;</w:t>
      </w:r>
    </w:p>
    <w:p>
      <w:pPr>
        <w:spacing w:after="0" w:line="134" w:lineRule="exact"/>
        <w:rPr>
          <w:rFonts w:ascii="Times New Roman" w:cs="Times New Roman" w:eastAsia="Times New Roman" w:hAnsi="Times New Roman"/>
          <w:sz w:val="21"/>
          <w:szCs w:val="21"/>
          <w:color w:val="010000"/>
        </w:rPr>
      </w:pPr>
    </w:p>
    <w:p>
      <w:pPr>
        <w:jc w:val="both"/>
        <w:ind w:left="870" w:firstLine="725"/>
        <w:spacing w:after="0" w:line="256" w:lineRule="auto"/>
        <w:tabs>
          <w:tab w:leader="none" w:pos="2495"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Proposing Person</w:t>
      </w:r>
      <w:r>
        <w:rPr>
          <w:rFonts w:ascii="Times New Roman" w:cs="Times New Roman" w:eastAsia="Times New Roman" w:hAnsi="Times New Roman"/>
          <w:sz w:val="21"/>
          <w:szCs w:val="21"/>
          <w:color w:val="auto"/>
        </w:rPr>
        <w:t>” shall mean (1) the Record Stockholder providing the notice of business proposed to be brought before an annual meeting or nomination of persons for election to the Board at a stockholder meeting, (2) the</w:t>
      </w:r>
    </w:p>
    <w:p>
      <w:pPr>
        <w:spacing w:after="0" w:line="167" w:lineRule="exact"/>
        <w:rPr>
          <w:sz w:val="20"/>
          <w:szCs w:val="20"/>
          <w:color w:val="auto"/>
        </w:rPr>
      </w:pPr>
    </w:p>
    <w:p>
      <w:pPr>
        <w:ind w:left="467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81915</wp:posOffset>
            </wp:positionV>
            <wp:extent cx="715200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0370"/>
          </w:cols>
          <w:pgMar w:left="1190" w:top="324" w:right="339" w:bottom="1440" w:gutter="0" w:footer="0" w:header="0"/>
        </w:sectPr>
      </w:pPr>
    </w:p>
    <w:bookmarkStart w:id="108" w:name="page109"/>
    <w:bookmarkEnd w:id="108"/>
    <w:p>
      <w:pPr>
        <w:jc w:val="both"/>
        <w:ind w:left="1740"/>
        <w:spacing w:after="0" w:line="248" w:lineRule="auto"/>
        <w:rPr>
          <w:sz w:val="20"/>
          <w:szCs w:val="20"/>
          <w:color w:val="auto"/>
        </w:rPr>
      </w:pPr>
      <w:r>
        <w:rPr>
          <w:rFonts w:ascii="Times New Roman" w:cs="Times New Roman" w:eastAsia="Times New Roman" w:hAnsi="Times New Roman"/>
          <w:sz w:val="21"/>
          <w:szCs w:val="21"/>
          <w:color w:val="auto"/>
        </w:rPr>
        <w:t>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63" w:lineRule="exact"/>
        <w:rPr>
          <w:sz w:val="20"/>
          <w:szCs w:val="20"/>
          <w:color w:val="auto"/>
        </w:rPr>
      </w:pPr>
    </w:p>
    <w:p>
      <w:pPr>
        <w:jc w:val="both"/>
        <w:ind w:left="1740" w:firstLine="725"/>
        <w:spacing w:after="0" w:line="256" w:lineRule="auto"/>
        <w:tabs>
          <w:tab w:leader="none" w:pos="340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Public Announcement</w:t>
      </w:r>
      <w:r>
        <w:rPr>
          <w:rFonts w:ascii="Times New Roman" w:cs="Times New Roman" w:eastAsia="Times New Roman" w:hAnsi="Times New Roman"/>
          <w:sz w:val="21"/>
          <w:szCs w:val="21"/>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53" w:lineRule="exact"/>
        <w:rPr>
          <w:rFonts w:ascii="Times New Roman" w:cs="Times New Roman" w:eastAsia="Times New Roman" w:hAnsi="Times New Roman"/>
          <w:sz w:val="21"/>
          <w:szCs w:val="21"/>
          <w:color w:val="010000"/>
        </w:rPr>
      </w:pPr>
    </w:p>
    <w:p>
      <w:pPr>
        <w:jc w:val="both"/>
        <w:ind w:left="1740" w:firstLine="725"/>
        <w:spacing w:after="0" w:line="242" w:lineRule="auto"/>
        <w:tabs>
          <w:tab w:leader="none" w:pos="340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be considered a “</w:t>
      </w:r>
      <w:r>
        <w:rPr>
          <w:rFonts w:ascii="Times New Roman" w:cs="Times New Roman" w:eastAsia="Times New Roman" w:hAnsi="Times New Roman"/>
          <w:sz w:val="21"/>
          <w:szCs w:val="21"/>
          <w:b w:val="1"/>
          <w:bCs w:val="1"/>
          <w:i w:val="1"/>
          <w:iCs w:val="1"/>
          <w:color w:val="auto"/>
        </w:rPr>
        <w:t>Qualified Representative</w:t>
      </w:r>
      <w:r>
        <w:rPr>
          <w:rFonts w:ascii="Times New Roman" w:cs="Times New Roman" w:eastAsia="Times New Roman" w:hAnsi="Times New Roman"/>
          <w:sz w:val="21"/>
          <w:szCs w:val="21"/>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 BOARD OF DIRECTORS</w:t>
      </w:r>
    </w:p>
    <w:p>
      <w:pPr>
        <w:spacing w:after="0" w:line="208"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2.1: </w:t>
      </w:r>
      <w:r>
        <w:rPr>
          <w:rFonts w:ascii="Times New Roman" w:cs="Times New Roman" w:eastAsia="Times New Roman" w:hAnsi="Times New Roman"/>
          <w:sz w:val="21"/>
          <w:szCs w:val="21"/>
          <w:b w:val="1"/>
          <w:bCs w:val="1"/>
          <w:u w:val="single" w:color="auto"/>
          <w:color w:val="auto"/>
        </w:rPr>
        <w:t>Number; Qualifications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total number of directors constituting the Whole Board shall be fixed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time to time in the manner set forth in the Certificate of Incorporation and the term “</w:t>
      </w:r>
      <w:r>
        <w:rPr>
          <w:rFonts w:ascii="Times New Roman" w:cs="Times New Roman" w:eastAsia="Times New Roman" w:hAnsi="Times New Roman"/>
          <w:sz w:val="21"/>
          <w:szCs w:val="21"/>
          <w:b w:val="1"/>
          <w:bCs w:val="1"/>
          <w:i w:val="1"/>
          <w:iCs w:val="1"/>
          <w:color w:val="auto"/>
        </w:rPr>
        <w:t>Whole Board</w:t>
      </w:r>
      <w:r>
        <w:rPr>
          <w:rFonts w:ascii="Times New Roman" w:cs="Times New Roman" w:eastAsia="Times New Roman" w:hAnsi="Times New Roman"/>
          <w:sz w:val="21"/>
          <w:szCs w:val="21"/>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63"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2.2: </w:t>
      </w:r>
      <w:r>
        <w:rPr>
          <w:rFonts w:ascii="Times New Roman" w:cs="Times New Roman" w:eastAsia="Times New Roman" w:hAnsi="Times New Roman"/>
          <w:sz w:val="21"/>
          <w:szCs w:val="21"/>
          <w:b w:val="1"/>
          <w:bCs w:val="1"/>
          <w:u w:val="single" w:color="auto"/>
          <w:color w:val="auto"/>
        </w:rPr>
        <w:t>Election; Resignation; Removal; Vacancies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Election of directors need not be by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ballot.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73"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2.3: </w:t>
      </w:r>
      <w:r>
        <w:rPr>
          <w:rFonts w:ascii="Times New Roman" w:cs="Times New Roman" w:eastAsia="Times New Roman" w:hAnsi="Times New Roman"/>
          <w:sz w:val="21"/>
          <w:szCs w:val="21"/>
          <w:b w:val="1"/>
          <w:bCs w:val="1"/>
          <w:u w:val="single" w:color="auto"/>
          <w:color w:val="auto"/>
        </w:rPr>
        <w:t>Regular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Regular meetings of the Board may be held at such places, within or without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 of Delaware, and at such times as the Board may from time to time determine. Notice of regular meetings need not be given if the date, times and places thereof are fixed by resolution of the Board.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jc w:val="both"/>
        <w:ind w:firstLine="864"/>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2.4: </w:t>
      </w:r>
      <w:r>
        <w:rPr>
          <w:rFonts w:ascii="Times New Roman" w:cs="Times New Roman" w:eastAsia="Times New Roman" w:hAnsi="Times New Roman"/>
          <w:sz w:val="21"/>
          <w:szCs w:val="21"/>
          <w:b w:val="1"/>
          <w:bCs w:val="1"/>
          <w:u w:val="single" w:color="auto"/>
          <w:color w:val="auto"/>
        </w:rPr>
        <w:t>Special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meetings of the Board may be called by the Chairperson of the Board,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Chief Executive Officer, the 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6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2.5: </w:t>
      </w:r>
      <w:r>
        <w:rPr>
          <w:rFonts w:ascii="Times New Roman" w:cs="Times New Roman" w:eastAsia="Times New Roman" w:hAnsi="Times New Roman"/>
          <w:sz w:val="21"/>
          <w:szCs w:val="21"/>
          <w:b w:val="1"/>
          <w:bCs w:val="1"/>
          <w:u w:val="single" w:color="auto"/>
          <w:color w:val="auto"/>
        </w:rPr>
        <w:t>Remote Meetings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Members of the Board, or any committee of the Board,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participate in a meeting of 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63"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2.6: </w:t>
      </w:r>
      <w:r>
        <w:rPr>
          <w:rFonts w:ascii="Times New Roman" w:cs="Times New Roman" w:eastAsia="Times New Roman" w:hAnsi="Times New Roman"/>
          <w:sz w:val="21"/>
          <w:szCs w:val="21"/>
          <w:b w:val="1"/>
          <w:bCs w:val="1"/>
          <w:u w:val="single" w:color="auto"/>
          <w:color w:val="auto"/>
        </w:rPr>
        <w:t>Quorum; Vote Required for Action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all meetings of the Board, a majority of the Whole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200" w:lineRule="exact"/>
        <w:rPr>
          <w:sz w:val="20"/>
          <w:szCs w:val="20"/>
          <w:color w:val="auto"/>
        </w:rPr>
      </w:pPr>
    </w:p>
    <w:p>
      <w:pPr>
        <w:spacing w:after="0" w:line="213" w:lineRule="exact"/>
        <w:rPr>
          <w:sz w:val="20"/>
          <w:szCs w:val="20"/>
          <w:color w:val="auto"/>
        </w:rPr>
      </w:pPr>
    </w:p>
    <w:p>
      <w:pPr>
        <w:ind w:left="860"/>
        <w:spacing w:after="0"/>
        <w:tabs>
          <w:tab w:leader="none" w:pos="2540" w:val="left"/>
        </w:tabs>
        <w:rPr>
          <w:sz w:val="20"/>
          <w:szCs w:val="20"/>
          <w:color w:val="auto"/>
        </w:rPr>
      </w:pPr>
      <w:r>
        <w:rPr>
          <w:rFonts w:ascii="Times New Roman" w:cs="Times New Roman" w:eastAsia="Times New Roman" w:hAnsi="Times New Roman"/>
          <w:sz w:val="21"/>
          <w:szCs w:val="21"/>
          <w:b w:val="1"/>
          <w:bCs w:val="1"/>
          <w:color w:val="auto"/>
        </w:rPr>
        <w:t>Section 2.7:</w:t>
      </w:r>
      <w:r>
        <w:rPr>
          <w:sz w:val="20"/>
          <w:szCs w:val="20"/>
          <w:color w:val="auto"/>
        </w:rPr>
        <w:tab/>
      </w:r>
      <w:r>
        <w:rPr>
          <w:rFonts w:ascii="Times New Roman" w:cs="Times New Roman" w:eastAsia="Times New Roman" w:hAnsi="Times New Roman"/>
          <w:sz w:val="21"/>
          <w:szCs w:val="21"/>
          <w:b w:val="1"/>
          <w:bCs w:val="1"/>
          <w:u w:val="single" w:color="auto"/>
          <w:color w:val="auto"/>
        </w:rPr>
        <w:t>Organization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Meetings of the Board shall be presided over by (a) the Chairperson of the Board, or</w:t>
      </w:r>
    </w:p>
    <w:p>
      <w:pPr>
        <w:spacing w:after="0" w:line="21" w:lineRule="exact"/>
        <w:rPr>
          <w:sz w:val="20"/>
          <w:szCs w:val="20"/>
          <w:color w:val="auto"/>
        </w:rPr>
      </w:pPr>
    </w:p>
    <w:p>
      <w:pPr>
        <w:ind w:left="300" w:hanging="294"/>
        <w:spacing w:after="0"/>
        <w:tabs>
          <w:tab w:leader="none" w:pos="3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absence of such person, the Lead Independent Director, or (c) in such person’s absence, by the Chief Executive Officer, or</w:t>
      </w:r>
    </w:p>
    <w:p>
      <w:pPr>
        <w:ind w:firstLine="6"/>
        <w:spacing w:after="0" w:line="247" w:lineRule="auto"/>
        <w:tabs>
          <w:tab w:leader="none" w:pos="32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such person’s absence, by a chairperson chosen by the Board at the meeting. The Secretary shall act as secretary of the meeting, but in such person’s absence the chairperson of the meeting may appoint any person to act as secretary of the meeting.</w:t>
      </w:r>
    </w:p>
    <w:p>
      <w:pPr>
        <w:spacing w:after="0" w:line="16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2.8: </w:t>
      </w:r>
      <w:r>
        <w:rPr>
          <w:rFonts w:ascii="Times New Roman" w:cs="Times New Roman" w:eastAsia="Times New Roman" w:hAnsi="Times New Roman"/>
          <w:sz w:val="21"/>
          <w:szCs w:val="21"/>
          <w:b w:val="1"/>
          <w:bCs w:val="1"/>
          <w:u w:val="single" w:color="auto"/>
          <w:color w:val="auto"/>
        </w:rPr>
        <w:t>Unanimous Action by Directors in Lieu of a Meeting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action required or permitted to be taken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200" w:lineRule="exact"/>
        <w:rPr>
          <w:sz w:val="20"/>
          <w:szCs w:val="20"/>
          <w:color w:val="auto"/>
        </w:rPr>
      </w:pPr>
    </w:p>
    <w:p>
      <w:pPr>
        <w:spacing w:after="0" w:line="214" w:lineRule="exact"/>
        <w:rPr>
          <w:sz w:val="20"/>
          <w:szCs w:val="20"/>
          <w:color w:val="auto"/>
        </w:rPr>
      </w:pPr>
    </w:p>
    <w:p>
      <w:pPr>
        <w:jc w:val="both"/>
        <w:ind w:firstLine="864"/>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Section 2.9: </w:t>
      </w:r>
      <w:r>
        <w:rPr>
          <w:rFonts w:ascii="Times New Roman" w:cs="Times New Roman" w:eastAsia="Times New Roman" w:hAnsi="Times New Roman"/>
          <w:sz w:val="21"/>
          <w:szCs w:val="21"/>
          <w:b w:val="1"/>
          <w:bCs w:val="1"/>
          <w:u w:val="single" w:color="auto"/>
          <w:color w:val="auto"/>
        </w:rPr>
        <w:t>Powers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otherwise provided by the Certificate of Incorporation or the DGCL, the business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affairs of the Corporation shall be managed by or under the direction of the Board.</w:t>
      </w:r>
    </w:p>
    <w:p>
      <w:pPr>
        <w:spacing w:after="0" w:line="13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2.10: </w:t>
      </w:r>
      <w:r>
        <w:rPr>
          <w:rFonts w:ascii="Times New Roman" w:cs="Times New Roman" w:eastAsia="Times New Roman" w:hAnsi="Times New Roman"/>
          <w:sz w:val="21"/>
          <w:szCs w:val="21"/>
          <w:b w:val="1"/>
          <w:bCs w:val="1"/>
          <w:u w:val="single" w:color="auto"/>
          <w:color w:val="auto"/>
        </w:rPr>
        <w:t>Compensation of Directors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Members of the Board, as such, may receive, pursuant to a resolution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Board, fees and other compensation for their services as directors, including without limitation their services as members of committees of the Board.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0" w:name="page111"/>
    <w:bookmarkEnd w:id="110"/>
    <w:p>
      <w:pPr>
        <w:jc w:val="both"/>
        <w:ind w:firstLine="864"/>
        <w:spacing w:after="0" w:line="246" w:lineRule="exact"/>
        <w:rPr>
          <w:sz w:val="20"/>
          <w:szCs w:val="20"/>
          <w:color w:val="auto"/>
        </w:rPr>
      </w:pPr>
      <w:r>
        <w:rPr>
          <w:rFonts w:ascii="Times New Roman" w:cs="Times New Roman" w:eastAsia="Times New Roman" w:hAnsi="Times New Roman"/>
          <w:sz w:val="21"/>
          <w:szCs w:val="21"/>
          <w:b w:val="1"/>
          <w:bCs w:val="1"/>
          <w:color w:val="auto"/>
        </w:rPr>
        <w:t xml:space="preserve">Section 2.11: </w:t>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director shall maintain the confidentiality of, and shall not share with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party person or entity (including third parties that originally sponsored, nominated or designated such director (the “</w:t>
      </w:r>
      <w:r>
        <w:rPr>
          <w:rFonts w:ascii="Times New Roman" w:cs="Times New Roman" w:eastAsia="Times New Roman" w:hAnsi="Times New Roman"/>
          <w:sz w:val="21"/>
          <w:szCs w:val="21"/>
          <w:b w:val="1"/>
          <w:bCs w:val="1"/>
          <w:i w:val="1"/>
          <w:iCs w:val="1"/>
          <w:color w:val="auto"/>
        </w:rPr>
        <w:t>Sponsoring Party</w:t>
      </w:r>
      <w:r>
        <w:rPr>
          <w:rFonts w:ascii="Times New Roman" w:cs="Times New Roman" w:eastAsia="Times New Roman" w:hAnsi="Times New Roman"/>
          <w:sz w:val="21"/>
          <w:szCs w:val="21"/>
          <w:color w:val="auto"/>
        </w:rPr>
        <w:t>”)), any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public information learned in their capacities as directors, including communications among Board members in their capacities as directors. The Board may adopt a board confidentiality policy further implementing and interpreting this Section 2.11 (a “</w:t>
      </w:r>
      <w:r>
        <w:rPr>
          <w:rFonts w:ascii="Times New Roman" w:cs="Times New Roman" w:eastAsia="Times New Roman" w:hAnsi="Times New Roman"/>
          <w:sz w:val="21"/>
          <w:szCs w:val="21"/>
          <w:b w:val="1"/>
          <w:bCs w:val="1"/>
          <w:i w:val="1"/>
          <w:iCs w:val="1"/>
          <w:color w:val="auto"/>
        </w:rPr>
        <w:t>Board Confidentiality Policy</w:t>
      </w:r>
      <w:r>
        <w:rPr>
          <w:rFonts w:ascii="Times New Roman" w:cs="Times New Roman" w:eastAsia="Times New Roman" w:hAnsi="Times New Roman"/>
          <w:sz w:val="21"/>
          <w:szCs w:val="21"/>
          <w:color w:val="auto"/>
        </w:rPr>
        <w:t>”).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 COMMITTEES</w:t>
      </w:r>
    </w:p>
    <w:p>
      <w:pPr>
        <w:spacing w:after="0" w:line="208"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1"/>
          <w:szCs w:val="21"/>
          <w:b w:val="1"/>
          <w:bCs w:val="1"/>
          <w:color w:val="auto"/>
        </w:rPr>
        <w:t xml:space="preserve">Section 3.1: </w:t>
      </w:r>
      <w:r>
        <w:rPr>
          <w:rFonts w:ascii="Times New Roman" w:cs="Times New Roman" w:eastAsia="Times New Roman" w:hAnsi="Times New Roman"/>
          <w:sz w:val="21"/>
          <w:szCs w:val="21"/>
          <w:b w:val="1"/>
          <w:bCs w:val="1"/>
          <w:u w:val="single" w:color="auto"/>
          <w:color w:val="auto"/>
        </w:rPr>
        <w:t>Committees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may designate one or more committees, each committee to consist of one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7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Section 3.2: </w:t>
      </w:r>
      <w:r>
        <w:rPr>
          <w:rFonts w:ascii="Times New Roman" w:cs="Times New Roman" w:eastAsia="Times New Roman" w:hAnsi="Times New Roman"/>
          <w:sz w:val="21"/>
          <w:szCs w:val="21"/>
          <w:b w:val="1"/>
          <w:bCs w:val="1"/>
          <w:u w:val="single" w:color="auto"/>
          <w:color w:val="auto"/>
        </w:rPr>
        <w:t>Committee Rules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committee shall keep records of its proceedings and make such reports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 OFFICERS; CHAIRPERSON; LEAD INDEPENDENT DIRECTOR</w:t>
      </w:r>
    </w:p>
    <w:p>
      <w:pPr>
        <w:spacing w:after="0" w:line="208"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Section 4.1: </w:t>
      </w:r>
      <w:r>
        <w:rPr>
          <w:rFonts w:ascii="Times New Roman" w:cs="Times New Roman" w:eastAsia="Times New Roman" w:hAnsi="Times New Roman"/>
          <w:sz w:val="21"/>
          <w:szCs w:val="21"/>
          <w:b w:val="1"/>
          <w:bCs w:val="1"/>
          <w:u w:val="single" w:color="auto"/>
          <w:color w:val="auto"/>
        </w:rPr>
        <w:t>Generally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officers of the Corporation shall consist of a Chief Executive Officer (who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1" w:name="page112"/>
    <w:bookmarkEnd w:id="111"/>
    <w:p>
      <w:pPr>
        <w:jc w:val="both"/>
        <w:spacing w:after="0" w:line="242" w:lineRule="auto"/>
        <w:rPr>
          <w:sz w:val="20"/>
          <w:szCs w:val="20"/>
          <w:color w:val="auto"/>
        </w:rPr>
      </w:pPr>
      <w:r>
        <w:rPr>
          <w:rFonts w:ascii="Times New Roman" w:cs="Times New Roman" w:eastAsia="Times New Roman" w:hAnsi="Times New Roman"/>
          <w:sz w:val="21"/>
          <w:szCs w:val="21"/>
          <w:color w:val="auto"/>
        </w:rPr>
        <w:t>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71" w:lineRule="exact"/>
        <w:rPr>
          <w:sz w:val="20"/>
          <w:szCs w:val="20"/>
          <w:color w:val="auto"/>
        </w:rPr>
      </w:pPr>
    </w:p>
    <w:p>
      <w:pPr>
        <w:jc w:val="both"/>
        <w:ind w:firstLine="864"/>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Section 4.2: </w:t>
      </w:r>
      <w:r>
        <w:rPr>
          <w:rFonts w:ascii="Times New Roman" w:cs="Times New Roman" w:eastAsia="Times New Roman" w:hAnsi="Times New Roman"/>
          <w:sz w:val="21"/>
          <w:szCs w:val="21"/>
          <w:b w:val="1"/>
          <w:bCs w:val="1"/>
          <w:u w:val="single" w:color="auto"/>
          <w:color w:val="auto"/>
        </w:rPr>
        <w:t>Chief Executive Officer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control of the Board and such supervisory powers, if any,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given by the Board, the powers and duties of the Chief Executive Officer of the Corporation are:</w:t>
      </w:r>
    </w:p>
    <w:p>
      <w:pPr>
        <w:spacing w:after="0" w:line="139" w:lineRule="exact"/>
        <w:rPr>
          <w:sz w:val="20"/>
          <w:szCs w:val="20"/>
          <w:color w:val="auto"/>
        </w:rPr>
      </w:pPr>
    </w:p>
    <w:p>
      <w:pPr>
        <w:ind w:left="860" w:firstLine="807"/>
        <w:spacing w:after="0" w:line="271" w:lineRule="auto"/>
        <w:tabs>
          <w:tab w:leader="none" w:pos="252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act as the general manager and, subject to the control of the Board, to have general supervision, direction and control of the business and affairs of the Corporation;</w:t>
      </w:r>
    </w:p>
    <w:p>
      <w:pPr>
        <w:spacing w:after="0" w:line="142" w:lineRule="exact"/>
        <w:rPr>
          <w:rFonts w:ascii="Times New Roman" w:cs="Times New Roman" w:eastAsia="Times New Roman" w:hAnsi="Times New Roman"/>
          <w:sz w:val="21"/>
          <w:szCs w:val="21"/>
          <w:color w:val="auto"/>
        </w:rPr>
      </w:pPr>
    </w:p>
    <w:p>
      <w:pPr>
        <w:ind w:left="2540" w:hanging="873"/>
        <w:spacing w:after="0"/>
        <w:tabs>
          <w:tab w:leader="none" w:pos="25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1.6 of these Bylaws, to preside at all meetings of the stockholders;</w:t>
      </w:r>
    </w:p>
    <w:p>
      <w:pPr>
        <w:spacing w:after="0" w:line="208" w:lineRule="exact"/>
        <w:rPr>
          <w:rFonts w:ascii="Times New Roman" w:cs="Times New Roman" w:eastAsia="Times New Roman" w:hAnsi="Times New Roman"/>
          <w:sz w:val="21"/>
          <w:szCs w:val="21"/>
          <w:color w:val="auto"/>
        </w:rPr>
      </w:pPr>
    </w:p>
    <w:p>
      <w:pPr>
        <w:jc w:val="both"/>
        <w:ind w:left="860" w:firstLine="807"/>
        <w:spacing w:after="0" w:line="254" w:lineRule="auto"/>
        <w:tabs>
          <w:tab w:leader="none" w:pos="252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59" w:lineRule="exact"/>
        <w:rPr>
          <w:rFonts w:ascii="Times New Roman" w:cs="Times New Roman" w:eastAsia="Times New Roman" w:hAnsi="Times New Roman"/>
          <w:sz w:val="21"/>
          <w:szCs w:val="21"/>
          <w:color w:val="auto"/>
        </w:rPr>
      </w:pPr>
    </w:p>
    <w:p>
      <w:pPr>
        <w:jc w:val="both"/>
        <w:ind w:left="860" w:firstLine="807"/>
        <w:spacing w:after="0" w:line="243" w:lineRule="auto"/>
        <w:tabs>
          <w:tab w:leader="none" w:pos="25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200" w:lineRule="exact"/>
        <w:rPr>
          <w:sz w:val="20"/>
          <w:szCs w:val="20"/>
          <w:color w:val="auto"/>
        </w:rPr>
      </w:pP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The person holding the office of President shall be the Chief Executive Officer of the Corporation unless the Board shall designate another officer to be the Chief Executive Officer.</w:t>
      </w:r>
    </w:p>
    <w:p>
      <w:pPr>
        <w:spacing w:after="0" w:line="13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4.3: </w:t>
      </w:r>
      <w:r>
        <w:rPr>
          <w:rFonts w:ascii="Times New Roman" w:cs="Times New Roman" w:eastAsia="Times New Roman" w:hAnsi="Times New Roman"/>
          <w:sz w:val="21"/>
          <w:szCs w:val="21"/>
          <w:b w:val="1"/>
          <w:bCs w:val="1"/>
          <w:u w:val="single" w:color="auto"/>
          <w:color w:val="auto"/>
        </w:rPr>
        <w:t>Chairperson of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provisions of Section 2.7 of these Bylaws, the Chairperson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6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4.4: </w:t>
      </w:r>
      <w:r>
        <w:rPr>
          <w:rFonts w:ascii="Times New Roman" w:cs="Times New Roman" w:eastAsia="Times New Roman" w:hAnsi="Times New Roman"/>
          <w:sz w:val="21"/>
          <w:szCs w:val="21"/>
          <w:b w:val="1"/>
          <w:bCs w:val="1"/>
          <w:u w:val="single" w:color="auto"/>
          <w:color w:val="auto"/>
        </w:rPr>
        <w:t>Lead Independent Director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may, in its discretion, elect a lead independent director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among its members that are Independent Directors (as defined below) (such director, the “</w:t>
      </w:r>
      <w:r>
        <w:rPr>
          <w:rFonts w:ascii="Times New Roman" w:cs="Times New Roman" w:eastAsia="Times New Roman" w:hAnsi="Times New Roman"/>
          <w:sz w:val="21"/>
          <w:szCs w:val="21"/>
          <w:b w:val="1"/>
          <w:bCs w:val="1"/>
          <w:i w:val="1"/>
          <w:iCs w:val="1"/>
          <w:color w:val="auto"/>
        </w:rPr>
        <w:t>Lead Independent Director</w:t>
      </w:r>
      <w:r>
        <w:rPr>
          <w:rFonts w:ascii="Times New Roman" w:cs="Times New Roman" w:eastAsia="Times New Roman" w:hAnsi="Times New Roman"/>
          <w:sz w:val="21"/>
          <w:szCs w:val="21"/>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Times New Roman" w:cs="Times New Roman" w:eastAsia="Times New Roman" w:hAnsi="Times New Roman"/>
          <w:sz w:val="21"/>
          <w:szCs w:val="21"/>
          <w:b w:val="1"/>
          <w:bCs w:val="1"/>
          <w:i w:val="1"/>
          <w:iCs w:val="1"/>
          <w:color w:val="auto"/>
        </w:rPr>
        <w:t>Independent Director</w:t>
      </w:r>
      <w:r>
        <w:rPr>
          <w:rFonts w:ascii="Times New Roman" w:cs="Times New Roman" w:eastAsia="Times New Roman" w:hAnsi="Times New Roman"/>
          <w:sz w:val="21"/>
          <w:szCs w:val="21"/>
          <w:color w:val="auto"/>
        </w:rPr>
        <w:t>” has the meaning ascribed to such term under the rules of the exchange upon which the Corporation’s Common Stock is primarily traded.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jc w:val="both"/>
        <w:ind w:firstLine="864"/>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4.5: </w:t>
      </w:r>
      <w:r>
        <w:rPr>
          <w:rFonts w:ascii="Times New Roman" w:cs="Times New Roman" w:eastAsia="Times New Roman" w:hAnsi="Times New Roman"/>
          <w:sz w:val="21"/>
          <w:szCs w:val="21"/>
          <w:b w:val="1"/>
          <w:bCs w:val="1"/>
          <w:u w:val="single" w:color="auto"/>
          <w:color w:val="auto"/>
        </w:rPr>
        <w:t>President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person holding the office of Chief Executive Officer shall be the President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73"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4.6: </w:t>
      </w:r>
      <w:r>
        <w:rPr>
          <w:rFonts w:ascii="Times New Roman" w:cs="Times New Roman" w:eastAsia="Times New Roman" w:hAnsi="Times New Roman"/>
          <w:sz w:val="21"/>
          <w:szCs w:val="21"/>
          <w:b w:val="1"/>
          <w:bCs w:val="1"/>
          <w:u w:val="single" w:color="auto"/>
          <w:color w:val="auto"/>
        </w:rPr>
        <w:t>Chief Financial Officer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person holding the office of Chief Financial Officer shall be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65"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4.7: </w:t>
      </w:r>
      <w:r>
        <w:rPr>
          <w:rFonts w:ascii="Times New Roman" w:cs="Times New Roman" w:eastAsia="Times New Roman" w:hAnsi="Times New Roman"/>
          <w:sz w:val="21"/>
          <w:szCs w:val="21"/>
          <w:b w:val="1"/>
          <w:bCs w:val="1"/>
          <w:u w:val="single" w:color="auto"/>
          <w:color w:val="auto"/>
        </w:rPr>
        <w:t>Treasurer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person holding the office of Treasurer shall be the Chief Financial Officer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unless the Board shall 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68"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4.8: </w:t>
      </w:r>
      <w:r>
        <w:rPr>
          <w:rFonts w:ascii="Times New Roman" w:cs="Times New Roman" w:eastAsia="Times New Roman" w:hAnsi="Times New Roman"/>
          <w:sz w:val="21"/>
          <w:szCs w:val="21"/>
          <w:b w:val="1"/>
          <w:bCs w:val="1"/>
          <w:u w:val="single" w:color="auto"/>
          <w:color w:val="auto"/>
        </w:rPr>
        <w:t>Vice President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Vice President shall have all such powers and duties as are commonly incident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office of Vice President 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63"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4.9: </w:t>
      </w:r>
      <w:r>
        <w:rPr>
          <w:rFonts w:ascii="Times New Roman" w:cs="Times New Roman" w:eastAsia="Times New Roman" w:hAnsi="Times New Roman"/>
          <w:sz w:val="21"/>
          <w:szCs w:val="21"/>
          <w:b w:val="1"/>
          <w:bCs w:val="1"/>
          <w:u w:val="single" w:color="auto"/>
          <w:color w:val="auto"/>
        </w:rPr>
        <w:t>Secretary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Secretary shall issue or cause to be issued all authorized notices for, and shall keep,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63" w:lineRule="exact"/>
        <w:rPr>
          <w:sz w:val="20"/>
          <w:szCs w:val="20"/>
          <w:color w:val="auto"/>
        </w:rPr>
      </w:pPr>
    </w:p>
    <w:p>
      <w:pPr>
        <w:jc w:val="both"/>
        <w:ind w:firstLine="864"/>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Section 4.10: </w:t>
      </w:r>
      <w:r>
        <w:rPr>
          <w:rFonts w:ascii="Times New Roman" w:cs="Times New Roman" w:eastAsia="Times New Roman" w:hAnsi="Times New Roman"/>
          <w:sz w:val="21"/>
          <w:szCs w:val="21"/>
          <w:b w:val="1"/>
          <w:bCs w:val="1"/>
          <w:u w:val="single" w:color="auto"/>
          <w:color w:val="auto"/>
        </w:rPr>
        <w:t>Delegation of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may from time to time delegate the powers or duties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of the Corporation to any other officers or agents of the Corporation, notwithstanding any provision hereof.</w:t>
      </w:r>
    </w:p>
    <w:p>
      <w:pPr>
        <w:spacing w:after="0" w:line="135"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4.11: </w:t>
      </w:r>
      <w:r>
        <w:rPr>
          <w:rFonts w:ascii="Times New Roman" w:cs="Times New Roman" w:eastAsia="Times New Roman" w:hAnsi="Times New Roman"/>
          <w:sz w:val="21"/>
          <w:szCs w:val="21"/>
          <w:b w:val="1"/>
          <w:bCs w:val="1"/>
          <w:u w:val="single" w:color="auto"/>
          <w:color w:val="auto"/>
        </w:rPr>
        <w:t>Removal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officer of the Corporation shall serve at the pleasure of the Board and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removed at any time, with or without cause, by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1"/>
          <w:szCs w:val="21"/>
          <w:b w:val="1"/>
          <w:bCs w:val="1"/>
          <w:color w:val="auto"/>
        </w:rPr>
        <w:t>ARTICLE V: STOCK</w:t>
      </w:r>
    </w:p>
    <w:p>
      <w:pPr>
        <w:spacing w:after="0" w:line="208"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1"/>
          <w:szCs w:val="21"/>
          <w:b w:val="1"/>
          <w:bCs w:val="1"/>
          <w:color w:val="auto"/>
        </w:rPr>
        <w:t xml:space="preserve">Section 5.1: </w:t>
      </w:r>
      <w:r>
        <w:rPr>
          <w:rFonts w:ascii="Times New Roman" w:cs="Times New Roman" w:eastAsia="Times New Roman" w:hAnsi="Times New Roman"/>
          <w:sz w:val="21"/>
          <w:szCs w:val="21"/>
          <w:b w:val="1"/>
          <w:bCs w:val="1"/>
          <w:u w:val="single" w:color="auto"/>
          <w:color w:val="auto"/>
        </w:rPr>
        <w:t>Certificates; Uncertificated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shares of capital stock of the Corporation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uncertificated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w:t>
      </w:r>
      <w:r>
        <w:rPr>
          <w:rFonts w:ascii="Times New Roman" w:cs="Times New Roman" w:eastAsia="Times New Roman" w:hAnsi="Times New Roman"/>
          <w:sz w:val="21"/>
          <w:szCs w:val="21"/>
          <w:color w:val="222222"/>
        </w:rPr>
        <w:t>by resolution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22222"/>
        </w:rPr>
        <w:t xml:space="preserve">resolutions that some or all of any or all classes or series of its stock shall be certificated shares. </w:t>
      </w:r>
      <w:r>
        <w:rPr>
          <w:rFonts w:ascii="Times New Roman" w:cs="Times New Roman" w:eastAsia="Times New Roman" w:hAnsi="Times New Roman"/>
          <w:sz w:val="21"/>
          <w:szCs w:val="21"/>
          <w:color w:val="000000"/>
        </w:rPr>
        <w:t>Every holder of stock represented</w:t>
      </w:r>
      <w:r>
        <w:rPr>
          <w:rFonts w:ascii="Times New Roman" w:cs="Times New Roman" w:eastAsia="Times New Roman" w:hAnsi="Times New Roman"/>
          <w:sz w:val="21"/>
          <w:szCs w:val="21"/>
          <w:color w:val="222222"/>
        </w:rPr>
        <w:t xml:space="preserve"> </w:t>
      </w:r>
      <w:r>
        <w:rPr>
          <w:rFonts w:ascii="Times New Roman" w:cs="Times New Roman" w:eastAsia="Times New Roman" w:hAnsi="Times New Roman"/>
          <w:sz w:val="21"/>
          <w:szCs w:val="21"/>
          <w:color w:val="000000"/>
        </w:rPr>
        <w:t>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200" w:lineRule="exact"/>
        <w:rPr>
          <w:sz w:val="20"/>
          <w:szCs w:val="20"/>
          <w:color w:val="auto"/>
        </w:rPr>
      </w:pPr>
    </w:p>
    <w:p>
      <w:pPr>
        <w:spacing w:after="0" w:line="211"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Section 5.2: </w:t>
      </w:r>
      <w:r>
        <w:rPr>
          <w:rFonts w:ascii="Times New Roman" w:cs="Times New Roman" w:eastAsia="Times New Roman" w:hAnsi="Times New Roman"/>
          <w:sz w:val="21"/>
          <w:szCs w:val="21"/>
          <w:b w:val="1"/>
          <w:bCs w:val="1"/>
          <w:u w:val="single" w:color="auto"/>
          <w:color w:val="auto"/>
        </w:rPr>
        <w:t>Lost, Stolen or Destroyed Stock Certificates; Issuance of New Certificates or Uncertificated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Corporation may issue a new certificate of stock or uncertificated shares in the place of any certificate previously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5.3: </w:t>
      </w:r>
      <w:r>
        <w:rPr>
          <w:rFonts w:ascii="Times New Roman" w:cs="Times New Roman" w:eastAsia="Times New Roman" w:hAnsi="Times New Roman"/>
          <w:sz w:val="21"/>
          <w:szCs w:val="21"/>
          <w:b w:val="1"/>
          <w:bCs w:val="1"/>
          <w:u w:val="single" w:color="auto"/>
          <w:color w:val="auto"/>
        </w:rPr>
        <w:t>Other 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applicable law, the Certificate of Incorporation and these Bylaws,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 transfer, conversion and registration of shares represented by certificates and of uncertificated shares shall be governed by such other regulations as the Board may establish.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 INDEMNIFICATION</w:t>
      </w:r>
    </w:p>
    <w:p>
      <w:pPr>
        <w:spacing w:after="0" w:line="208"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1"/>
          <w:szCs w:val="21"/>
          <w:b w:val="1"/>
          <w:bCs w:val="1"/>
          <w:color w:val="auto"/>
        </w:rPr>
        <w:t xml:space="preserve">Section 6.1: </w:t>
      </w:r>
      <w:r>
        <w:rPr>
          <w:rFonts w:ascii="Times New Roman" w:cs="Times New Roman" w:eastAsia="Times New Roman" w:hAnsi="Times New Roman"/>
          <w:sz w:val="21"/>
          <w:szCs w:val="21"/>
          <w:b w:val="1"/>
          <w:bCs w:val="1"/>
          <w:u w:val="single" w:color="auto"/>
          <w:color w:val="auto"/>
        </w:rPr>
        <w:t>Indemnification of Officers and Directors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person who was or is made a party to, or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threatened to be made a party to, or is involved in any threatened, pending or completed action, suit or proceeding, whether civil, criminal, administrative, legislative or any other type whatsoever (a “</w:t>
      </w:r>
      <w:r>
        <w:rPr>
          <w:rFonts w:ascii="Times New Roman" w:cs="Times New Roman" w:eastAsia="Times New Roman" w:hAnsi="Times New Roman"/>
          <w:sz w:val="21"/>
          <w:szCs w:val="21"/>
          <w:b w:val="1"/>
          <w:bCs w:val="1"/>
          <w:i w:val="1"/>
          <w:iCs w:val="1"/>
          <w:color w:val="auto"/>
        </w:rPr>
        <w:t>Proceeding</w:t>
      </w:r>
      <w:r>
        <w:rPr>
          <w:rFonts w:ascii="Times New Roman" w:cs="Times New Roman" w:eastAsia="Times New Roman" w:hAnsi="Times New Roman"/>
          <w:sz w:val="21"/>
          <w:szCs w:val="21"/>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Times New Roman" w:cs="Times New Roman" w:eastAsia="Times New Roman" w:hAnsi="Times New Roman"/>
          <w:sz w:val="21"/>
          <w:szCs w:val="21"/>
          <w:b w:val="1"/>
          <w:bCs w:val="1"/>
          <w:i w:val="1"/>
          <w:iCs w:val="1"/>
          <w:color w:val="auto"/>
        </w:rPr>
        <w:t>Indemnitee</w:t>
      </w:r>
      <w:r>
        <w:rPr>
          <w:rFonts w:ascii="Times New Roman" w:cs="Times New Roman" w:eastAsia="Times New Roman" w:hAnsi="Times New Roman"/>
          <w:sz w:val="21"/>
          <w:szCs w:val="21"/>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4" w:name="page115"/>
    <w:bookmarkEnd w:id="114"/>
    <w:p>
      <w:pPr>
        <w:jc w:val="both"/>
        <w:spacing w:after="0" w:line="241" w:lineRule="auto"/>
        <w:rPr>
          <w:sz w:val="20"/>
          <w:szCs w:val="20"/>
          <w:color w:val="auto"/>
        </w:rPr>
      </w:pPr>
      <w:r>
        <w:rPr>
          <w:rFonts w:ascii="Times New Roman" w:cs="Times New Roman" w:eastAsia="Times New Roman" w:hAnsi="Times New Roman"/>
          <w:sz w:val="21"/>
          <w:szCs w:val="21"/>
          <w:color w:val="auto"/>
        </w:rPr>
        <w:t>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74"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6.2: </w:t>
      </w:r>
      <w:r>
        <w:rPr>
          <w:rFonts w:ascii="Times New Roman" w:cs="Times New Roman" w:eastAsia="Times New Roman" w:hAnsi="Times New Roman"/>
          <w:sz w:val="21"/>
          <w:szCs w:val="21"/>
          <w:b w:val="1"/>
          <w:bCs w:val="1"/>
          <w:u w:val="single" w:color="auto"/>
          <w:color w:val="auto"/>
        </w:rPr>
        <w:t>Advancement of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Corporation shall pay all expenses (including attorneys’ fees)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incurred by an Indemnitee in defending any Proceeding in advance of its final disposition;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65"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6.3: </w:t>
      </w:r>
      <w:r>
        <w:rPr>
          <w:rFonts w:ascii="Times New Roman" w:cs="Times New Roman" w:eastAsia="Times New Roman" w:hAnsi="Times New Roman"/>
          <w:sz w:val="21"/>
          <w:szCs w:val="21"/>
          <w:b w:val="1"/>
          <w:bCs w:val="1"/>
          <w:u w:val="single" w:color="auto"/>
          <w:color w:val="auto"/>
        </w:rPr>
        <w:t>Non-Exclusivity of Rights</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The rights conferred on any person in this Article VI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exclusive of any other right that such person may have or hereafter acquire under any statute, provision of the Certificate of Incorporation, these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65"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6.4: </w:t>
      </w:r>
      <w:r>
        <w:rPr>
          <w:rFonts w:ascii="Times New Roman" w:cs="Times New Roman" w:eastAsia="Times New Roman" w:hAnsi="Times New Roman"/>
          <w:sz w:val="21"/>
          <w:szCs w:val="21"/>
          <w:b w:val="1"/>
          <w:bCs w:val="1"/>
          <w:u w:val="single" w:color="auto"/>
          <w:color w:val="auto"/>
        </w:rPr>
        <w:t>Indemnification Contracts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is authorized to cause the Corporation to enter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indemnification contracts with any 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65" w:lineRule="exact"/>
        <w:rPr>
          <w:sz w:val="20"/>
          <w:szCs w:val="20"/>
          <w:color w:val="auto"/>
        </w:rPr>
      </w:pPr>
    </w:p>
    <w:p>
      <w:pPr>
        <w:jc w:val="both"/>
        <w:ind w:firstLine="864"/>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Section 6.5: </w:t>
      </w:r>
      <w:r>
        <w:rPr>
          <w:rFonts w:ascii="Times New Roman" w:cs="Times New Roman" w:eastAsia="Times New Roman" w:hAnsi="Times New Roman"/>
          <w:sz w:val="21"/>
          <w:szCs w:val="21"/>
          <w:b w:val="1"/>
          <w:bCs w:val="1"/>
          <w:u w:val="single" w:color="auto"/>
          <w:color w:val="auto"/>
        </w:rPr>
        <w:t>Right of Indemnitee to Bring Suit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shall apply to the extent not in conflict with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indemnification contract provided for in Section 6.4 of these Bylaws.</w:t>
      </w:r>
    </w:p>
    <w:p>
      <w:pPr>
        <w:spacing w:after="0" w:line="139"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1"/>
          <w:szCs w:val="21"/>
          <w:color w:val="010000"/>
        </w:rPr>
        <w:t xml:space="preserve">6.5.1 </w:t>
      </w:r>
      <w:r>
        <w:rPr>
          <w:rFonts w:ascii="Times New Roman" w:cs="Times New Roman" w:eastAsia="Times New Roman" w:hAnsi="Times New Roman"/>
          <w:sz w:val="21"/>
          <w:szCs w:val="21"/>
          <w:u w:val="single" w:color="auto"/>
          <w:color w:val="000000"/>
        </w:rPr>
        <w:t>Right to Bring Suit</w:t>
      </w:r>
      <w:r>
        <w:rPr>
          <w:rFonts w:ascii="Times New Roman" w:cs="Times New Roman" w:eastAsia="Times New Roman" w:hAnsi="Times New Roman"/>
          <w:sz w:val="21"/>
          <w:szCs w:val="21"/>
          <w:color w:val="000000"/>
        </w:rPr>
        <w:t>. If a claim under Section 6.1 or 6.2 of these Bylaws is not paid in full by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p>
      <w:pPr>
        <w:jc w:val="both"/>
        <w:ind w:firstLine="864"/>
        <w:spacing w:after="0" w:line="248" w:lineRule="auto"/>
        <w:rPr>
          <w:sz w:val="20"/>
          <w:szCs w:val="20"/>
          <w:color w:val="auto"/>
        </w:rPr>
      </w:pPr>
      <w:r>
        <w:rPr>
          <w:rFonts w:ascii="Times New Roman" w:cs="Times New Roman" w:eastAsia="Times New Roman" w:hAnsi="Times New Roman"/>
          <w:sz w:val="21"/>
          <w:szCs w:val="21"/>
          <w:color w:val="010000"/>
        </w:rPr>
        <w:t xml:space="preserve">6.5.2 </w:t>
      </w:r>
      <w:r>
        <w:rPr>
          <w:rFonts w:ascii="Times New Roman" w:cs="Times New Roman" w:eastAsia="Times New Roman" w:hAnsi="Times New Roman"/>
          <w:sz w:val="21"/>
          <w:szCs w:val="21"/>
          <w:u w:val="single" w:color="auto"/>
          <w:color w:val="000000"/>
        </w:rPr>
        <w:t>Effect of Determination</w:t>
      </w:r>
      <w:r>
        <w:rPr>
          <w:rFonts w:ascii="Times New Roman" w:cs="Times New Roman" w:eastAsia="Times New Roman" w:hAnsi="Times New Roman"/>
          <w:sz w:val="21"/>
          <w:szCs w:val="21"/>
          <w:color w:val="000000"/>
        </w:rPr>
        <w:t>. The absence of a determination prior to the commencement of such suit that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w:t>
      </w:r>
    </w:p>
    <w:p>
      <w:pPr>
        <w:spacing w:after="0" w:line="167" w:lineRule="exact"/>
        <w:rPr>
          <w:sz w:val="20"/>
          <w:szCs w:val="20"/>
          <w:color w:val="auto"/>
        </w:rPr>
      </w:pPr>
    </w:p>
    <w:p>
      <w:pPr>
        <w:jc w:val="both"/>
        <w:ind w:firstLine="864"/>
        <w:spacing w:after="0" w:line="248" w:lineRule="auto"/>
        <w:rPr>
          <w:sz w:val="20"/>
          <w:szCs w:val="20"/>
          <w:color w:val="auto"/>
        </w:rPr>
      </w:pPr>
      <w:r>
        <w:rPr>
          <w:rFonts w:ascii="Times New Roman" w:cs="Times New Roman" w:eastAsia="Times New Roman" w:hAnsi="Times New Roman"/>
          <w:sz w:val="21"/>
          <w:szCs w:val="21"/>
          <w:color w:val="010000"/>
        </w:rPr>
        <w:t xml:space="preserve">6.5.3 </w:t>
      </w:r>
      <w:r>
        <w:rPr>
          <w:rFonts w:ascii="Times New Roman" w:cs="Times New Roman" w:eastAsia="Times New Roman" w:hAnsi="Times New Roman"/>
          <w:sz w:val="21"/>
          <w:szCs w:val="21"/>
          <w:u w:val="single" w:color="auto"/>
          <w:color w:val="000000"/>
        </w:rPr>
        <w:t>Burden of Proof</w:t>
      </w:r>
      <w:r>
        <w:rPr>
          <w:rFonts w:ascii="Times New Roman" w:cs="Times New Roman" w:eastAsia="Times New Roman" w:hAnsi="Times New Roman"/>
          <w:sz w:val="21"/>
          <w:szCs w:val="21"/>
          <w:color w:val="000000"/>
        </w:rPr>
        <w:t>. In any suit brought by the Indemnitee to enforce a right to indemnification or to an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6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6.6: </w:t>
      </w:r>
      <w:r>
        <w:rPr>
          <w:rFonts w:ascii="Times New Roman" w:cs="Times New Roman" w:eastAsia="Times New Roman" w:hAnsi="Times New Roman"/>
          <w:sz w:val="21"/>
          <w:szCs w:val="21"/>
          <w:b w:val="1"/>
          <w:bCs w:val="1"/>
          <w:u w:val="single" w:color="auto"/>
          <w:color w:val="auto"/>
        </w:rPr>
        <w:t>Nature of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rights conferred upon Indemnitees in this Article VI shall be contract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w:t>
      </w:r>
    </w:p>
    <w:p>
      <w:pPr>
        <w:spacing w:after="0" w:line="168"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6.7: </w:t>
      </w:r>
      <w:r>
        <w:rPr>
          <w:rFonts w:ascii="Times New Roman" w:cs="Times New Roman" w:eastAsia="Times New Roman" w:hAnsi="Times New Roman"/>
          <w:sz w:val="21"/>
          <w:szCs w:val="21"/>
          <w:b w:val="1"/>
          <w:bCs w:val="1"/>
          <w:u w:val="single" w:color="auto"/>
          <w:color w:val="auto"/>
        </w:rPr>
        <w:t>Insurance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Corporation may purchase and maintain insurance, at its expense, to protect itself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281"/>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20" w:type="dxa"/>
            <w:vAlign w:val="bottom"/>
          </w:tcPr>
          <w:p>
            <w:pPr>
              <w:ind w:left="180"/>
              <w:spacing w:after="0"/>
              <w:rPr>
                <w:sz w:val="20"/>
                <w:szCs w:val="20"/>
                <w:color w:val="auto"/>
              </w:rPr>
            </w:pPr>
            <w:r>
              <w:rPr>
                <w:rFonts w:ascii="Times New Roman" w:cs="Times New Roman" w:eastAsia="Times New Roman" w:hAnsi="Times New Roman"/>
                <w:sz w:val="21"/>
                <w:szCs w:val="21"/>
                <w:b w:val="1"/>
                <w:bCs w:val="1"/>
                <w:color w:val="auto"/>
              </w:rPr>
              <w:t>ARTICLE VII: NOTICES</w:t>
            </w:r>
          </w:p>
        </w:tc>
      </w:tr>
      <w:tr>
        <w:trPr>
          <w:trHeight w:val="399"/>
        </w:trPr>
        <w:tc>
          <w:tcPr>
            <w:tcW w:w="13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Section 7.1:</w:t>
            </w:r>
          </w:p>
        </w:tc>
        <w:tc>
          <w:tcPr>
            <w:tcW w:w="9000" w:type="dxa"/>
            <w:vAlign w:val="bottom"/>
            <w:gridSpan w:val="4"/>
          </w:tcPr>
          <w:p>
            <w:pPr>
              <w:ind w:left="320"/>
              <w:spacing w:after="0"/>
              <w:rPr>
                <w:sz w:val="20"/>
                <w:szCs w:val="20"/>
                <w:color w:val="auto"/>
              </w:rPr>
            </w:pPr>
            <w:r>
              <w:rPr>
                <w:rFonts w:ascii="Times New Roman" w:cs="Times New Roman" w:eastAsia="Times New Roman" w:hAnsi="Times New Roman"/>
                <w:sz w:val="21"/>
                <w:szCs w:val="21"/>
                <w:b w:val="1"/>
                <w:bCs w:val="1"/>
                <w:color w:val="auto"/>
              </w:rPr>
              <w:t>Notice.</w:t>
            </w:r>
          </w:p>
        </w:tc>
      </w:tr>
      <w:tr>
        <w:trPr>
          <w:trHeight w:val="20"/>
        </w:trPr>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430"/>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010000"/>
              </w:rPr>
              <w:t>7.1.1</w:t>
            </w:r>
          </w:p>
        </w:tc>
        <w:tc>
          <w:tcPr>
            <w:tcW w:w="32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Form and Delivery.  Except as otherwise specifically required in these Bylaws (including, without</w:t>
            </w:r>
          </w:p>
        </w:tc>
      </w:tr>
      <w:tr>
        <w:trPr>
          <w:trHeight w:val="20"/>
        </w:trPr>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jc w:val="both"/>
        <w:spacing w:after="0"/>
        <w:rPr>
          <w:sz w:val="20"/>
          <w:szCs w:val="20"/>
          <w:color w:val="auto"/>
        </w:rPr>
      </w:pPr>
      <w:r>
        <w:rPr>
          <w:rFonts w:ascii="Times New Roman" w:cs="Times New Roman" w:eastAsia="Times New Roman" w:hAnsi="Times New Roman"/>
          <w:sz w:val="21"/>
          <w:szCs w:val="21"/>
          <w:color w:val="auto"/>
        </w:rPr>
        <w:t>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75"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1"/>
          <w:szCs w:val="21"/>
          <w:color w:val="010000"/>
        </w:rPr>
        <w:t xml:space="preserve">7.1.2 </w:t>
      </w:r>
      <w:r>
        <w:rPr>
          <w:rFonts w:ascii="Times New Roman" w:cs="Times New Roman" w:eastAsia="Times New Roman" w:hAnsi="Times New Roman"/>
          <w:sz w:val="21"/>
          <w:szCs w:val="21"/>
          <w:u w:val="single" w:color="auto"/>
          <w:color w:val="000000"/>
        </w:rPr>
        <w:t>Electronic Transmission</w:t>
      </w:r>
      <w:r>
        <w:rPr>
          <w:rFonts w:ascii="Times New Roman" w:cs="Times New Roman" w:eastAsia="Times New Roman" w:hAnsi="Times New Roman"/>
          <w:sz w:val="21"/>
          <w:szCs w:val="21"/>
          <w:color w:val="000000"/>
        </w:rPr>
        <w:t>. Without limiting the manner by which notice otherwise may be given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effectively to stockholders, any notice to stockholders given by the Corporation under any provision of the DGCL, the Certificate of Incorporation, or these Bylaws shall be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jc w:val="both"/>
        <w:spacing w:after="0"/>
        <w:rPr>
          <w:sz w:val="20"/>
          <w:szCs w:val="20"/>
          <w:color w:val="auto"/>
        </w:rPr>
      </w:pPr>
      <w:r>
        <w:rPr>
          <w:rFonts w:ascii="Times New Roman" w:cs="Times New Roman" w:eastAsia="Times New Roman" w:hAnsi="Times New Roman"/>
          <w:sz w:val="21"/>
          <w:szCs w:val="21"/>
          <w:color w:val="auto"/>
        </w:rPr>
        <w:t xml:space="preserve">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7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1"/>
          <w:szCs w:val="21"/>
          <w:color w:val="010000"/>
        </w:rPr>
        <w:t xml:space="preserve">7.1.3 </w:t>
      </w:r>
      <w:r>
        <w:rPr>
          <w:rFonts w:ascii="Times New Roman" w:cs="Times New Roman" w:eastAsia="Times New Roman" w:hAnsi="Times New Roman"/>
          <w:sz w:val="21"/>
          <w:szCs w:val="21"/>
          <w:u w:val="single" w:color="auto"/>
          <w:color w:val="000000"/>
        </w:rPr>
        <w:t>Affidavit of Giving Notice</w:t>
      </w:r>
      <w:r>
        <w:rPr>
          <w:rFonts w:ascii="Times New Roman" w:cs="Times New Roman" w:eastAsia="Times New Roman" w:hAnsi="Times New Roman"/>
          <w:sz w:val="21"/>
          <w:szCs w:val="21"/>
          <w:color w:val="000000"/>
        </w:rPr>
        <w:t>. An affidavit of the Secretary or an Assistant Secretary or of the transfer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agent or other agent of the Corporation that the notice has been given in writing or by a form of electronic transmission shall, in the absence of fraud, be prima facie evidence of the facts stated therein.</w:t>
      </w:r>
    </w:p>
    <w:p>
      <w:pPr>
        <w:spacing w:after="0" w:line="15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Section 7.2: </w:t>
      </w:r>
      <w:r>
        <w:rPr>
          <w:rFonts w:ascii="Times New Roman" w:cs="Times New Roman" w:eastAsia="Times New Roman" w:hAnsi="Times New Roman"/>
          <w:sz w:val="21"/>
          <w:szCs w:val="21"/>
          <w:b w:val="1"/>
          <w:bCs w:val="1"/>
          <w:u w:val="single" w:color="auto"/>
          <w:color w:val="auto"/>
        </w:rPr>
        <w:t>Waiver of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Whenever notice is required to be given under any provision of the DGCL,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VIII: INTERESTED DIRECTORS</w:t>
      </w:r>
    </w:p>
    <w:p>
      <w:pPr>
        <w:spacing w:after="0" w:line="208"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1"/>
          <w:szCs w:val="21"/>
          <w:b w:val="1"/>
          <w:bCs w:val="1"/>
          <w:color w:val="auto"/>
        </w:rPr>
        <w:t xml:space="preserve">Section 8.1: </w:t>
      </w:r>
      <w:r>
        <w:rPr>
          <w:rFonts w:ascii="Times New Roman" w:cs="Times New Roman" w:eastAsia="Times New Roman" w:hAnsi="Times New Roman"/>
          <w:sz w:val="21"/>
          <w:szCs w:val="21"/>
          <w:b w:val="1"/>
          <w:bCs w:val="1"/>
          <w:u w:val="single" w:color="auto"/>
          <w:color w:val="auto"/>
        </w:rPr>
        <w:t>Interested Directors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contract or transaction between the Corporation and one or more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members 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7" w:name="page118"/>
    <w:bookmarkEnd w:id="117"/>
    <w:p>
      <w:pPr>
        <w:jc w:val="both"/>
        <w:ind w:right="20" w:firstLine="864"/>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Section 8.2: </w:t>
      </w:r>
      <w:r>
        <w:rPr>
          <w:rFonts w:ascii="Times New Roman" w:cs="Times New Roman" w:eastAsia="Times New Roman" w:hAnsi="Times New Roman"/>
          <w:sz w:val="21"/>
          <w:szCs w:val="21"/>
          <w:b w:val="1"/>
          <w:bCs w:val="1"/>
          <w:u w:val="single" w:color="auto"/>
          <w:color w:val="auto"/>
        </w:rPr>
        <w:t>Quorum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Interested directors may be counted in determining the presence of a quorum at a meeting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Board or of a committee which authorizes the contract or transaction.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 MISCELLANEOUS</w:t>
      </w:r>
    </w:p>
    <w:p>
      <w:pPr>
        <w:spacing w:after="0" w:line="208" w:lineRule="exact"/>
        <w:rPr>
          <w:sz w:val="20"/>
          <w:szCs w:val="20"/>
          <w:color w:val="auto"/>
        </w:rPr>
      </w:pPr>
    </w:p>
    <w:p>
      <w:pPr>
        <w:ind w:left="860"/>
        <w:spacing w:after="0"/>
        <w:tabs>
          <w:tab w:leader="none" w:pos="2540" w:val="left"/>
        </w:tabs>
        <w:rPr>
          <w:sz w:val="20"/>
          <w:szCs w:val="20"/>
          <w:color w:val="auto"/>
        </w:rPr>
      </w:pPr>
      <w:r>
        <w:rPr>
          <w:rFonts w:ascii="Times New Roman" w:cs="Times New Roman" w:eastAsia="Times New Roman" w:hAnsi="Times New Roman"/>
          <w:sz w:val="21"/>
          <w:szCs w:val="21"/>
          <w:b w:val="1"/>
          <w:bCs w:val="1"/>
          <w:color w:val="auto"/>
        </w:rPr>
        <w:t>Section 9.1:</w:t>
      </w:r>
      <w:r>
        <w:rPr>
          <w:sz w:val="20"/>
          <w:szCs w:val="20"/>
          <w:color w:val="auto"/>
        </w:rPr>
        <w:tab/>
      </w:r>
      <w:r>
        <w:rPr>
          <w:rFonts w:ascii="Times New Roman" w:cs="Times New Roman" w:eastAsia="Times New Roman" w:hAnsi="Times New Roman"/>
          <w:sz w:val="21"/>
          <w:szCs w:val="21"/>
          <w:b w:val="1"/>
          <w:bCs w:val="1"/>
          <w:u w:val="single" w:color="auto"/>
          <w:color w:val="auto"/>
        </w:rPr>
        <w:t>Fiscal Year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fiscal year of the Corporation shall be determined by resolution of the Board.</w:t>
      </w:r>
    </w:p>
    <w:p>
      <w:pPr>
        <w:spacing w:after="0" w:line="208" w:lineRule="exact"/>
        <w:rPr>
          <w:sz w:val="20"/>
          <w:szCs w:val="20"/>
          <w:color w:val="auto"/>
        </w:rPr>
      </w:pPr>
    </w:p>
    <w:p>
      <w:pPr>
        <w:jc w:val="both"/>
        <w:ind w:firstLine="864"/>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Section 9.2: </w:t>
      </w:r>
      <w:r>
        <w:rPr>
          <w:rFonts w:ascii="Times New Roman" w:cs="Times New Roman" w:eastAsia="Times New Roman" w:hAnsi="Times New Roman"/>
          <w:sz w:val="21"/>
          <w:szCs w:val="21"/>
          <w:b w:val="1"/>
          <w:bCs w:val="1"/>
          <w:u w:val="single" w:color="auto"/>
          <w:color w:val="auto"/>
        </w:rPr>
        <w:t>Seal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may provide for a corporate seal, which may have the name of the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inscribed thereon and shall otherwise be in such form as may be approved from time to time by the Board.</w:t>
      </w:r>
    </w:p>
    <w:p>
      <w:pPr>
        <w:spacing w:after="0" w:line="135"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9.3: </w:t>
      </w:r>
      <w:r>
        <w:rPr>
          <w:rFonts w:ascii="Times New Roman" w:cs="Times New Roman" w:eastAsia="Times New Roman" w:hAnsi="Times New Roman"/>
          <w:sz w:val="21"/>
          <w:szCs w:val="21"/>
          <w:b w:val="1"/>
          <w:bCs w:val="1"/>
          <w:u w:val="single" w:color="auto"/>
          <w:color w:val="auto"/>
        </w:rPr>
        <w:t>Form of Records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records administered by or on behalf of the Corporation in the regular course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its 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6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9.4: </w:t>
      </w:r>
      <w:r>
        <w:rPr>
          <w:rFonts w:ascii="Times New Roman" w:cs="Times New Roman" w:eastAsia="Times New Roman" w:hAnsi="Times New Roman"/>
          <w:sz w:val="21"/>
          <w:szCs w:val="21"/>
          <w:b w:val="1"/>
          <w:bCs w:val="1"/>
          <w:u w:val="single" w:color="auto"/>
          <w:color w:val="auto"/>
        </w:rPr>
        <w:t>Reliance Upon Books and Records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member of the Board, or a member of any committee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68" w:lineRule="exact"/>
        <w:rPr>
          <w:sz w:val="20"/>
          <w:szCs w:val="20"/>
          <w:color w:val="auto"/>
        </w:rPr>
      </w:pPr>
    </w:p>
    <w:p>
      <w:pPr>
        <w:jc w:val="both"/>
        <w:ind w:firstLine="864"/>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Section 9.5: </w:t>
      </w:r>
      <w:r>
        <w:rPr>
          <w:rFonts w:ascii="Times New Roman" w:cs="Times New Roman" w:eastAsia="Times New Roman" w:hAnsi="Times New Roman"/>
          <w:sz w:val="21"/>
          <w:szCs w:val="21"/>
          <w:b w:val="1"/>
          <w:bCs w:val="1"/>
          <w:u w:val="single" w:color="auto"/>
          <w:color w:val="auto"/>
        </w:rPr>
        <w:t>Certificate of Incorporation Governs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of any conflict between the provisions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 of Incorporation and Bylaws, the provisions of the Certificate of Incorporation shall govern.</w:t>
      </w:r>
    </w:p>
    <w:p>
      <w:pPr>
        <w:spacing w:after="0" w:line="135"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9.6: </w:t>
      </w: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any provision of these Bylaws shall be held to be invalid, illegal, unenforceable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6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9.7: </w:t>
      </w:r>
      <w:r>
        <w:rPr>
          <w:rFonts w:ascii="Times New Roman" w:cs="Times New Roman" w:eastAsia="Times New Roman" w:hAnsi="Times New Roman"/>
          <w:sz w:val="21"/>
          <w:szCs w:val="21"/>
          <w:b w:val="1"/>
          <w:bCs w:val="1"/>
          <w:u w:val="single" w:color="auto"/>
          <w:color w:val="auto"/>
        </w:rPr>
        <w:t>Time Periods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applying any provision of these Bylaws which requires that an act be done or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200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52005" cy="1651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1"/>
          <w:szCs w:val="21"/>
          <w:b w:val="1"/>
          <w:bCs w:val="1"/>
          <w:color w:val="auto"/>
        </w:rPr>
        <w:t>ARTICLE X: AMENDMENT</w:t>
      </w:r>
    </w:p>
    <w:p>
      <w:pPr>
        <w:spacing w:after="0" w:line="21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1"/>
          <w:szCs w:val="21"/>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 EXCLUSIVE FORUM</w:t>
      </w:r>
    </w:p>
    <w:p>
      <w:pPr>
        <w:spacing w:after="0" w:line="212" w:lineRule="exact"/>
        <w:rPr>
          <w:sz w:val="20"/>
          <w:szCs w:val="20"/>
          <w:color w:val="auto"/>
        </w:rPr>
      </w:pPr>
    </w:p>
    <w:p>
      <w:pPr>
        <w:jc w:val="both"/>
        <w:ind w:firstLine="864"/>
        <w:spacing w:after="0" w:line="248"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32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217" w:lineRule="exact"/>
        <w:rPr>
          <w:sz w:val="20"/>
          <w:szCs w:val="20"/>
          <w:color w:val="auto"/>
        </w:rPr>
      </w:pPr>
    </w:p>
    <w:p>
      <w:pPr>
        <w:ind w:left="500" w:hanging="494"/>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216" w:lineRule="exact"/>
        <w:rPr>
          <w:rFonts w:ascii="Times New Roman" w:cs="Times New Roman" w:eastAsia="Times New Roman" w:hAnsi="Times New Roman"/>
          <w:sz w:val="18"/>
          <w:szCs w:val="18"/>
          <w:color w:val="auto"/>
        </w:rPr>
      </w:pPr>
    </w:p>
    <w:p>
      <w:pPr>
        <w:jc w:val="both"/>
        <w:ind w:left="500" w:right="460" w:hanging="494"/>
        <w:spacing w:after="0" w:line="258"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500" w:right="440" w:hanging="494"/>
        <w:spacing w:after="0" w:line="27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8"/>
          <w:szCs w:val="18"/>
          <w:color w:val="auto"/>
        </w:rPr>
      </w:pPr>
    </w:p>
    <w:p>
      <w:pPr>
        <w:ind w:left="500" w:right="680" w:hanging="494"/>
        <w:spacing w:after="0" w:line="27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7" w:lineRule="exact"/>
        <w:rPr>
          <w:rFonts w:ascii="Times New Roman" w:cs="Times New Roman" w:eastAsia="Times New Roman" w:hAnsi="Times New Roman"/>
          <w:sz w:val="18"/>
          <w:szCs w:val="18"/>
          <w:color w:val="auto"/>
        </w:rPr>
      </w:pPr>
    </w:p>
    <w:p>
      <w:pPr>
        <w:ind w:left="1020" w:right="220" w:hanging="511"/>
        <w:spacing w:after="0" w:line="258"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020" w:right="700" w:hanging="511"/>
        <w:spacing w:after="0" w:line="301" w:lineRule="auto"/>
        <w:tabs>
          <w:tab w:leader="none" w:pos="10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7"/>
          <w:szCs w:val="17"/>
          <w:color w:val="auto"/>
        </w:rPr>
      </w:pPr>
    </w:p>
    <w:p>
      <w:pPr>
        <w:ind w:left="1020" w:right="260" w:hanging="511"/>
        <w:spacing w:after="0" w:line="258"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500" w:right="380" w:hanging="494"/>
        <w:spacing w:after="0" w:line="27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Times New Roman" w:cs="Times New Roman" w:eastAsia="Times New Roman" w:hAnsi="Times New Roman"/>
          <w:sz w:val="18"/>
          <w:szCs w:val="18"/>
          <w:color w:val="auto"/>
        </w:rPr>
      </w:pPr>
    </w:p>
    <w:p>
      <w:pPr>
        <w:ind w:left="1020" w:right="120" w:hanging="511"/>
        <w:spacing w:after="0" w:line="271"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8"/>
          <w:szCs w:val="18"/>
          <w:color w:val="auto"/>
        </w:rPr>
      </w:pPr>
    </w:p>
    <w:p>
      <w:pPr>
        <w:ind w:left="1020" w:right="100" w:hanging="511"/>
        <w:spacing w:after="0" w:line="271"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14, 2020</w:t>
            </w:r>
          </w:p>
        </w:tc>
        <w:tc>
          <w:tcPr>
            <w:tcW w:w="23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Arthur T. Sands</w:t>
            </w:r>
          </w:p>
        </w:tc>
      </w:tr>
      <w:tr>
        <w:trPr>
          <w:trHeight w:val="214"/>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Arthur T. Sands, M.D., Ph. D.</w:t>
            </w:r>
          </w:p>
        </w:tc>
      </w:tr>
      <w:tr>
        <w:trPr>
          <w:trHeight w:val="210"/>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1"/>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bl>
    <w:p>
      <w:pPr>
        <w:sectPr>
          <w:pgSz w:w="11900" w:h="16838" w:orient="portrait"/>
          <w:cols w:equalWidth="0" w:num="1">
            <w:col w:w="11240"/>
          </w:cols>
          <w:pgMar w:left="320" w:top="34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217" w:lineRule="exact"/>
        <w:rPr>
          <w:sz w:val="20"/>
          <w:szCs w:val="20"/>
          <w:color w:val="auto"/>
        </w:rPr>
      </w:pPr>
    </w:p>
    <w:p>
      <w:pPr>
        <w:ind w:left="500" w:hanging="494"/>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216" w:lineRule="exact"/>
        <w:rPr>
          <w:rFonts w:ascii="Times New Roman" w:cs="Times New Roman" w:eastAsia="Times New Roman" w:hAnsi="Times New Roman"/>
          <w:sz w:val="18"/>
          <w:szCs w:val="18"/>
          <w:color w:val="auto"/>
        </w:rPr>
      </w:pPr>
    </w:p>
    <w:p>
      <w:pPr>
        <w:jc w:val="both"/>
        <w:ind w:left="500" w:right="460" w:hanging="494"/>
        <w:spacing w:after="0" w:line="258"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500" w:right="440" w:hanging="494"/>
        <w:spacing w:after="0" w:line="271"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8"/>
          <w:szCs w:val="18"/>
          <w:color w:val="auto"/>
        </w:rPr>
      </w:pPr>
    </w:p>
    <w:p>
      <w:pPr>
        <w:ind w:left="500" w:right="680" w:hanging="494"/>
        <w:spacing w:after="0" w:line="271"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7" w:lineRule="exact"/>
        <w:rPr>
          <w:rFonts w:ascii="Times New Roman" w:cs="Times New Roman" w:eastAsia="Times New Roman" w:hAnsi="Times New Roman"/>
          <w:sz w:val="18"/>
          <w:szCs w:val="18"/>
          <w:color w:val="auto"/>
        </w:rPr>
      </w:pPr>
    </w:p>
    <w:p>
      <w:pPr>
        <w:ind w:left="1020" w:right="220" w:hanging="511"/>
        <w:spacing w:after="0" w:line="258"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020" w:right="700" w:hanging="511"/>
        <w:spacing w:after="0" w:line="301" w:lineRule="auto"/>
        <w:tabs>
          <w:tab w:leader="none" w:pos="10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7"/>
          <w:szCs w:val="17"/>
          <w:color w:val="auto"/>
        </w:rPr>
      </w:pPr>
    </w:p>
    <w:p>
      <w:pPr>
        <w:ind w:left="1020" w:right="260" w:hanging="511"/>
        <w:spacing w:after="0" w:line="258"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500" w:right="380" w:hanging="494"/>
        <w:spacing w:after="0" w:line="271"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Times New Roman" w:cs="Times New Roman" w:eastAsia="Times New Roman" w:hAnsi="Times New Roman"/>
          <w:sz w:val="18"/>
          <w:szCs w:val="18"/>
          <w:color w:val="auto"/>
        </w:rPr>
      </w:pPr>
    </w:p>
    <w:p>
      <w:pPr>
        <w:ind w:left="1020" w:right="120" w:hanging="511"/>
        <w:spacing w:after="0" w:line="271"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8"/>
          <w:szCs w:val="18"/>
          <w:color w:val="auto"/>
        </w:rPr>
      </w:pPr>
    </w:p>
    <w:p>
      <w:pPr>
        <w:ind w:left="1020" w:right="100" w:hanging="511"/>
        <w:spacing w:after="0" w:line="271"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14, 2020</w:t>
            </w:r>
          </w:p>
        </w:tc>
        <w:tc>
          <w:tcPr>
            <w:tcW w:w="23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Hans van Houte</w:t>
            </w:r>
          </w:p>
        </w:tc>
      </w:tr>
      <w:tr>
        <w:trPr>
          <w:trHeight w:val="214"/>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Hans van Houte</w:t>
            </w:r>
          </w:p>
        </w:tc>
      </w:tr>
      <w:tr>
        <w:trPr>
          <w:trHeight w:val="210"/>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31"/>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and Accounting Officer)</w:t>
            </w:r>
          </w:p>
        </w:tc>
      </w:tr>
    </w:tbl>
    <w:p>
      <w:pPr>
        <w:sectPr>
          <w:pgSz w:w="11900" w:h="16838" w:orient="portrait"/>
          <w:cols w:equalWidth="0" w:num="1">
            <w:col w:w="11240"/>
          </w:cols>
          <w:pgMar w:left="320" w:top="34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 Arthur T. Sands, Chief Executive Officer of Nurix Therapeutics, Inc. (Company), do hereby certify, pursuant to 18 U.S.C. Section 1350, as adopted pursuant to Section 906 of the Sarbanes-Oxley Act of 2002, that to the best of my knowledge: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w:t>
      </w:r>
    </w:p>
    <w:p>
      <w:pPr>
        <w:spacing w:after="0" w:line="22" w:lineRule="exact"/>
        <w:rPr>
          <w:sz w:val="20"/>
          <w:szCs w:val="20"/>
          <w:color w:val="auto"/>
        </w:rPr>
      </w:pPr>
    </w:p>
    <w:p>
      <w:pPr>
        <w:ind w:left="1200" w:right="720"/>
        <w:spacing w:after="0" w:line="279" w:lineRule="auto"/>
        <w:rPr>
          <w:sz w:val="20"/>
          <w:szCs w:val="20"/>
          <w:color w:val="auto"/>
        </w:rPr>
      </w:pPr>
      <w:r>
        <w:rPr>
          <w:rFonts w:ascii="Times New Roman" w:cs="Times New Roman" w:eastAsia="Times New Roman" w:hAnsi="Times New Roman"/>
          <w:sz w:val="17"/>
          <w:szCs w:val="17"/>
          <w:color w:val="auto"/>
        </w:rPr>
        <w:t>the Quarterly Report on Form 10-Q of the Company for the quarter ended August 31, 2020 (Report), as filed with the Securities and Exchange Commission, fully complies with the requirements of Section 13(a) or 15(d) of the Securities Exchange Act of 1934; and</w:t>
      </w:r>
    </w:p>
    <w:p>
      <w:pPr>
        <w:spacing w:after="0" w:line="3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(2)</w:t>
      </w:r>
    </w:p>
    <w:p>
      <w:pPr>
        <w:spacing w:after="0" w:line="22" w:lineRule="exact"/>
        <w:rPr>
          <w:sz w:val="20"/>
          <w:szCs w:val="20"/>
          <w:color w:val="auto"/>
        </w:rPr>
      </w:pPr>
    </w:p>
    <w:p>
      <w:pPr>
        <w:ind w:left="1200" w:right="620"/>
        <w:spacing w:after="0" w:line="251"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14, 2020</w:t>
      </w:r>
    </w:p>
    <w:p>
      <w:pPr>
        <w:spacing w:after="0" w:line="200" w:lineRule="exact"/>
        <w:rPr>
          <w:sz w:val="20"/>
          <w:szCs w:val="20"/>
          <w:color w:val="auto"/>
        </w:rPr>
      </w:pPr>
    </w:p>
    <w:p>
      <w:pPr>
        <w:spacing w:after="0" w:line="28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Arthur T.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31750</wp:posOffset>
            </wp:positionV>
            <wp:extent cx="31349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5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2"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94"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I, Hans van Houte, Chief Financial Officer of Nurix Therapeutics, Inc. (Company), do hereby certify, pursuant to 18 U.S.C. Section 1350, as adopted pursuant to Section 906 of the Sarbanes-Oxley Act of 2002, that to the best of my knowledge: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w:t>
      </w:r>
    </w:p>
    <w:p>
      <w:pPr>
        <w:spacing w:after="0" w:line="22" w:lineRule="exact"/>
        <w:rPr>
          <w:sz w:val="20"/>
          <w:szCs w:val="20"/>
          <w:color w:val="auto"/>
        </w:rPr>
      </w:pPr>
    </w:p>
    <w:p>
      <w:pPr>
        <w:ind w:left="1200" w:right="720"/>
        <w:spacing w:after="0" w:line="279" w:lineRule="auto"/>
        <w:rPr>
          <w:sz w:val="20"/>
          <w:szCs w:val="20"/>
          <w:color w:val="auto"/>
        </w:rPr>
      </w:pPr>
      <w:r>
        <w:rPr>
          <w:rFonts w:ascii="Times New Roman" w:cs="Times New Roman" w:eastAsia="Times New Roman" w:hAnsi="Times New Roman"/>
          <w:sz w:val="17"/>
          <w:szCs w:val="17"/>
          <w:color w:val="auto"/>
        </w:rPr>
        <w:t>the Quarterly Report on Form 10-Q of the Company for the quarter ended August 31, 2020 (Report), as filed with the Securities and Exchange Commission, fully complies with the requirements of Section 13(a) or 15(d) of the Securities Exchange Act of 1934; and</w:t>
      </w:r>
    </w:p>
    <w:p>
      <w:pPr>
        <w:spacing w:after="0" w:line="3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(2)</w:t>
      </w:r>
    </w:p>
    <w:p>
      <w:pPr>
        <w:spacing w:after="0" w:line="22" w:lineRule="exact"/>
        <w:rPr>
          <w:sz w:val="20"/>
          <w:szCs w:val="20"/>
          <w:color w:val="auto"/>
        </w:rPr>
      </w:pPr>
    </w:p>
    <w:p>
      <w:pPr>
        <w:ind w:left="1200" w:right="620"/>
        <w:spacing w:after="0" w:line="251"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14, 2020</w:t>
      </w:r>
    </w:p>
    <w:p>
      <w:pPr>
        <w:spacing w:after="0" w:line="200" w:lineRule="exact"/>
        <w:rPr>
          <w:sz w:val="20"/>
          <w:szCs w:val="20"/>
          <w:color w:val="auto"/>
        </w:rPr>
      </w:pPr>
    </w:p>
    <w:p>
      <w:pPr>
        <w:spacing w:after="0" w:line="28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Hans van Houte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31750</wp:posOffset>
            </wp:positionV>
            <wp:extent cx="31349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5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Hans van Houte</w:t>
      </w:r>
    </w:p>
    <w:p>
      <w:pPr>
        <w:spacing w:after="0" w:line="22"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7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lowerRoman"/>
      <w:start w:val="1"/>
    </w:lvl>
  </w:abstractNum>
  <w:abstractNum w:abstractNumId="7">
    <w:nsid w:val="2463B9EA"/>
    <w:multiLevelType w:val="hybridMultilevel"/>
    <w:lvl w:ilvl="0">
      <w:lvlJc w:val="left"/>
      <w:lvlText w:val="(%1)"/>
      <w:numFmt w:val="decimal"/>
      <w:start w:val="2"/>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5"/>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2"/>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Letter"/>
      <w:start w:val="2"/>
    </w:lvl>
    <w:lvl w:ilvl="1">
      <w:lvlJc w:val="left"/>
      <w:lvlText w:val="(%2)"/>
      <w:numFmt w:val="lowerRoman"/>
      <w:start w:val="1"/>
    </w:lvl>
  </w:abstractNum>
  <w:abstractNum w:abstractNumId="53">
    <w:nsid w:val="3F6AB60F"/>
    <w:multiLevelType w:val="hybridMultilevel"/>
    <w:lvl w:ilvl="0">
      <w:lvlJc w:val="left"/>
      <w:lvlText w:val="(%1)"/>
      <w:numFmt w:val="lowerLetter"/>
      <w:start w:val="3"/>
    </w:lvl>
    <w:lvl w:ilvl="1">
      <w:lvlJc w:val="left"/>
      <w:lvlText w:val="(%2)"/>
      <w:numFmt w:val="lowerRoman"/>
      <w:start w:val="1"/>
    </w:lvl>
  </w:abstractNum>
  <w:abstractNum w:abstractNumId="54">
    <w:nsid w:val="61574095"/>
    <w:multiLevelType w:val="hybridMultilevel"/>
    <w:lvl w:ilvl="0">
      <w:lvlJc w:val="left"/>
      <w:lvlText w:val="%1"/>
      <w:numFmt w:val="lowerLetter"/>
      <w:start w:val="1"/>
    </w:lvl>
    <w:lvl w:ilvl="1">
      <w:lvlJc w:val="left"/>
      <w:lvlText w:val="(%2)"/>
      <w:numFmt w:val="lowerRoman"/>
      <w:start w:val="3"/>
    </w:lvl>
  </w:abstractNum>
  <w:abstractNum w:abstractNumId="55">
    <w:nsid w:val="7E0C57B1"/>
    <w:multiLevelType w:val="hybridMultilevel"/>
    <w:lvl w:ilvl="0">
      <w:lvlJc w:val="left"/>
      <w:lvlText w:val="(%1)"/>
      <w:numFmt w:val="lowerLetter"/>
      <w:start w:val="4"/>
    </w:lvl>
    <w:lvl w:ilvl="1">
      <w:lvlJc w:val="left"/>
      <w:lvlText w:val="(%2)"/>
      <w:numFmt w:val="lowerRoman"/>
      <w:start w:val="1"/>
    </w:lvl>
  </w:abstractNum>
  <w:abstractNum w:abstractNumId="56">
    <w:nsid w:val="77AE35EB"/>
    <w:multiLevelType w:val="hybridMultilevel"/>
    <w:lvl w:ilvl="0">
      <w:lvlJc w:val="left"/>
      <w:lvlText w:val="(%1)"/>
      <w:numFmt w:val="lowerLetter"/>
      <w:start w:val="5"/>
    </w:lvl>
    <w:lvl w:ilvl="1">
      <w:lvlJc w:val="left"/>
      <w:lvlText w:val="(%2)"/>
      <w:numFmt w:val="lowerRoman"/>
      <w:start w:val="1"/>
    </w:lvl>
  </w:abstractNum>
  <w:abstractNum w:abstractNumId="57">
    <w:nsid w:val="579BE4F1"/>
    <w:multiLevelType w:val="hybridMultilevel"/>
    <w:lvl w:ilvl="0">
      <w:lvlJc w:val="left"/>
      <w:lvlText w:val="(%1)"/>
      <w:numFmt w:val="lowerRoman"/>
      <w:start w:val="7"/>
    </w:lvl>
  </w:abstractNum>
  <w:abstractNum w:abstractNumId="58">
    <w:nsid w:val="310C50B3"/>
    <w:multiLevelType w:val="hybridMultilevel"/>
    <w:lvl w:ilvl="0">
      <w:lvlJc w:val="left"/>
      <w:lvlText w:val="(%1)"/>
      <w:numFmt w:val="lowerLetter"/>
      <w:start w:val="6"/>
    </w:lvl>
  </w:abstractNum>
  <w:abstractNum w:abstractNumId="59">
    <w:nsid w:val="5FF87E05"/>
    <w:multiLevelType w:val="hybridMultilevel"/>
    <w:lvl w:ilvl="0">
      <w:lvlJc w:val="left"/>
      <w:lvlText w:val="(%1)"/>
      <w:numFmt w:val="lowerLetter"/>
      <w:start w:val="7"/>
    </w:lvl>
  </w:abstractNum>
  <w:abstractNum w:abstractNumId="60">
    <w:nsid w:val="2F305DEF"/>
    <w:multiLevelType w:val="hybridMultilevel"/>
    <w:lvl w:ilvl="0">
      <w:lvlJc w:val="left"/>
      <w:lvlText w:val="(%1)"/>
      <w:numFmt w:val="lowerLetter"/>
      <w:start w:val="5"/>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3"/>
    </w:lvl>
    <w:lvl w:ilvl="1">
      <w:lvlJc w:val="left"/>
      <w:lvlText w:val="(%2)"/>
      <w:numFmt w:val="upperLetter"/>
      <w:start w:val="1"/>
    </w:lvl>
  </w:abstractNum>
  <w:abstractNum w:abstractNumId="63">
    <w:nsid w:val="4AD084E9"/>
    <w:multiLevelType w:val="hybridMultilevel"/>
    <w:lvl w:ilvl="0">
      <w:lvlJc w:val="left"/>
      <w:lvlText w:val="(%1)"/>
      <w:numFmt w:val="upperLetter"/>
      <w:start w:val="7"/>
    </w:lvl>
  </w:abstractNum>
  <w:abstractNum w:abstractNumId="64">
    <w:nsid w:val="1F48EAA1"/>
    <w:multiLevelType w:val="hybridMultilevel"/>
    <w:lvl w:ilvl="0">
      <w:lvlJc w:val="left"/>
      <w:lvlText w:val="(%1)"/>
      <w:numFmt w:val="lowerLetter"/>
      <w:start w:val="2"/>
    </w:lvl>
  </w:abstractNum>
  <w:abstractNum w:abstractNumId="65">
    <w:nsid w:val="1381823A"/>
    <w:multiLevelType w:val="hybridMultilevel"/>
    <w:lvl w:ilvl="0">
      <w:lvlJc w:val="left"/>
      <w:lvlText w:val="(%1)"/>
      <w:numFmt w:val="lowerLetter"/>
      <w:start w:val="4"/>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05" Type="http://schemas.openxmlformats.org/officeDocument/2006/relationships/hyperlink" Target="http://www.sec.gov/Archives/edgar/data/1549595/000119312520186809/d903927dex101.htm" TargetMode="External"/><Relationship Id="rId106" Type="http://schemas.openxmlformats.org/officeDocument/2006/relationships/hyperlink" Target="http://www.sec.gov/Archives/edgar/data/1549595/000119312520195056/d903927dex103.htm" TargetMode="External"/><Relationship Id="rId107" Type="http://schemas.openxmlformats.org/officeDocument/2006/relationships/hyperlink" Target="http://www.sec.gov/Archives/edgar/data/1549595/000119312520195056/d903927dex104.htm" TargetMode="External"/><Relationship Id="rId108" Type="http://schemas.openxmlformats.org/officeDocument/2006/relationships/hyperlink" Target="http://www.sec.gov/Archives/edgar/data/1549595/000119312520195056/d903927dex105.htm" TargetMode="External"/><Relationship Id="rId109" Type="http://schemas.openxmlformats.org/officeDocument/2006/relationships/hyperlink" Target="http://www.sec.gov/Archives/edgar/data/1549595/000119312520195056/d903927dex106.htm" TargetMode="External"/><Relationship Id="rId110" Type="http://schemas.openxmlformats.org/officeDocument/2006/relationships/hyperlink" Target="http://www.sec.gov/Archives/edgar/data/1549595/000119312520195056/d903927dex107.htm" TargetMode="External"/><Relationship Id="rId111" Type="http://schemas.openxmlformats.org/officeDocument/2006/relationships/hyperlink" Target="http://www.sec.gov/Archives/edgar/data/1549595/000119312520186809/d903927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2020-10-14T15:06:06Z</dcterms:created>
  <dcterms:modified xsi:type="dcterms:W3CDTF">2020-10-14T15:06:06Z</dcterms:modified>
</cp:coreProperties>
</file>