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00" w:right="1620" w:hanging="3892"/>
        <w:spacing w:after="0" w:line="365" w:lineRule="auto"/>
        <w:tabs>
          <w:tab w:leader="none" w:pos="47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May 31, 2022</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40"/>
        <w:spacing w:after="0"/>
        <w:tabs>
          <w:tab w:leader="none" w:pos="65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001-39398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NURIX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900" w:type="dxa"/>
            <w:vAlign w:val="bottom"/>
          </w:tcPr>
          <w:p>
            <w:pPr>
              <w:jc w:val="center"/>
              <w:ind w:left="1602"/>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500" w:type="dxa"/>
            <w:vAlign w:val="bottom"/>
          </w:tcPr>
          <w:p>
            <w:pPr>
              <w:jc w:val="right"/>
              <w:ind w:right="2324"/>
              <w:spacing w:after="0"/>
              <w:rPr>
                <w:sz w:val="20"/>
                <w:szCs w:val="20"/>
                <w:color w:val="auto"/>
              </w:rPr>
            </w:pPr>
            <w:r>
              <w:rPr>
                <w:rFonts w:ascii="Times New Roman" w:cs="Times New Roman" w:eastAsia="Times New Roman" w:hAnsi="Times New Roman"/>
                <w:sz w:val="15"/>
                <w:szCs w:val="15"/>
                <w:b w:val="1"/>
                <w:bCs w:val="1"/>
                <w:color w:val="auto"/>
              </w:rPr>
              <w:t>27-0838048</w:t>
            </w:r>
          </w:p>
        </w:tc>
        <w:tc>
          <w:tcPr>
            <w:tcW w:w="0" w:type="dxa"/>
            <w:vAlign w:val="bottom"/>
          </w:tcPr>
          <w:p>
            <w:pPr>
              <w:spacing w:after="0"/>
              <w:rPr>
                <w:sz w:val="1"/>
                <w:szCs w:val="1"/>
                <w:color w:val="auto"/>
              </w:rPr>
            </w:pPr>
          </w:p>
        </w:tc>
      </w:tr>
      <w:tr>
        <w:trPr>
          <w:trHeight w:val="162"/>
        </w:trPr>
        <w:tc>
          <w:tcPr>
            <w:tcW w:w="3900" w:type="dxa"/>
            <w:vAlign w:val="bottom"/>
          </w:tcPr>
          <w:p>
            <w:pPr>
              <w:jc w:val="center"/>
              <w:ind w:left="1602"/>
              <w:spacing w:after="0" w:line="162" w:lineRule="exact"/>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jc w:val="center"/>
              <w:ind w:right="964"/>
              <w:spacing w:after="0" w:line="162" w:lineRule="exact"/>
              <w:rPr>
                <w:sz w:val="20"/>
                <w:szCs w:val="20"/>
                <w:color w:val="auto"/>
              </w:rPr>
            </w:pPr>
            <w:r>
              <w:rPr>
                <w:rFonts w:ascii="Times New Roman" w:cs="Times New Roman" w:eastAsia="Times New Roman" w:hAnsi="Times New Roman"/>
                <w:sz w:val="15"/>
                <w:szCs w:val="15"/>
                <w:b w:val="1"/>
                <w:bCs w:val="1"/>
                <w:color w:val="auto"/>
              </w:rPr>
              <w:t>(I.R.S. Employer</w:t>
            </w:r>
          </w:p>
        </w:tc>
        <w:tc>
          <w:tcPr>
            <w:tcW w:w="0" w:type="dxa"/>
            <w:vAlign w:val="bottom"/>
          </w:tcPr>
          <w:p>
            <w:pPr>
              <w:spacing w:after="0"/>
              <w:rPr>
                <w:sz w:val="1"/>
                <w:szCs w:val="1"/>
                <w:color w:val="auto"/>
              </w:rPr>
            </w:pPr>
          </w:p>
        </w:tc>
      </w:tr>
      <w:tr>
        <w:trPr>
          <w:trHeight w:val="162"/>
        </w:trPr>
        <w:tc>
          <w:tcPr>
            <w:tcW w:w="3900" w:type="dxa"/>
            <w:vAlign w:val="bottom"/>
          </w:tcPr>
          <w:p>
            <w:pPr>
              <w:jc w:val="center"/>
              <w:ind w:left="1602"/>
              <w:spacing w:after="0" w:line="162" w:lineRule="exact"/>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jc w:val="center"/>
              <w:ind w:right="984"/>
              <w:spacing w:after="0" w:line="162" w:lineRule="exact"/>
              <w:rPr>
                <w:sz w:val="20"/>
                <w:szCs w:val="20"/>
                <w:color w:val="auto"/>
              </w:rPr>
            </w:pPr>
            <w:r>
              <w:rPr>
                <w:rFonts w:ascii="Times New Roman" w:cs="Times New Roman" w:eastAsia="Times New Roman" w:hAnsi="Times New Roman"/>
                <w:sz w:val="15"/>
                <w:szCs w:val="15"/>
                <w:b w:val="1"/>
                <w:bCs w:val="1"/>
                <w:color w:val="auto"/>
              </w:rPr>
              <w:t>Identification No.)</w:t>
            </w:r>
          </w:p>
        </w:tc>
        <w:tc>
          <w:tcPr>
            <w:tcW w:w="0" w:type="dxa"/>
            <w:vAlign w:val="bottom"/>
          </w:tcPr>
          <w:p>
            <w:pPr>
              <w:spacing w:after="0"/>
              <w:rPr>
                <w:sz w:val="1"/>
                <w:szCs w:val="1"/>
                <w:color w:val="auto"/>
              </w:rPr>
            </w:pPr>
          </w:p>
        </w:tc>
      </w:tr>
      <w:tr>
        <w:trPr>
          <w:trHeight w:val="162"/>
        </w:trPr>
        <w:tc>
          <w:tcPr>
            <w:tcW w:w="3900" w:type="dxa"/>
            <w:vAlign w:val="bottom"/>
          </w:tcPr>
          <w:p>
            <w:pPr>
              <w:jc w:val="center"/>
              <w:ind w:left="1602"/>
              <w:spacing w:after="0" w:line="162" w:lineRule="exact"/>
              <w:rPr>
                <w:sz w:val="20"/>
                <w:szCs w:val="20"/>
                <w:color w:val="auto"/>
              </w:rPr>
            </w:pPr>
            <w:r>
              <w:rPr>
                <w:rFonts w:ascii="Times New Roman" w:cs="Times New Roman" w:eastAsia="Times New Roman" w:hAnsi="Times New Roman"/>
                <w:sz w:val="15"/>
                <w:szCs w:val="15"/>
                <w:b w:val="1"/>
                <w:bCs w:val="1"/>
                <w:color w:val="auto"/>
              </w:rPr>
              <w:t>1700 Owens Street, Suite 205</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jc w:val="center"/>
              <w:ind w:left="1602"/>
              <w:spacing w:after="0" w:line="162" w:lineRule="exact"/>
              <w:rPr>
                <w:sz w:val="20"/>
                <w:szCs w:val="20"/>
                <w:color w:val="auto"/>
              </w:rPr>
            </w:pPr>
            <w:r>
              <w:rPr>
                <w:rFonts w:ascii="Times New Roman" w:cs="Times New Roman" w:eastAsia="Times New Roman" w:hAnsi="Times New Roman"/>
                <w:sz w:val="15"/>
                <w:szCs w:val="15"/>
                <w:b w:val="1"/>
                <w:bCs w:val="1"/>
                <w:color w:val="auto"/>
              </w:rPr>
              <w:t>San Francisco, CA</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jc w:val="right"/>
              <w:ind w:right="2504"/>
              <w:spacing w:after="0" w:line="162" w:lineRule="exact"/>
              <w:rPr>
                <w:sz w:val="20"/>
                <w:szCs w:val="20"/>
                <w:color w:val="auto"/>
              </w:rPr>
            </w:pPr>
            <w:r>
              <w:rPr>
                <w:rFonts w:ascii="Times New Roman" w:cs="Times New Roman" w:eastAsia="Times New Roman" w:hAnsi="Times New Roman"/>
                <w:sz w:val="15"/>
                <w:szCs w:val="15"/>
                <w:b w:val="1"/>
                <w:bCs w:val="1"/>
                <w:color w:val="auto"/>
              </w:rPr>
              <w:t>94158</w:t>
            </w:r>
          </w:p>
        </w:tc>
        <w:tc>
          <w:tcPr>
            <w:tcW w:w="0" w:type="dxa"/>
            <w:vAlign w:val="bottom"/>
          </w:tcPr>
          <w:p>
            <w:pPr>
              <w:spacing w:after="0"/>
              <w:rPr>
                <w:sz w:val="1"/>
                <w:szCs w:val="1"/>
                <w:color w:val="auto"/>
              </w:rPr>
            </w:pPr>
          </w:p>
        </w:tc>
      </w:tr>
      <w:tr>
        <w:trPr>
          <w:trHeight w:val="202"/>
        </w:trPr>
        <w:tc>
          <w:tcPr>
            <w:tcW w:w="6740" w:type="dxa"/>
            <w:vAlign w:val="bottom"/>
            <w:gridSpan w:val="7"/>
          </w:tcPr>
          <w:p>
            <w:pPr>
              <w:jc w:val="center"/>
              <w:ind w:right="1160"/>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tc>
        <w:tc>
          <w:tcPr>
            <w:tcW w:w="4500" w:type="dxa"/>
            <w:vAlign w:val="bottom"/>
          </w:tcPr>
          <w:p>
            <w:pPr>
              <w:jc w:val="center"/>
              <w:ind w:right="964"/>
              <w:spacing w:after="0"/>
              <w:rPr>
                <w:sz w:val="20"/>
                <w:szCs w:val="20"/>
                <w:color w:val="auto"/>
              </w:rPr>
            </w:pPr>
            <w:r>
              <w:rPr>
                <w:rFonts w:ascii="Times New Roman" w:cs="Times New Roman" w:eastAsia="Times New Roman" w:hAnsi="Times New Roman"/>
                <w:sz w:val="15"/>
                <w:szCs w:val="15"/>
                <w:b w:val="1"/>
                <w:bCs w:val="1"/>
                <w:color w:val="auto"/>
              </w:rPr>
              <w:t>(Zip Code)</w:t>
            </w:r>
          </w:p>
        </w:tc>
        <w:tc>
          <w:tcPr>
            <w:tcW w:w="0" w:type="dxa"/>
            <w:vAlign w:val="bottom"/>
          </w:tcPr>
          <w:p>
            <w:pPr>
              <w:spacing w:after="0"/>
              <w:rPr>
                <w:sz w:val="1"/>
                <w:szCs w:val="1"/>
                <w:color w:val="auto"/>
              </w:rPr>
            </w:pPr>
          </w:p>
        </w:tc>
      </w:tr>
      <w:tr>
        <w:trPr>
          <w:trHeight w:val="305"/>
        </w:trPr>
        <w:tc>
          <w:tcPr>
            <w:tcW w:w="11240" w:type="dxa"/>
            <w:vAlign w:val="bottom"/>
            <w:gridSpan w:val="8"/>
          </w:tcPr>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660-5320</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900" w:type="dxa"/>
            <w:vAlign w:val="bottom"/>
          </w:tcPr>
          <w:p>
            <w:pPr>
              <w:spacing w:after="0"/>
              <w:rPr>
                <w:sz w:val="22"/>
                <w:szCs w:val="22"/>
                <w:color w:val="auto"/>
              </w:rPr>
            </w:pPr>
          </w:p>
        </w:tc>
        <w:tc>
          <w:tcPr>
            <w:tcW w:w="7340" w:type="dxa"/>
            <w:vAlign w:val="bottom"/>
            <w:gridSpan w:val="7"/>
          </w:tcPr>
          <w:p>
            <w:pPr>
              <w:ind w:left="1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211"/>
        </w:trPr>
        <w:tc>
          <w:tcPr>
            <w:tcW w:w="3900" w:type="dxa"/>
            <w:vAlign w:val="bottom"/>
            <w:vMerge w:val="restart"/>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500" w:type="dxa"/>
            <w:vAlign w:val="bottom"/>
            <w:vMerge w:val="restart"/>
          </w:tcPr>
          <w:p>
            <w:pPr>
              <w:jc w:val="center"/>
              <w:ind w:right="46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9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900" w:type="dxa"/>
            <w:vAlign w:val="bottom"/>
            <w:tcBorders>
              <w:top w:val="single" w:sz="8" w:color="auto"/>
            </w:tcBorders>
          </w:tcPr>
          <w:p>
            <w:pPr>
              <w:jc w:val="center"/>
              <w:ind w:left="322"/>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25"/>
              <w:spacing w:after="0"/>
              <w:rPr>
                <w:sz w:val="20"/>
                <w:szCs w:val="20"/>
                <w:color w:val="auto"/>
              </w:rPr>
            </w:pPr>
            <w:r>
              <w:rPr>
                <w:rFonts w:ascii="Times New Roman" w:cs="Times New Roman" w:eastAsia="Times New Roman" w:hAnsi="Times New Roman"/>
                <w:sz w:val="16"/>
                <w:szCs w:val="16"/>
                <w:color w:val="auto"/>
              </w:rPr>
              <w:t>NRIX</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500" w:type="dxa"/>
            <w:vAlign w:val="bottom"/>
            <w:tcBorders>
              <w:top w:val="single" w:sz="8" w:color="auto"/>
            </w:tcBorders>
          </w:tcPr>
          <w:p>
            <w:pPr>
              <w:jc w:val="center"/>
              <w:ind w:right="464"/>
              <w:spacing w:after="0"/>
              <w:rPr>
                <w:sz w:val="20"/>
                <w:szCs w:val="20"/>
                <w:color w:val="auto"/>
              </w:rPr>
            </w:pPr>
            <w:r>
              <w:rPr>
                <w:rFonts w:ascii="Times New Roman" w:cs="Times New Roman" w:eastAsia="Times New Roman" w:hAnsi="Times New Roman"/>
                <w:sz w:val="16"/>
                <w:szCs w:val="16"/>
                <w:color w:val="auto"/>
              </w:rPr>
              <w:t>Nasdaq Global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ind w:right="120" w:firstLine="51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right="12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right="300" w:firstLine="5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5" w:lineRule="exact"/>
        <w:rPr>
          <w:sz w:val="24"/>
          <w:szCs w:val="24"/>
          <w:color w:val="auto"/>
        </w:rPr>
      </w:pPr>
    </w:p>
    <w:p>
      <w:pPr>
        <w:ind w:right="2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520" w:right="210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June 30, 2022, the Registrant had 47,041,875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72"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68" w:lineRule="exact"/>
        <w:rPr>
          <w:sz w:val="20"/>
          <w:szCs w:val="20"/>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investigational new drug application (IND) submissions for our drug candidates;</w:t>
      </w:r>
    </w:p>
    <w:p>
      <w:pPr>
        <w:spacing w:after="0" w:line="88" w:lineRule="exact"/>
        <w:rPr>
          <w:rFonts w:ascii="Times New Roman" w:cs="Times New Roman" w:eastAsia="Times New Roman" w:hAnsi="Times New Roman"/>
          <w:sz w:val="18"/>
          <w:szCs w:val="18"/>
          <w:color w:val="auto"/>
        </w:rPr>
      </w:pPr>
    </w:p>
    <w:p>
      <w:pPr>
        <w:ind w:left="740" w:right="300" w:hanging="368"/>
        <w:spacing w:after="0" w:line="239" w:lineRule="exact"/>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conduct of our clinical trial programs for our lead drug candidates NX-2127, NX-1607, NX-5948,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and other drug candidates, including statements regarding the timing of initiation of clinical trials;</w:t>
      </w:r>
    </w:p>
    <w:p>
      <w:pPr>
        <w:spacing w:after="0" w:line="90" w:lineRule="exact"/>
        <w:rPr>
          <w:rFonts w:ascii="Times New Roman" w:cs="Times New Roman" w:eastAsia="Times New Roman" w:hAnsi="Times New Roman"/>
          <w:sz w:val="18"/>
          <w:szCs w:val="18"/>
          <w:color w:val="auto"/>
        </w:rPr>
      </w:pPr>
    </w:p>
    <w:p>
      <w:pPr>
        <w:ind w:left="740" w:right="140" w:hanging="368"/>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marketing approvals for our lead drug candidates NX-2127, NX-1607, NX-5948, DeTIL-0255 and other drug candidates;</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pursue research and development of other drug candidates;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DELigase platform and our drug candidates;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scientific approach and DELigase platform may potentially address a broad range of diseases;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arrangements with Sanofi S.A. and Gilead Sciences, Inc.;</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drug candidates;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revenue from future sales of our drug candidates;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drug candidates;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drug candidates;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strategy;</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arrangements for the manufacturing of our drug candidates;</w:t>
      </w:r>
    </w:p>
    <w:p>
      <w:pPr>
        <w:spacing w:after="0" w:line="117" w:lineRule="exact"/>
        <w:rPr>
          <w:rFonts w:ascii="Times New Roman" w:cs="Times New Roman" w:eastAsia="Times New Roman" w:hAnsi="Times New Roman"/>
          <w:sz w:val="18"/>
          <w:szCs w:val="18"/>
          <w:color w:val="auto"/>
        </w:rPr>
      </w:pPr>
    </w:p>
    <w:p>
      <w:pPr>
        <w:ind w:left="740" w:right="300" w:hanging="368"/>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coronavirus (COVID-19) pandemic, including the resurgence of cases relating to the spread of new variants, on our business, clinical trials, financial condition, liquidity and results of operations;</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achievement of milestones and receipt of royalty payments under our collaborations;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additional collaborations with third parties;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and</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17"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6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9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7040" w:type="dxa"/>
            <w:vAlign w:val="bottom"/>
            <w:gridSpan w:val="9"/>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w:t>
            </w:r>
          </w:p>
        </w:tc>
        <w:tc>
          <w:tcPr>
            <w:tcW w:w="5800" w:type="dxa"/>
            <w:vAlign w:val="bottom"/>
            <w:gridSpan w:val="7"/>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Loss</w:t>
            </w:r>
          </w:p>
        </w:tc>
        <w:tc>
          <w:tcPr>
            <w:tcW w:w="508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8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508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100" w:type="dxa"/>
            <w:vAlign w:val="bottom"/>
            <w:gridSpan w:val="3"/>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2"/>
            <w:vMerge w:val="continue"/>
          </w:tcPr>
          <w:p>
            <w:pPr>
              <w:spacing w:after="0"/>
              <w:rPr>
                <w:sz w:val="24"/>
                <w:szCs w:val="24"/>
                <w:color w:val="auto"/>
              </w:rPr>
            </w:pPr>
          </w:p>
        </w:tc>
        <w:tc>
          <w:tcPr>
            <w:tcW w:w="18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7580" w:type="dxa"/>
            <w:vAlign w:val="bottom"/>
            <w:gridSpan w:val="12"/>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7"/>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140" w:type="dxa"/>
            <w:vAlign w:val="bottom"/>
            <w:gridSpan w:val="14"/>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6"/>
          </w:tcPr>
          <w:p>
            <w:pPr>
              <w:spacing w:after="0"/>
              <w:rPr>
                <w:sz w:val="18"/>
                <w:szCs w:val="18"/>
                <w:color w:val="auto"/>
              </w:rPr>
            </w:pPr>
          </w:p>
        </w:tc>
        <w:tc>
          <w:tcPr>
            <w:tcW w:w="5120" w:type="dxa"/>
            <w:vAlign w:val="bottom"/>
            <w:gridSpan w:val="4"/>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700" w:type="dxa"/>
            <w:vAlign w:val="bottom"/>
            <w:gridSpan w:val="13"/>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Exhibits</w:t>
            </w:r>
          </w:p>
        </w:tc>
        <w:tc>
          <w:tcPr>
            <w:tcW w:w="8160" w:type="dxa"/>
            <w:vAlign w:val="bottom"/>
            <w:gridSpan w:val="1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000"/>
        </w:trPr>
        <w:tc>
          <w:tcPr>
            <w:tcW w:w="1100" w:type="dxa"/>
            <w:vAlign w:val="bottom"/>
            <w:tcBorders>
              <w:top w:val="single" w:sz="8" w:color="0000EE"/>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73"/>
        </w:trPr>
        <w:tc>
          <w:tcPr>
            <w:tcW w:w="6080" w:type="dxa"/>
            <w:vAlign w:val="bottom"/>
          </w:tcPr>
          <w:p>
            <w:pPr>
              <w:spacing w:after="0"/>
              <w:rPr>
                <w:sz w:val="15"/>
                <w:szCs w:val="15"/>
                <w:color w:val="auto"/>
              </w:rPr>
            </w:pP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assets:</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0" w:type="dxa"/>
            <w:vAlign w:val="bottom"/>
            <w:gridSpan w:val="2"/>
            <w:shd w:val="clear" w:color="auto" w:fill="CFF0FC"/>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41,533</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80,506</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Short-term investments</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215,214</w:t>
            </w:r>
          </w:p>
        </w:tc>
        <w:tc>
          <w:tcPr>
            <w:tcW w:w="100" w:type="dxa"/>
            <w:vAlign w:val="bottom"/>
          </w:tcPr>
          <w:p>
            <w:pPr>
              <w:spacing w:after="0"/>
              <w:rPr>
                <w:sz w:val="19"/>
                <w:szCs w:val="19"/>
                <w:color w:val="auto"/>
              </w:rPr>
            </w:pPr>
          </w:p>
        </w:tc>
      </w:tr>
      <w:tr>
        <w:trPr>
          <w:trHeight w:val="229"/>
        </w:trPr>
        <w:tc>
          <w:tcPr>
            <w:tcW w:w="60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0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FF0FC"/>
          </w:tcPr>
          <w:p>
            <w:pPr>
              <w:spacing w:after="0"/>
              <w:rPr>
                <w:sz w:val="19"/>
                <w:szCs w:val="19"/>
                <w:color w:val="auto"/>
              </w:rPr>
            </w:pPr>
          </w:p>
        </w:tc>
      </w:tr>
      <w:tr>
        <w:trPr>
          <w:trHeight w:val="229"/>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 receivable</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r>
      <w:tr>
        <w:trPr>
          <w:trHeight w:val="230"/>
        </w:trPr>
        <w:tc>
          <w:tcPr>
            <w:tcW w:w="60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100" w:type="dxa"/>
            <w:vAlign w:val="bottom"/>
            <w:shd w:val="clear" w:color="auto" w:fill="CFF0FC"/>
          </w:tcPr>
          <w:p>
            <w:pPr>
              <w:spacing w:after="0"/>
              <w:rPr>
                <w:sz w:val="19"/>
                <w:szCs w:val="19"/>
                <w:color w:val="auto"/>
              </w:rPr>
            </w:pPr>
          </w:p>
        </w:tc>
      </w:tr>
      <w:tr>
        <w:trPr>
          <w:trHeight w:val="223"/>
        </w:trPr>
        <w:tc>
          <w:tcPr>
            <w:tcW w:w="608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102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306,789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311,118</w:t>
            </w:r>
          </w:p>
        </w:tc>
        <w:tc>
          <w:tcPr>
            <w:tcW w:w="100" w:type="dxa"/>
            <w:vAlign w:val="bottom"/>
            <w:tcBorders>
              <w:bottom w:val="single" w:sz="8" w:color="CFF0FC"/>
            </w:tcBorders>
          </w:tcPr>
          <w:p>
            <w:pPr>
              <w:spacing w:after="0"/>
              <w:rPr>
                <w:sz w:val="19"/>
                <w:szCs w:val="19"/>
                <w:color w:val="auto"/>
              </w:rPr>
            </w:pPr>
          </w:p>
        </w:tc>
      </w:tr>
      <w:tr>
        <w:trPr>
          <w:trHeight w:val="223"/>
        </w:trPr>
        <w:tc>
          <w:tcPr>
            <w:tcW w:w="6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investments</w:t>
            </w:r>
          </w:p>
        </w:tc>
        <w:tc>
          <w:tcPr>
            <w:tcW w:w="10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137,189</w:t>
            </w:r>
          </w:p>
        </w:tc>
        <w:tc>
          <w:tcPr>
            <w:tcW w:w="100" w:type="dxa"/>
            <w:vAlign w:val="bottom"/>
            <w:shd w:val="clear" w:color="auto" w:fill="CFF0FC"/>
          </w:tcPr>
          <w:p>
            <w:pPr>
              <w:spacing w:after="0"/>
              <w:rPr>
                <w:sz w:val="19"/>
                <w:szCs w:val="19"/>
                <w:color w:val="auto"/>
              </w:rPr>
            </w:pPr>
          </w:p>
        </w:tc>
      </w:tr>
      <w:tr>
        <w:trPr>
          <w:trHeight w:val="229"/>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w:t>
            </w:r>
          </w:p>
        </w:tc>
        <w:tc>
          <w:tcPr>
            <w:tcW w:w="100" w:type="dxa"/>
            <w:vAlign w:val="bottom"/>
          </w:tcPr>
          <w:p>
            <w:pPr>
              <w:spacing w:after="0"/>
              <w:rPr>
                <w:sz w:val="19"/>
                <w:szCs w:val="19"/>
                <w:color w:val="auto"/>
              </w:rPr>
            </w:pPr>
          </w:p>
        </w:tc>
      </w:tr>
      <w:tr>
        <w:trPr>
          <w:trHeight w:val="230"/>
        </w:trPr>
        <w:tc>
          <w:tcPr>
            <w:tcW w:w="6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100" w:type="dxa"/>
            <w:vAlign w:val="bottom"/>
            <w:shd w:val="clear" w:color="auto" w:fill="CFF0FC"/>
          </w:tcPr>
          <w:p>
            <w:pPr>
              <w:spacing w:after="0"/>
              <w:rPr>
                <w:sz w:val="19"/>
                <w:szCs w:val="19"/>
                <w:color w:val="auto"/>
              </w:rPr>
            </w:pPr>
          </w:p>
        </w:tc>
      </w:tr>
      <w:tr>
        <w:trPr>
          <w:trHeight w:val="229"/>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r>
      <w:tr>
        <w:trPr>
          <w:trHeight w:val="229"/>
        </w:trPr>
        <w:tc>
          <w:tcPr>
            <w:tcW w:w="6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shd w:val="clear" w:color="auto" w:fill="CFF0FC"/>
          </w:tcPr>
          <w:p>
            <w:pPr>
              <w:spacing w:after="0"/>
              <w:rPr>
                <w:sz w:val="19"/>
                <w:szCs w:val="19"/>
                <w:color w:val="auto"/>
              </w:rPr>
            </w:pPr>
          </w:p>
        </w:tc>
      </w:tr>
      <w:tr>
        <w:trPr>
          <w:trHeight w:val="263"/>
        </w:trPr>
        <w:tc>
          <w:tcPr>
            <w:tcW w:w="60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tcBorders>
              <w:bottom w:val="single" w:sz="8" w:color="CFF0FC"/>
            </w:tcBorders>
          </w:tcPr>
          <w:p>
            <w:pPr>
              <w:spacing w:after="0"/>
              <w:rPr>
                <w:sz w:val="22"/>
                <w:szCs w:val="22"/>
                <w:color w:val="auto"/>
              </w:rPr>
            </w:pPr>
          </w:p>
        </w:tc>
        <w:tc>
          <w:tcPr>
            <w:tcW w:w="118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394,310</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476,771</w:t>
            </w:r>
          </w:p>
        </w:tc>
        <w:tc>
          <w:tcPr>
            <w:tcW w:w="100" w:type="dxa"/>
            <w:vAlign w:val="bottom"/>
            <w:tcBorders>
              <w:bottom w:val="single" w:sz="8" w:color="CFF0FC"/>
            </w:tcBorders>
          </w:tcPr>
          <w:p>
            <w:pPr>
              <w:spacing w:after="0"/>
              <w:rPr>
                <w:sz w:val="22"/>
                <w:szCs w:val="22"/>
                <w:color w:val="auto"/>
              </w:rPr>
            </w:pPr>
          </w:p>
        </w:tc>
      </w:tr>
      <w:tr>
        <w:trPr>
          <w:trHeight w:val="21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Arial" w:cs="Arial" w:eastAsia="Arial" w:hAnsi="Arial"/>
                <w:sz w:val="18"/>
                <w:szCs w:val="18"/>
                <w:color w:val="auto"/>
                <w:highlight w:val="black"/>
              </w:rPr>
              <w:t>ʼ</w:t>
            </w:r>
            <w:r>
              <w:rPr>
                <w:rFonts w:ascii="Times New Roman" w:cs="Times New Roman" w:eastAsia="Times New Roman" w:hAnsi="Times New Roman"/>
                <w:sz w:val="18"/>
                <w:szCs w:val="18"/>
                <w:b w:val="1"/>
                <w:bCs w:val="1"/>
                <w:color w:val="auto"/>
              </w:rPr>
              <w:t xml:space="preserve"> equity</w:t>
            </w:r>
          </w:p>
        </w:tc>
        <w:tc>
          <w:tcPr>
            <w:tcW w:w="10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liabilities:</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200" w:type="dxa"/>
            <w:vAlign w:val="bottom"/>
            <w:gridSpan w:val="2"/>
            <w:shd w:val="clear" w:color="auto" w:fill="CFF0FC"/>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00" w:type="dxa"/>
            <w:vAlign w:val="bottom"/>
            <w:shd w:val="clear" w:color="auto" w:fill="CFF0FC"/>
          </w:tcPr>
          <w:p>
            <w:pPr>
              <w:spacing w:after="0"/>
              <w:rPr>
                <w:sz w:val="19"/>
                <w:szCs w:val="19"/>
                <w:color w:val="auto"/>
              </w:rPr>
            </w:pPr>
          </w:p>
        </w:tc>
      </w:tr>
      <w:tr>
        <w:trPr>
          <w:trHeight w:val="229"/>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100" w:type="dxa"/>
            <w:vAlign w:val="bottom"/>
          </w:tcPr>
          <w:p>
            <w:pPr>
              <w:spacing w:after="0"/>
              <w:rPr>
                <w:sz w:val="19"/>
                <w:szCs w:val="19"/>
                <w:color w:val="auto"/>
              </w:rPr>
            </w:pPr>
          </w:p>
        </w:tc>
      </w:tr>
      <w:tr>
        <w:trPr>
          <w:trHeight w:val="230"/>
        </w:trPr>
        <w:tc>
          <w:tcPr>
            <w:tcW w:w="60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02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41,212</w:t>
            </w:r>
          </w:p>
        </w:tc>
        <w:tc>
          <w:tcPr>
            <w:tcW w:w="100" w:type="dxa"/>
            <w:vAlign w:val="bottom"/>
            <w:tcBorders>
              <w:bottom w:val="single" w:sz="8" w:color="CFF0FC"/>
            </w:tcBorders>
          </w:tcPr>
          <w:p>
            <w:pPr>
              <w:spacing w:after="0"/>
              <w:rPr>
                <w:sz w:val="19"/>
                <w:szCs w:val="19"/>
                <w:color w:val="auto"/>
              </w:rPr>
            </w:pPr>
          </w:p>
        </w:tc>
      </w:tr>
      <w:tr>
        <w:trPr>
          <w:trHeight w:val="223"/>
        </w:trPr>
        <w:tc>
          <w:tcPr>
            <w:tcW w:w="60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2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66,258</w:t>
            </w:r>
          </w:p>
        </w:tc>
        <w:tc>
          <w:tcPr>
            <w:tcW w:w="100" w:type="dxa"/>
            <w:vAlign w:val="bottom"/>
            <w:shd w:val="clear" w:color="auto" w:fill="CFF0FC"/>
          </w:tcPr>
          <w:p>
            <w:pPr>
              <w:spacing w:after="0"/>
              <w:rPr>
                <w:sz w:val="19"/>
                <w:szCs w:val="19"/>
                <w:color w:val="auto"/>
              </w:rPr>
            </w:pPr>
          </w:p>
        </w:tc>
      </w:tr>
      <w:tr>
        <w:trPr>
          <w:trHeight w:val="223"/>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100" w:type="dxa"/>
            <w:vAlign w:val="bottom"/>
          </w:tcPr>
          <w:p>
            <w:pPr>
              <w:spacing w:after="0"/>
              <w:rPr>
                <w:sz w:val="19"/>
                <w:szCs w:val="19"/>
                <w:color w:val="auto"/>
              </w:rPr>
            </w:pPr>
          </w:p>
        </w:tc>
      </w:tr>
      <w:tr>
        <w:trPr>
          <w:trHeight w:val="230"/>
        </w:trPr>
        <w:tc>
          <w:tcPr>
            <w:tcW w:w="6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02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59,022</w:t>
            </w:r>
          </w:p>
        </w:tc>
        <w:tc>
          <w:tcPr>
            <w:tcW w:w="100" w:type="dxa"/>
            <w:vAlign w:val="bottom"/>
            <w:shd w:val="clear" w:color="auto" w:fill="CFF0FC"/>
          </w:tcPr>
          <w:p>
            <w:pPr>
              <w:spacing w:after="0"/>
              <w:rPr>
                <w:sz w:val="19"/>
                <w:szCs w:val="19"/>
                <w:color w:val="auto"/>
              </w:rPr>
            </w:pPr>
          </w:p>
        </w:tc>
      </w:tr>
      <w:tr>
        <w:trPr>
          <w:trHeight w:val="223"/>
        </w:trPr>
        <w:tc>
          <w:tcPr>
            <w:tcW w:w="60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02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127,571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134,469</w:t>
            </w:r>
          </w:p>
        </w:tc>
        <w:tc>
          <w:tcPr>
            <w:tcW w:w="100" w:type="dxa"/>
            <w:vAlign w:val="bottom"/>
            <w:tcBorders>
              <w:bottom w:val="single" w:sz="8" w:color="CFF0FC"/>
            </w:tcBorders>
          </w:tcPr>
          <w:p>
            <w:pPr>
              <w:spacing w:after="0"/>
              <w:rPr>
                <w:sz w:val="19"/>
                <w:szCs w:val="19"/>
                <w:color w:val="auto"/>
              </w:rPr>
            </w:pPr>
          </w:p>
        </w:tc>
      </w:tr>
      <w:tr>
        <w:trPr>
          <w:trHeight w:val="223"/>
        </w:trPr>
        <w:tc>
          <w:tcPr>
            <w:tcW w:w="6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0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equity:</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6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$0.001 par value— 10,000,000 shares</w:t>
            </w:r>
          </w:p>
        </w:tc>
        <w:tc>
          <w:tcPr>
            <w:tcW w:w="10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authorized as of May 31, 2022 and November 30, 2021;</w:t>
            </w:r>
          </w:p>
        </w:tc>
        <w:tc>
          <w:tcPr>
            <w:tcW w:w="10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 shares issued and outstanding</w:t>
            </w:r>
          </w:p>
        </w:tc>
        <w:tc>
          <w:tcPr>
            <w:tcW w:w="10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as of May 31, 2022 and November 30, 2021</w:t>
            </w:r>
          </w:p>
        </w:tc>
        <w:tc>
          <w:tcPr>
            <w:tcW w:w="10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$0.001 par value— 500,000,000 shares authorized</w:t>
            </w: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 of May 31, 2022 and November 30, 2021;</w:t>
            </w: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45,040,068 and 44,664,371 shares issued and outstanding</w:t>
            </w: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May 31, 2022 and November 30, 2021, respectively</w:t>
            </w: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r>
      <w:tr>
        <w:trPr>
          <w:trHeight w:val="229"/>
        </w:trPr>
        <w:tc>
          <w:tcPr>
            <w:tcW w:w="6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578,605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563,757</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w:t>
            </w:r>
          </w:p>
        </w:tc>
      </w:tr>
      <w:tr>
        <w:trPr>
          <w:trHeight w:val="230"/>
        </w:trPr>
        <w:tc>
          <w:tcPr>
            <w:tcW w:w="6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0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(308,826)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(220,892)</w:t>
            </w:r>
          </w:p>
        </w:tc>
      </w:tr>
      <w:tr>
        <w:trPr>
          <w:trHeight w:val="223"/>
        </w:trPr>
        <w:tc>
          <w:tcPr>
            <w:tcW w:w="60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equity</w:t>
            </w:r>
          </w:p>
        </w:tc>
        <w:tc>
          <w:tcPr>
            <w:tcW w:w="1020" w:type="dxa"/>
            <w:vAlign w:val="bottom"/>
            <w:tcBorders>
              <w:bottom w:val="single" w:sz="8" w:color="CFF0FC"/>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266,739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342,302</w:t>
            </w:r>
          </w:p>
        </w:tc>
        <w:tc>
          <w:tcPr>
            <w:tcW w:w="100" w:type="dxa"/>
            <w:vAlign w:val="bottom"/>
            <w:tcBorders>
              <w:bottom w:val="single" w:sz="8" w:color="CFF0FC"/>
            </w:tcBorders>
          </w:tcPr>
          <w:p>
            <w:pPr>
              <w:spacing w:after="0"/>
              <w:rPr>
                <w:sz w:val="19"/>
                <w:szCs w:val="19"/>
                <w:color w:val="auto"/>
              </w:rPr>
            </w:pPr>
          </w:p>
        </w:tc>
      </w:tr>
      <w:tr>
        <w:trPr>
          <w:trHeight w:val="223"/>
        </w:trPr>
        <w:tc>
          <w:tcPr>
            <w:tcW w:w="60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equity</w:t>
            </w:r>
          </w:p>
        </w:tc>
        <w:tc>
          <w:tcPr>
            <w:tcW w:w="10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0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394,310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476,771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10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47,493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33,505</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(45,401)</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(26,382)</w:t>
            </w:r>
          </w:p>
        </w:tc>
        <w:tc>
          <w:tcPr>
            <w:tcW w:w="2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(87,934)</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(50,657)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44,898,409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43,804,066</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44,797,235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41,318,281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5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56"/>
        </w:trPr>
        <w:tc>
          <w:tcPr>
            <w:tcW w:w="5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5"/>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(45,401</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(26,382</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(87,934)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(50,657)</w:t>
            </w:r>
          </w:p>
        </w:tc>
        <w:tc>
          <w:tcPr>
            <w:tcW w:w="10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loss on available-for-sale investments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(1,019)</w:t>
            </w:r>
          </w:p>
        </w:tc>
        <w:tc>
          <w:tcPr>
            <w:tcW w:w="5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(2,477)</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(46,420)</w:t>
            </w: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(26,401)</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(90,411)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(50,714)</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0" w:type="dxa"/>
            <w:vAlign w:val="bottom"/>
            <w:gridSpan w:val="6"/>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32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as of November 30, 2020</w:t>
            </w:r>
          </w:p>
        </w:tc>
        <w:tc>
          <w:tcPr>
            <w:tcW w:w="112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38,864,872</w:t>
            </w:r>
          </w:p>
        </w:tc>
        <w:tc>
          <w:tcPr>
            <w:tcW w:w="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gridSpan w:val="2"/>
            <w:shd w:val="clear" w:color="auto" w:fill="CFF0FC"/>
          </w:tcPr>
          <w:p>
            <w:pPr>
              <w:jc w:val="right"/>
              <w:ind w:right="756"/>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w:t>
            </w:r>
          </w:p>
        </w:tc>
        <w:tc>
          <w:tcPr>
            <w:tcW w:w="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gridSpan w:val="2"/>
            <w:shd w:val="clear" w:color="auto" w:fill="CFF0FC"/>
          </w:tcPr>
          <w:p>
            <w:pPr>
              <w:jc w:val="right"/>
              <w:ind w:right="23"/>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393,841</w:t>
            </w:r>
          </w:p>
        </w:tc>
        <w:tc>
          <w:tcPr>
            <w:tcW w:w="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87</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(103,698)</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290,269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190,825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Repurchase of unvested early exercised stock</w:t>
            </w:r>
          </w:p>
        </w:tc>
        <w:tc>
          <w:tcPr>
            <w:tcW w:w="1260" w:type="dxa"/>
            <w:vAlign w:val="bottom"/>
            <w:gridSpan w:val="4"/>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(971)</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4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gridSpan w:val="4"/>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3"/>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Vesting of early-exercised stock options</w:t>
            </w:r>
          </w:p>
        </w:tc>
        <w:tc>
          <w:tcPr>
            <w:tcW w:w="40" w:type="dxa"/>
            <w:vAlign w:val="bottom"/>
          </w:tcPr>
          <w:p>
            <w:pPr>
              <w:spacing w:after="0"/>
              <w:rPr>
                <w:sz w:val="14"/>
                <w:szCs w:val="14"/>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under employee stock purchase plan</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64,589</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tcPr>
          <w:p>
            <w:pPr>
              <w:spacing w:after="0"/>
              <w:rPr>
                <w:sz w:val="14"/>
                <w:szCs w:val="14"/>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Unrealized loss on available-for-sale investments</w:t>
            </w:r>
          </w:p>
        </w:tc>
        <w:tc>
          <w:tcPr>
            <w:tcW w:w="40" w:type="dxa"/>
            <w:vAlign w:val="bottom"/>
            <w:shd w:val="clear" w:color="auto" w:fill="CFF0FC"/>
          </w:tcPr>
          <w:p>
            <w:pPr>
              <w:spacing w:after="0"/>
              <w:rPr>
                <w:sz w:val="14"/>
                <w:szCs w:val="14"/>
                <w:color w:val="auto"/>
              </w:rPr>
            </w:pPr>
          </w:p>
        </w:tc>
        <w:tc>
          <w:tcPr>
            <w:tcW w:w="1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40" w:type="dxa"/>
            <w:vAlign w:val="bottom"/>
          </w:tcPr>
          <w:p>
            <w:pPr>
              <w:spacing w:after="0"/>
              <w:rPr>
                <w:sz w:val="14"/>
                <w:szCs w:val="14"/>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(24,275)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(24,275)</w:t>
            </w:r>
          </w:p>
        </w:tc>
        <w:tc>
          <w:tcPr>
            <w:tcW w:w="0" w:type="dxa"/>
            <w:vAlign w:val="bottom"/>
          </w:tcPr>
          <w:p>
            <w:pPr>
              <w:spacing w:after="0"/>
              <w:rPr>
                <w:sz w:val="1"/>
                <w:szCs w:val="1"/>
                <w:color w:val="auto"/>
              </w:rPr>
            </w:pPr>
          </w:p>
        </w:tc>
      </w:tr>
      <w:tr>
        <w:trPr>
          <w:trHeight w:val="155"/>
        </w:trPr>
        <w:tc>
          <w:tcPr>
            <w:tcW w:w="33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as of February 28, 2021</w:t>
            </w:r>
          </w:p>
        </w:tc>
        <w:tc>
          <w:tcPr>
            <w:tcW w:w="112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39,119,315</w:t>
            </w: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40" w:type="dxa"/>
            <w:vAlign w:val="bottom"/>
            <w:tcBorders>
              <w:top w:val="single" w:sz="8" w:color="auto"/>
              <w:bottom w:val="single" w:sz="8" w:color="auto"/>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w:t>
            </w: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auto"/>
              <w:bottom w:val="single" w:sz="8" w:color="auto"/>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398,018</w:t>
            </w: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(127,973)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270,133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ind w:left="260"/>
              <w:spacing w:after="0" w:line="160"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5,175,000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150,152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150,157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offering, net of offering costs of $643</w:t>
            </w:r>
          </w:p>
        </w:tc>
        <w:tc>
          <w:tcPr>
            <w:tcW w:w="11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109,232</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Vesting of early-exercised stock options</w:t>
            </w:r>
          </w:p>
        </w:tc>
        <w:tc>
          <w:tcPr>
            <w:tcW w:w="40" w:type="dxa"/>
            <w:vAlign w:val="bottom"/>
          </w:tcPr>
          <w:p>
            <w:pPr>
              <w:spacing w:after="0"/>
              <w:rPr>
                <w:sz w:val="14"/>
                <w:szCs w:val="14"/>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shd w:val="clear" w:color="auto" w:fill="CFF0FC"/>
          </w:tcPr>
          <w:p>
            <w:pPr>
              <w:spacing w:after="0"/>
              <w:rPr>
                <w:sz w:val="14"/>
                <w:szCs w:val="14"/>
                <w:color w:val="auto"/>
              </w:rPr>
            </w:pPr>
          </w:p>
        </w:tc>
        <w:tc>
          <w:tcPr>
            <w:tcW w:w="1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3,944</w:t>
            </w: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loss on available-for-sale investments</w:t>
            </w:r>
          </w:p>
        </w:tc>
        <w:tc>
          <w:tcPr>
            <w:tcW w:w="40" w:type="dxa"/>
            <w:vAlign w:val="bottom"/>
          </w:tcPr>
          <w:p>
            <w:pPr>
              <w:spacing w:after="0"/>
              <w:rPr>
                <w:sz w:val="14"/>
                <w:szCs w:val="14"/>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40" w:type="dxa"/>
            <w:vAlign w:val="bottom"/>
            <w:shd w:val="clear" w:color="auto" w:fill="CFF0FC"/>
          </w:tcPr>
          <w:p>
            <w:pPr>
              <w:spacing w:after="0"/>
              <w:rPr>
                <w:sz w:val="14"/>
                <w:szCs w:val="14"/>
                <w:color w:val="auto"/>
              </w:rPr>
            </w:pPr>
          </w:p>
        </w:tc>
        <w:tc>
          <w:tcPr>
            <w:tcW w:w="1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(26,382)</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(26,382)</w:t>
            </w:r>
          </w:p>
        </w:tc>
        <w:tc>
          <w:tcPr>
            <w:tcW w:w="0" w:type="dxa"/>
            <w:vAlign w:val="bottom"/>
          </w:tcPr>
          <w:p>
            <w:pPr>
              <w:spacing w:after="0"/>
              <w:rPr>
                <w:sz w:val="1"/>
                <w:szCs w:val="1"/>
                <w:color w:val="auto"/>
              </w:rPr>
            </w:pPr>
          </w:p>
        </w:tc>
      </w:tr>
      <w:tr>
        <w:trPr>
          <w:trHeight w:val="156"/>
        </w:trPr>
        <w:tc>
          <w:tcPr>
            <w:tcW w:w="33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as of May 31, 2021</w:t>
            </w:r>
          </w:p>
        </w:tc>
        <w:tc>
          <w:tcPr>
            <w:tcW w:w="11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44,403,547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756"/>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23"/>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552,459</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(154,355)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398,178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0" w:type="dxa"/>
            <w:vAlign w:val="bottom"/>
            <w:gridSpan w:val="6"/>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0" w:type="dxa"/>
            <w:vAlign w:val="bottom"/>
            <w:tcBorders>
              <w:bottom w:val="single" w:sz="8" w:color="auto"/>
            </w:tcBorders>
            <w:gridSpan w:val="6"/>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332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as of November 30, 2021</w:t>
            </w:r>
          </w:p>
        </w:tc>
        <w:tc>
          <w:tcPr>
            <w:tcW w:w="40" w:type="dxa"/>
            <w:vAlign w:val="bottom"/>
            <w:tcBorders>
              <w:top w:val="single" w:sz="8" w:color="CFF0FC"/>
            </w:tcBorders>
            <w:shd w:val="clear" w:color="auto" w:fill="CFF0FC"/>
          </w:tcPr>
          <w:p>
            <w:pPr>
              <w:spacing w:after="0"/>
              <w:rPr>
                <w:sz w:val="13"/>
                <w:szCs w:val="13"/>
                <w:color w:val="auto"/>
              </w:rPr>
            </w:pPr>
          </w:p>
        </w:tc>
        <w:tc>
          <w:tcPr>
            <w:tcW w:w="112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44,664,371</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gridSpan w:val="2"/>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45</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563,757</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(608)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(220,892)</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342,302</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117,870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Vesting of early-exercised stock options</w:t>
            </w:r>
          </w:p>
        </w:tc>
        <w:tc>
          <w:tcPr>
            <w:tcW w:w="40" w:type="dxa"/>
            <w:vAlign w:val="bottom"/>
            <w:shd w:val="clear" w:color="auto" w:fill="CFF0FC"/>
          </w:tcPr>
          <w:p>
            <w:pPr>
              <w:spacing w:after="0"/>
              <w:rPr>
                <w:sz w:val="14"/>
                <w:szCs w:val="14"/>
                <w:color w:val="auto"/>
              </w:rPr>
            </w:pPr>
          </w:p>
        </w:tc>
        <w:tc>
          <w:tcPr>
            <w:tcW w:w="1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under employee stock purchase plan</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71,207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1,064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shd w:val="clear" w:color="auto" w:fill="CFF0FC"/>
          </w:tcPr>
          <w:p>
            <w:pPr>
              <w:spacing w:after="0"/>
              <w:rPr>
                <w:sz w:val="14"/>
                <w:szCs w:val="14"/>
                <w:color w:val="auto"/>
              </w:rPr>
            </w:pPr>
          </w:p>
        </w:tc>
        <w:tc>
          <w:tcPr>
            <w:tcW w:w="1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6,071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loss on available-for-sale investments</w:t>
            </w:r>
          </w:p>
        </w:tc>
        <w:tc>
          <w:tcPr>
            <w:tcW w:w="40" w:type="dxa"/>
            <w:vAlign w:val="bottom"/>
          </w:tcPr>
          <w:p>
            <w:pPr>
              <w:spacing w:after="0"/>
              <w:rPr>
                <w:sz w:val="14"/>
                <w:szCs w:val="14"/>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(1,458)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(1,458)</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40" w:type="dxa"/>
            <w:vAlign w:val="bottom"/>
            <w:shd w:val="clear" w:color="auto" w:fill="CFF0FC"/>
          </w:tcPr>
          <w:p>
            <w:pPr>
              <w:spacing w:after="0"/>
              <w:rPr>
                <w:sz w:val="14"/>
                <w:szCs w:val="14"/>
                <w:color w:val="auto"/>
              </w:rPr>
            </w:pPr>
          </w:p>
        </w:tc>
        <w:tc>
          <w:tcPr>
            <w:tcW w:w="1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(42,533)</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(42,533)</w:t>
            </w:r>
          </w:p>
        </w:tc>
        <w:tc>
          <w:tcPr>
            <w:tcW w:w="0" w:type="dxa"/>
            <w:vAlign w:val="bottom"/>
          </w:tcPr>
          <w:p>
            <w:pPr>
              <w:spacing w:after="0"/>
              <w:rPr>
                <w:sz w:val="1"/>
                <w:szCs w:val="1"/>
                <w:color w:val="auto"/>
              </w:rPr>
            </w:pPr>
          </w:p>
        </w:tc>
      </w:tr>
      <w:tr>
        <w:trPr>
          <w:trHeight w:val="155"/>
        </w:trPr>
        <w:tc>
          <w:tcPr>
            <w:tcW w:w="33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as of February 28, 2022</w:t>
            </w:r>
          </w:p>
        </w:tc>
        <w:tc>
          <w:tcPr>
            <w:tcW w:w="4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44,853,448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45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571,363</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(2,066)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(263,425)</w:t>
            </w:r>
          </w:p>
        </w:tc>
        <w:tc>
          <w:tcPr>
            <w:tcW w:w="2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305,917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173,155</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432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13,465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Vesting of early-exercised stock options</w:t>
            </w:r>
          </w:p>
        </w:tc>
        <w:tc>
          <w:tcPr>
            <w:tcW w:w="40" w:type="dxa"/>
            <w:vAlign w:val="bottom"/>
            <w:shd w:val="clear" w:color="auto" w:fill="CFF0FC"/>
          </w:tcPr>
          <w:p>
            <w:pPr>
              <w:spacing w:after="0"/>
              <w:rPr>
                <w:sz w:val="14"/>
                <w:szCs w:val="14"/>
                <w:color w:val="auto"/>
              </w:rPr>
            </w:pPr>
          </w:p>
        </w:tc>
        <w:tc>
          <w:tcPr>
            <w:tcW w:w="1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tcPr>
          <w:p>
            <w:pPr>
              <w:spacing w:after="0"/>
              <w:rPr>
                <w:sz w:val="14"/>
                <w:szCs w:val="14"/>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6,775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Unrealized loss on available-for-sale investments</w:t>
            </w:r>
          </w:p>
        </w:tc>
        <w:tc>
          <w:tcPr>
            <w:tcW w:w="40" w:type="dxa"/>
            <w:vAlign w:val="bottom"/>
            <w:shd w:val="clear" w:color="auto" w:fill="CFF0FC"/>
          </w:tcPr>
          <w:p>
            <w:pPr>
              <w:spacing w:after="0"/>
              <w:rPr>
                <w:sz w:val="14"/>
                <w:szCs w:val="14"/>
                <w:color w:val="auto"/>
              </w:rPr>
            </w:pPr>
          </w:p>
        </w:tc>
        <w:tc>
          <w:tcPr>
            <w:tcW w:w="1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(1,019)</w:t>
            </w: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40" w:type="dxa"/>
            <w:vAlign w:val="bottom"/>
          </w:tcPr>
          <w:p>
            <w:pPr>
              <w:spacing w:after="0"/>
              <w:rPr>
                <w:sz w:val="14"/>
                <w:szCs w:val="14"/>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(45,401)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(45,401)</w:t>
            </w:r>
          </w:p>
        </w:tc>
        <w:tc>
          <w:tcPr>
            <w:tcW w:w="0" w:type="dxa"/>
            <w:vAlign w:val="bottom"/>
          </w:tcPr>
          <w:p>
            <w:pPr>
              <w:spacing w:after="0"/>
              <w:rPr>
                <w:sz w:val="1"/>
                <w:szCs w:val="1"/>
                <w:color w:val="auto"/>
              </w:rPr>
            </w:pPr>
          </w:p>
        </w:tc>
      </w:tr>
      <w:tr>
        <w:trPr>
          <w:trHeight w:val="155"/>
        </w:trPr>
        <w:tc>
          <w:tcPr>
            <w:tcW w:w="33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as of May 31, 2022</w:t>
            </w: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45,040,068</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gridSpan w:val="2"/>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45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578,605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(3,085)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(308,826)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266,739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Six Months Ended May 31,</w:t>
            </w: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7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7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tcPr>
          <w:p>
            <w:pPr>
              <w:jc w:val="right"/>
              <w:ind w:right="80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(87,934)</w:t>
            </w:r>
          </w:p>
        </w:tc>
        <w:tc>
          <w:tcPr>
            <w:tcW w:w="1040" w:type="dxa"/>
            <w:vAlign w:val="bottom"/>
            <w:gridSpan w:val="3"/>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(50,657)</w:t>
            </w:r>
          </w:p>
        </w:tc>
      </w:tr>
      <w:tr>
        <w:trPr>
          <w:trHeight w:val="21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12,846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amortization (accretion) of premium (discount) on investments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(2,537)</w:t>
            </w:r>
          </w:p>
        </w:tc>
      </w:tr>
      <w:tr>
        <w:trPr>
          <w:trHeight w:val="213"/>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Income tax receivable</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(1,515)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(837)</w:t>
            </w:r>
          </w:p>
        </w:tc>
      </w:tr>
      <w:tr>
        <w:trPr>
          <w:trHeight w:val="213"/>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revenue</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(13,052)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19,899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(2,548)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(1,555)</w:t>
            </w:r>
          </w:p>
        </w:tc>
      </w:tr>
      <w:tr>
        <w:trPr>
          <w:trHeight w:val="21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(692)</w:t>
            </w:r>
          </w:p>
        </w:tc>
      </w:tr>
      <w:tr>
        <w:trPr>
          <w:trHeight w:val="207"/>
        </w:trPr>
        <w:tc>
          <w:tcPr>
            <w:tcW w:w="77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(75,544)</w:t>
            </w:r>
          </w:p>
        </w:tc>
        <w:tc>
          <w:tcPr>
            <w:tcW w:w="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(23,482)</w:t>
            </w:r>
          </w:p>
        </w:tc>
        <w:tc>
          <w:tcPr>
            <w:tcW w:w="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212"/>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investments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(80,031)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(183,238)</w:t>
            </w:r>
          </w:p>
        </w:tc>
      </w:tr>
      <w:tr>
        <w:trPr>
          <w:trHeight w:val="21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of investments</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Maturities of investments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121,558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(6,261)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(2,934)</w:t>
            </w:r>
          </w:p>
        </w:tc>
      </w:tr>
      <w:tr>
        <w:trPr>
          <w:trHeight w:val="207"/>
        </w:trPr>
        <w:tc>
          <w:tcPr>
            <w:tcW w:w="77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35,266</w:t>
            </w:r>
          </w:p>
        </w:tc>
        <w:tc>
          <w:tcPr>
            <w:tcW w:w="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(59,497)</w:t>
            </w:r>
          </w:p>
        </w:tc>
        <w:tc>
          <w:tcPr>
            <w:tcW w:w="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212"/>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net of underwriting discounts and commissions and offering costs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under employee stock purchase plan</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 of unvested early exercised stock options</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77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151,830</w:t>
            </w:r>
          </w:p>
        </w:tc>
        <w:tc>
          <w:tcPr>
            <w:tcW w:w="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212"/>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(38,358)</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68,851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80,792</w:t>
            </w: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119,526</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09"/>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960" w:type="dxa"/>
            <w:vAlign w:val="bottom"/>
            <w:tcBorders>
              <w:bottom w:val="single" w:sz="8" w:color="auto"/>
            </w:tcBorders>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42,434</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188,377</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Additions to property and equipment included in accounts payable and accrued expenses and other liabilities</w:t>
            </w:r>
          </w:p>
        </w:tc>
        <w:tc>
          <w:tcPr>
            <w:tcW w:w="960" w:type="dxa"/>
            <w:vAlign w:val="bottom"/>
            <w:gridSpan w:val="2"/>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3"/>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7"/>
        </w:trPr>
        <w:tc>
          <w:tcPr>
            <w:tcW w:w="7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ind w:right="78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9"/>
        </w:trPr>
        <w:tc>
          <w:tcPr>
            <w:tcW w:w="7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As of May 31,</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7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7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60" w:type="dxa"/>
            <w:vAlign w:val="bottom"/>
            <w:gridSpan w:val="2"/>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7"/>
        </w:trPr>
        <w:tc>
          <w:tcPr>
            <w:tcW w:w="7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0" w:type="dxa"/>
            <w:vAlign w:val="bottom"/>
          </w:tcPr>
          <w:p>
            <w:pPr>
              <w:spacing w:after="0"/>
              <w:rPr>
                <w:sz w:val="17"/>
                <w:szCs w:val="17"/>
                <w:color w:val="auto"/>
              </w:rPr>
            </w:pPr>
          </w:p>
        </w:tc>
        <w:tc>
          <w:tcPr>
            <w:tcW w:w="94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42,434</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92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188,377</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Nurix Therapeutics, Inc. (the Company) was incorporated in the state of Delaware on August 27, 2009 and is headquartered in San Francisco, California. The Company is a clinical stage biopharmaceutical company focused on the discovery, development and commercialization of small molecule and cell therapies based on the modulation of cellular protein levels as a novel treatment approach for cancer and other challenging diseases. Leveraging the Company’s expertise in E3 ligases together with its proprietary DNA-encoded libraries, the Company has built DELigase, an integrated discovery platform to identify and advance novel drug candidates targeting E3 ligases, a broad class of enzymes that can modulate proteins within the cell. Targeted Protein Modulation, our drug discovery approach, either harnesses or inhibits the natural function of E3 ligases within the ubiquitin-proteasome system to selectively decrease or increase cellular protein levels to treat disease.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On July 23, 2020, the Company’s registration statement on Form S-1 (File No. 333-239651) relating to its initial public offering (IPO) of common stock became effective. The IPO closed on July 28, 2020 at which time the Company issued 11,000,000 shares of its common stock at a price to the public of $19.00 per share. In addition, the underwriters exercised their option to purchase an additional 1,550,000 shares of the Company’s common stock on July 31, 2020, and this transaction closed on August 4, 2020. Net proceeds from the IPO were $218.1 million, after deducting underwriting discounts and commissions of $16.7 million and expenses of $3.6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121" w:lineRule="exact"/>
        <w:rPr>
          <w:sz w:val="20"/>
          <w:szCs w:val="20"/>
          <w:color w:val="auto"/>
        </w:rPr>
      </w:pPr>
    </w:p>
    <w:p>
      <w:pPr>
        <w:ind w:right="400" w:firstLine="510"/>
        <w:spacing w:after="0" w:line="266" w:lineRule="auto"/>
        <w:rPr>
          <w:sz w:val="20"/>
          <w:szCs w:val="20"/>
          <w:color w:val="auto"/>
        </w:rPr>
      </w:pPr>
      <w:r>
        <w:rPr>
          <w:rFonts w:ascii="Times New Roman" w:cs="Times New Roman" w:eastAsia="Times New Roman" w:hAnsi="Times New Roman"/>
          <w:sz w:val="18"/>
          <w:szCs w:val="18"/>
          <w:color w:val="auto"/>
        </w:rPr>
        <w:t>In March 2021, the Company completed a follow-on offering and issued 5,175,000 shares of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w:t>
      </w:r>
    </w:p>
    <w:p>
      <w:pPr>
        <w:spacing w:after="0" w:line="12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In August 2021, the Company filed a shelf registration statement on Form S-3 with the Securities and Exchange Commission (SEC). This shelf registration statement, which includes a base prospectus, allows the Company at any time to offer and sell registered common stock, preferred stock, debt securities, warrants, subscriptions rights and or units or any combination of securities described in the prospectus in one or more offerings. In addition, in August 2021, the Company entered into an Equity Distribution Agreement with Piper Sandler &amp; Co. (Piper Sandler) pursuant to which, from time to time, the Company may offer and sell through Piper Sandler up to $150.0 million of the common stock registered under the shelf registration statement pursuant to one or more “at the market” offerings.</w:t>
      </w:r>
    </w:p>
    <w:p>
      <w:pPr>
        <w:spacing w:after="0" w:line="7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Company is not required to sell any shares at any time during the term of the Equity Distribution Agreement. The Company agreed to pay Piper Sandler a commission of 3% of the gross sales price of any shares sold pursuant to the Equity Distribution Agreement. As of May 31, 2022, the Company had not sold any shares of common stock pursuant to the Equity Distribution Agreement and $150.0 million in shares remained available under the Equity Distribution Agreement. In June 2022, the Company issued and sold 2,000,000 shares of common stock under the Equity Distribution Agreement for net proceeds of approximately $19.3 million, after deducting offering commissions and expenses paid by the Company (the June 2022 ATM Offering). As of the closing of the June 2022 ATM Offering, the Company had $130.0 million of common stock remaining available for sale under the Equity Distribution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 Plans</w:t>
      </w:r>
    </w:p>
    <w:p>
      <w:pPr>
        <w:spacing w:after="0" w:line="121" w:lineRule="exact"/>
        <w:rPr>
          <w:sz w:val="20"/>
          <w:szCs w:val="20"/>
          <w:color w:val="auto"/>
        </w:rPr>
      </w:pPr>
    </w:p>
    <w:p>
      <w:pPr>
        <w:ind w:right="520" w:firstLine="510"/>
        <w:spacing w:after="0" w:line="261" w:lineRule="auto"/>
        <w:rPr>
          <w:sz w:val="20"/>
          <w:szCs w:val="20"/>
          <w:color w:val="auto"/>
        </w:rPr>
      </w:pPr>
      <w:r>
        <w:rPr>
          <w:rFonts w:ascii="Times New Roman" w:cs="Times New Roman" w:eastAsia="Times New Roman" w:hAnsi="Times New Roman"/>
          <w:sz w:val="18"/>
          <w:szCs w:val="18"/>
          <w:color w:val="auto"/>
        </w:rPr>
        <w:t>Since inception, the Company has generally incurred significant losses and negative net cash flows from operations. As of May 31, 2022, the Company had an accumulated deficit of $308.8 million and will require substantial additional capital for research and development activities. The Company anticipates incurring additional losses until such time, if ever, that it can generate significant sales of its drug candidates currently in development. As of May 31, 2022, the Company had cash, cash equivalents and investments of $348.8 million.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9" w:name="page10"/>
    <w:bookmarkEnd w:id="9"/>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Management believes that its cash, cash equivalents and investments are sufficient to continue operating activities for at least 12 months following the issuance date of these condensed consolidated financial statements. Future capital requirements will depend on many factors, including the timing and extent of spending on research and development and payments the Company may receive under its collaboration agreements with Sanofi S.A. (Sanofi) and Gilead Sciences, Inc. (Gilead)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w:t>
      </w:r>
    </w:p>
    <w:p>
      <w:pPr>
        <w:spacing w:after="0" w:line="293" w:lineRule="exact"/>
        <w:rPr>
          <w:sz w:val="20"/>
          <w:szCs w:val="20"/>
          <w:color w:val="auto"/>
        </w:rPr>
      </w:pPr>
    </w:p>
    <w:p>
      <w:pPr>
        <w:ind w:right="7680" w:firstLine="8"/>
        <w:spacing w:after="0" w:line="378"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U.S. generally accepted accounting principles (U.S. GAAP) and applicable rules and regulations of the SEC regarding interim financial reporting. The Company’s condensed consolidated financial statements have been prepared on the same basis as the annual financial statements and reflect, in the opinion of management, all adjustments of a normal and recurring nature that are necessary for the fair statement of the Company’s financial position as of and for the three and six months ended May 31, 2022. The condensed consolidated balance sheet as of November 30, 2021 was derived from the audited annual financial statements as of that date. Certain information and footnote disclosures normally included in financial statements prepared in accordance with U.S. GAAP have been condensed or omitted from these interim financial statements. These interim financial statements and related disclosures have been prepared with the presumption that users of the interim financial statements have read or have access to the audited annual financial statements for the preceding fiscal year. Accordingly, these financial statements should be read in conjunction with the audited annual financial statements and notes thereto contained in the Company’s Annual Report on Form 10-K for the year ended November 30, 2021, as filed with the SEC. These interim results are not necessarily indicative of results to be expected for the full fiscal year or any future interim period. Certain prior year amounts have been reclassified for consistency with the current year cash flow presentation. The reclassification did not impact total cashflow from operating, investing or financing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subsidiaries, including DeCART Therapeutics Inc. All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bases its estimates on historical experience and on other relevant assumptions that are reasonable under the circumstances. Actual results could materially differ from those estimates. Refer to Note 3 for more information regarding the estimates related to revenue recognition.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cash, cash equivalents and investments. The Company’s investments consist of debt securities issued by highly rated corporate entities, the U.S. federal government or state and local governments. The Company’s exposure to any individual corporate entity is limited by policy. Deposits may, at times, exceed federally insured limits. The Company invests its cash equivalents in highly rated money market funds. During the periods presented, the Company has not experienced any losses on its deposits of cash, cash equivalents or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clinical 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including due to the impact of the current coronavirus (COVID-19) pandemic,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Moreover, the current COVID-19 pandemic, which is impacting worldwide economic activity, poses the risk that the Company or its employees, contractors, suppliers and other partners may be prevented from conducting business activities for an indefinite period of time, including due to shutdowns that may be requested or mandated by governmental authorities. The extent to which the COVID-19 pandemic will impact the Company’s business will depend on future developments that are highly uncertain and cannot be predicted at this time.</w:t>
      </w:r>
    </w:p>
    <w:p>
      <w:pPr>
        <w:spacing w:after="0" w:line="72"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The extent to which the COVID-19 pandemic may directly or indirectly impact the Company’s financial statements is highly uncertain and subject to change. Management considered the potential impact of the COVID-19 pandemic on its estimates and assumptions and there was not a material impact to the Company’s condensed consolidated financial statements as of and for the three and six months ended May 31, 2022; however, actual results could differ from those estimates and there may be changes to management’s estimates in future periods.</w:t>
      </w:r>
    </w:p>
    <w:p>
      <w:pPr>
        <w:spacing w:after="0" w:line="79"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The Company relies on single source manufacturers and suppliers for the supply of its drug candidates. Disruption from these manufacturers or suppliers would have a negative impact on the Company’s business, financial position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60" w:firstLine="578"/>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inception. Lease right-of-use (ROU) assets, current lease liabilities and long-term lease liabilities are recognized at the lease commencement date based on the present value of the future minimum lease payments over the lease term at the commencement date. ROU assets also include any initial direct costs incurred and any lease payments made on or before the lease commencement date, less lease incentives received. The Company uses its incremental borrowing rate based on the information available at the commencement date in determining the lease liabilities as the Company’s leases generally do not provide an implicit rate. The incremental borrowing rate, the ROU asset and the lease liability are reevaluated upon a lease modification. The Company determines its incremental borrowing rate based on the rate of interest that the Company would have to pay to borrow on a collateralized basis over a similar term, in an amount equal to the lease payments in a similar economic environment. Lease terms may include options to extend or terminate the lease when the Company is reasonably certain that the option will be exercised. Lease expense for operating leases is recognized on a straight-line basis over the lease term. The Company does not have any finance leases.</w:t>
      </w:r>
    </w:p>
    <w:p>
      <w:pPr>
        <w:spacing w:after="0" w:line="80"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Company elected to apply each of the practical expedients described in Topic 842 which allow companies (i) not to reassess prior conclusions on whether any expired or existing contracts are or contain a lease, lease classification, and initial direct costs, (ii) combine lease and non-lease components for all underlying assets groups, and (iii) not recognize ROU assets or lease liabilities for short-term leases. A short-term lease is a lease that, at the commencement date, has a lease term of 12 months or less and does not include an option to purchase the underlying asset that the lessee is reasonably certain to exercise.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380" w:firstLine="510"/>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goods or services, in an amount that reflects the consideration which the Company expects to receive in exchange for those goods or services. To recognize revenue from a contract with a customer, the Company performs the following five steps:</w:t>
      </w:r>
    </w:p>
    <w:p>
      <w:pPr>
        <w:spacing w:after="0" w:line="68" w:lineRule="exact"/>
        <w:rPr>
          <w:sz w:val="20"/>
          <w:szCs w:val="20"/>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117"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spacing w:after="0" w:line="68"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1" w:name="page12"/>
    <w:bookmarkEnd w:id="11"/>
    <w:p>
      <w:pPr>
        <w:ind w:right="300" w:firstLine="510"/>
        <w:spacing w:after="0" w:line="255" w:lineRule="auto"/>
        <w:rPr>
          <w:sz w:val="20"/>
          <w:szCs w:val="20"/>
          <w:color w:val="auto"/>
        </w:rPr>
      </w:pPr>
      <w:r>
        <w:rPr>
          <w:rFonts w:ascii="Times New Roman" w:cs="Times New Roman" w:eastAsia="Times New Roman" w:hAnsi="Times New Roman"/>
          <w:sz w:val="18"/>
          <w:szCs w:val="18"/>
          <w:color w:val="auto"/>
        </w:rPr>
        <w:t>Research and collaboration licenses: If a license is determined to be distinct from the other promises identified in the arrangement, the Company recognizes revenue from upfront payments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w:t>
      </w:r>
    </w:p>
    <w:p>
      <w:pPr>
        <w:spacing w:after="0" w:line="81"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Milestone payments: At the inception of each arrangement that includes research, development, or regulatory milestone payments, the Company 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75"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Sales-based milestones and royalties: For arrangements that include sales-based milestone or royalty payments based on the level of sales, and in 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72"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Customer options: Customer options, such as options granted to allow a licensee to extend a license or research term, to select additional research 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w:t>
      </w:r>
    </w:p>
    <w:p>
      <w:pPr>
        <w:spacing w:after="0" w:line="80"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Deferred revenue, which is a contract liability, represents net amounts received by the Company for which the related revenues have not been recognized because one or more of the revenue recognition criteria have not been met. The current portion of deferred revenue represents the amount to be recognized within one year from the condensed consolidated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92" w:lineRule="exact"/>
        <w:rPr>
          <w:sz w:val="20"/>
          <w:szCs w:val="20"/>
          <w:color w:val="auto"/>
        </w:rPr>
      </w:pPr>
    </w:p>
    <w:p>
      <w:pPr>
        <w:ind w:firstLine="510"/>
        <w:spacing w:after="0" w:line="223" w:lineRule="exact"/>
        <w:rPr>
          <w:sz w:val="20"/>
          <w:szCs w:val="20"/>
          <w:color w:val="auto"/>
        </w:rPr>
      </w:pPr>
      <w:r>
        <w:rPr>
          <w:rFonts w:ascii="Times New Roman" w:cs="Times New Roman" w:eastAsia="Times New Roman" w:hAnsi="Times New Roman"/>
          <w:sz w:val="17"/>
          <w:szCs w:val="17"/>
          <w:color w:val="auto"/>
        </w:rPr>
        <w:t>In December 2019, the Financial Accounting Standards Board (FASB) issued Accounting Standard Update (ASU) No. 2019</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(Topic 740)—Simplifying the Accounting for Income Taxes </w:t>
      </w:r>
      <w:r>
        <w:rPr>
          <w:rFonts w:ascii="Times New Roman" w:cs="Times New Roman" w:eastAsia="Times New Roman" w:hAnsi="Times New Roman"/>
          <w:sz w:val="17"/>
          <w:szCs w:val="17"/>
          <w:color w:val="auto"/>
        </w:rPr>
        <w:t>(ASU 2019-12), which is intended to simplify accounting for income taxes and eliminate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exceptions from Topic 740 related to the approach for intraperiod tax allocation, the methodology for calculating income taxes in an interim period and the recognition of deferred tax liabilities for outside basis differences. ASU 2019-12 also requires the amount of tax that is based on income to be accounted for under Topic 740 as an income-based tax, with any incremental amount accounted for as a non-income-based tax recognized entirely in the period incurred. The Company adopted ASU 2019-12 as of December 1, 2021 using the modified retrospective method, and recognized an immaterial non-income-based tax within operating expenses in the current period. The adoption had no other impact on the Company’s condensed consolidated financial statements.</w:t>
      </w:r>
    </w:p>
    <w:p>
      <w:pPr>
        <w:spacing w:after="0" w:line="90"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which requires the lessee to recognize a ROU asset and a lease liability for operating leases, initially measured at the present value of lease payments, in its consolidated balance sheet. On November 30, 2021, the Company adopted ASU 2016-02 using the alternative modified transition method effective as of December 1, 2020. As a result, the Company has retrospectively changed its previously issued condensed consolidated financial statements as of May 31, 2021 and for the three and six months ended May 31, 2021 as presented in its May 31, 2021 Quarterly Report on Form 10-Q to reflect the adoption of Topic 842 on December 1, 2020. The condensed consolidated financial statements for the three and six months ended May 31, 2021 presented herein differ from the Company’s condensed consolidated financial statements included in its May 31, 2021 Quarterly Report on Form 10-Q, as those financial statements were prepared using the former accounting standard referred to as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ind w:right="320" w:firstLine="51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effect of the adoption of Topic 842 on the condensed consolidated balance sheet as of December 1, 2020 (in thousands):</w:t>
      </w:r>
    </w:p>
    <w:tbl>
      <w:tblPr>
        <w:tblLayout w:type="fixed"/>
        <w:tblInd w:w="0" w:type="dxa"/>
        <w:tblCellMar>
          <w:top w:w="0" w:type="dxa"/>
          <w:left w:w="0" w:type="dxa"/>
          <w:bottom w:w="0" w:type="dxa"/>
          <w:right w:w="0" w:type="dxa"/>
        </w:tblCellMar>
      </w:tblPr>
      <w:tr>
        <w:trPr>
          <w:trHeight w:val="137"/>
        </w:trPr>
        <w:tc>
          <w:tcPr>
            <w:tcW w:w="7020" w:type="dxa"/>
            <w:vAlign w:val="bottom"/>
          </w:tcPr>
          <w:p>
            <w:pPr>
              <w:spacing w:after="0"/>
              <w:rPr>
                <w:sz w:val="11"/>
                <w:szCs w:val="11"/>
                <w:color w:val="auto"/>
              </w:rPr>
            </w:pPr>
          </w:p>
        </w:tc>
        <w:tc>
          <w:tcPr>
            <w:tcW w:w="14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440" w:type="dxa"/>
            <w:vAlign w:val="bottom"/>
            <w:gridSpan w:val="2"/>
          </w:tcPr>
          <w:p>
            <w:pPr>
              <w:jc w:val="right"/>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Impact of Topic</w:t>
            </w:r>
          </w:p>
        </w:tc>
        <w:tc>
          <w:tcPr>
            <w:tcW w:w="1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842 Adoption</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13,343</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w:t>
            </w:r>
          </w:p>
        </w:tc>
        <w:tc>
          <w:tcPr>
            <w:tcW w:w="2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(850)</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effect of the adoption of Topic 842 on the condensed consolidated statement of cash flows for the six months ended May 31, 2021 (in thousands):</w:t>
      </w:r>
    </w:p>
    <w:tbl>
      <w:tblPr>
        <w:tblLayout w:type="fixed"/>
        <w:tblInd w:w="0" w:type="dxa"/>
        <w:tblCellMar>
          <w:top w:w="0" w:type="dxa"/>
          <w:left w:w="0" w:type="dxa"/>
          <w:bottom w:w="0" w:type="dxa"/>
          <w:right w:w="0" w:type="dxa"/>
        </w:tblCellMar>
      </w:tblPr>
      <w:tr>
        <w:trPr>
          <w:trHeight w:val="137"/>
        </w:trPr>
        <w:tc>
          <w:tcPr>
            <w:tcW w:w="7020" w:type="dxa"/>
            <w:vAlign w:val="bottom"/>
          </w:tcPr>
          <w:p>
            <w:pPr>
              <w:spacing w:after="0"/>
              <w:rPr>
                <w:sz w:val="11"/>
                <w:szCs w:val="11"/>
                <w:color w:val="auto"/>
              </w:rPr>
            </w:pPr>
          </w:p>
        </w:tc>
        <w:tc>
          <w:tcPr>
            <w:tcW w:w="1460" w:type="dxa"/>
            <w:vAlign w:val="bottom"/>
            <w:gridSpan w:val="2"/>
          </w:tcPr>
          <w:p>
            <w:pPr>
              <w:jc w:val="right"/>
              <w:ind w:right="440"/>
              <w:spacing w:after="0" w:line="137"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440" w:type="dxa"/>
            <w:vAlign w:val="bottom"/>
            <w:gridSpan w:val="2"/>
          </w:tcPr>
          <w:p>
            <w:pPr>
              <w:jc w:val="right"/>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Impact of Topic</w:t>
            </w:r>
          </w:p>
        </w:tc>
        <w:tc>
          <w:tcPr>
            <w:tcW w:w="13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842 Adoption</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(1,555)</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34"/>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(671)</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w:t>
      </w:r>
    </w:p>
    <w:p>
      <w:pPr>
        <w:spacing w:after="0" w:line="121" w:lineRule="exact"/>
        <w:rPr>
          <w:sz w:val="20"/>
          <w:szCs w:val="20"/>
          <w:color w:val="auto"/>
        </w:rPr>
      </w:pPr>
    </w:p>
    <w:p>
      <w:pPr>
        <w:ind w:right="60" w:firstLine="510"/>
        <w:spacing w:after="0" w:line="272" w:lineRule="auto"/>
        <w:rPr>
          <w:sz w:val="20"/>
          <w:szCs w:val="20"/>
          <w:color w:val="auto"/>
        </w:rPr>
      </w:pPr>
      <w:r>
        <w:rPr>
          <w:rFonts w:ascii="Times New Roman" w:cs="Times New Roman" w:eastAsia="Times New Roman" w:hAnsi="Times New Roman"/>
          <w:sz w:val="17"/>
          <w:szCs w:val="17"/>
          <w:color w:val="auto"/>
        </w:rPr>
        <w:t>In June 2019, the Company entered into a global strategic collaboration agreement with Gilead, which was amended in August 2019 (the Gilead Agreement), to discover, develop and commercialize a pipeline of targeted protein degradation drugs for patients with cancer and other challenging diseases using the Company’s DELigase platform to identify novel agents that utilize E3 ligases to induce degradation of five specified drug targets. 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under certain conditions and subject to certain limitations.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w:t>
      </w:r>
    </w:p>
    <w:p>
      <w:pPr>
        <w:spacing w:after="0" w:line="64"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Upon signing the Gilead Agreement, Gilead paid the Company an upfront payment of $45.0 million plus $3.0 million in additional fees. In addition, from the signing of the Gilead Agreement to May 31, 2022, the Company has received payments of $30.5 million for research milestones and additional payments. Additionally, the Company recognized a research milestone in May 2022 and anticipates a payment of $1.5 million in the third fiscal quarter of 2022. As of May 31, 2022, the Company is eligible to receive up to approximately $2.3 billion in total additional payments based on certain additional fees, payments and the successful completion of certain preclinical, clinical, development and sales milestones. In addition, the Company is eligible to receive tiered royalties from mid-single digit to low tens percentages on annual net sales from any commercial products directed to the optioned collaboration targets, subject to certain reductions and excluding sales in the United States of any products for which the Company exercises its option to co-develop and co-promote, for which the Company and Gilead share profits and losses evenly.</w:t>
      </w:r>
    </w:p>
    <w:p>
      <w:pPr>
        <w:spacing w:after="0" w:line="84"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The Company re-evaluates the transaction price in each reporting period and as uncertain events are resolved or other changes in circumstances occur. The Company determined that the transaction price at the inception of the Gilead Agreement consisted of the upfront payment of $45.0 million and $3.0 million in additional fees. Upon the achievement of research milestones and additional fees related to target reservations, $32.0 million in variable consideration was added to the transaction price, and a cumulative effect was recorded as revenue in the period the transaction price increased. The transaction price is recognized as collaboration revenue using the cost-based input method over the estimated contract term of five years.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ind w:right="180" w:firstLine="510"/>
        <w:spacing w:after="0" w:line="253" w:lineRule="auto"/>
        <w:rPr>
          <w:sz w:val="20"/>
          <w:szCs w:val="20"/>
          <w:color w:val="auto"/>
        </w:rPr>
      </w:pPr>
      <w:r>
        <w:rPr>
          <w:rFonts w:ascii="Times New Roman" w:cs="Times New Roman" w:eastAsia="Times New Roman" w:hAnsi="Times New Roman"/>
          <w:sz w:val="18"/>
          <w:szCs w:val="18"/>
          <w:color w:val="auto"/>
        </w:rPr>
        <w:t>For the three and six months ended May 31, 2022, the Company recognized collaboration revenue related to the Gilead Agreement of $6.1 million and $12.3 million, respectively, of which $5.3 million and $8.6 million, respectively, was included in deferred revenue as of November 30, 2021, and $0.6 million and $3.1 million, respectively, was related to activities satisfied in previous periods. For the three and six months ended May 31, 2021, the Company recognized collaboration revenue related to the Gilead Agreement of $3.7 million and $6.5 million, respectively, of which $2.9 million and $5.6 million, respectively, was included in deferred revenue as of November 30, 2020, and $0.6 million and $0.6 million, respectively, was related to activities satisfied in previous periods. As of May 31, 2022, deferred revenue related to the Gilead Agreement was $34.8 million, of which $17.0 million was current and includes $1.5 million in contract assets representing the unbilled amount related to the research milestone recognized in May 2022. As of November 30, 2021, deferred revenue related to the Gilead Agreement was $41.1 million, of which $19.9 million was current. Additionally, as of November 30, 2021, $6.0 million was recorded in accounts receivable representing the billed amount related to the research milestones recognized in November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21" w:lineRule="exact"/>
        <w:rPr>
          <w:sz w:val="20"/>
          <w:szCs w:val="20"/>
          <w:color w:val="auto"/>
        </w:rPr>
      </w:pPr>
    </w:p>
    <w:p>
      <w:pPr>
        <w:ind w:firstLine="514"/>
        <w:spacing w:after="0" w:line="253" w:lineRule="auto"/>
        <w:rPr>
          <w:sz w:val="20"/>
          <w:szCs w:val="20"/>
          <w:color w:val="auto"/>
        </w:rPr>
      </w:pPr>
      <w:r>
        <w:rPr>
          <w:rFonts w:ascii="Times New Roman" w:cs="Times New Roman" w:eastAsia="Times New Roman" w:hAnsi="Times New Roman"/>
          <w:sz w:val="18"/>
          <w:szCs w:val="18"/>
          <w:color w:val="auto"/>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DELigase platform to identify small molecules designed to induce degradation of three specified initial drug targets. In January 2021, as part of the existing collaboration agreement, Sanofi paid the Company $22.0 million to exercise its option to expand the number of targets in the collaboration agreement from three to a total of five targets. In January 2021, the Company and Sanofi entered into a first amendment to the collaboration agreement to modify the research term on all targets (the First Sanofi Amendment). Over time and subject to certain limitations, Sanofi may elect to replace the drug targets with other reserved targets. In December 2021, the Company and Sanofi entered into a second amendment to the collaboration agreement to extend the substitution deadline on certain targets. Under the Sanofi Agreement, Sanofi has exclusive rights and is responsible for the clinical development, commercialization and manufacture of drug candidates resulting from the collaboration, while the Company retains the option to co-develop, co-promote and co-commercialize up to two targets, subject to certain conditions and limitations.</w:t>
      </w:r>
    </w:p>
    <w:p>
      <w:pPr>
        <w:spacing w:after="0" w:line="84" w:lineRule="exact"/>
        <w:rPr>
          <w:sz w:val="20"/>
          <w:szCs w:val="20"/>
          <w:color w:val="auto"/>
        </w:rPr>
      </w:pPr>
    </w:p>
    <w:p>
      <w:pPr>
        <w:ind w:right="60" w:firstLine="514"/>
        <w:spacing w:after="0" w:line="254" w:lineRule="auto"/>
        <w:rPr>
          <w:sz w:val="20"/>
          <w:szCs w:val="20"/>
          <w:color w:val="auto"/>
        </w:rPr>
      </w:pPr>
      <w:r>
        <w:rPr>
          <w:rFonts w:ascii="Times New Roman" w:cs="Times New Roman" w:eastAsia="Times New Roman" w:hAnsi="Times New Roman"/>
          <w:sz w:val="18"/>
          <w:szCs w:val="18"/>
          <w:color w:val="auto"/>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In addition, from the signing of the Sanofi Agreement to May 31, 2022, the Company has received payments of $3.0 million for research milestones. As of May 31, 2022, the Company is eligible to receive up to approximately $2.5 billion in total additional payments based on certain additional fees, payments and the successful completion of certain research development, regulatory and sales milestones, as well as tiered royalties ranging from mid-single digit to low teen percentages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spacing w:after="0" w:line="84"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The Company re-evaluates the transaction price in each reporting period and as uncertain events are resolved or other changes in circumstances occur. At the inception of the Sanofi Agreement, the Company determined that the transaction price consisted of the upfront payment of $55.0 million for three initial drug targets and $22.0 million for two additional targets. Subsequently, upon the achievement of research milestones, $3.0 million in variable consideration was added to the transaction price, and a cumulative effect was recorded as revenue in the period the transaction price increased. Revenue is recognized over the research term of 4.25 years, the revised research period that was agreed to in January 2021 in the First Sanofi Amendment, using the cost-based input method.</w:t>
      </w:r>
    </w:p>
    <w:p>
      <w:pPr>
        <w:spacing w:after="0" w:line="79" w:lineRule="exact"/>
        <w:rPr>
          <w:sz w:val="20"/>
          <w:szCs w:val="20"/>
          <w:color w:val="auto"/>
        </w:rPr>
      </w:pPr>
    </w:p>
    <w:p>
      <w:pPr>
        <w:ind w:right="180" w:firstLine="510"/>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May 31, 2022, the Company recognized collaboration revenue related to the Sanofi Agreement of $5.3 million and $8.7 million, respectively, of which $5.3 million and $8.2 million, respectively, was included in deferred revenue as of November 30, 2021 and zero and $0.5 million, respectively, was related to activities satisfied in previous periods. For the three and six months ended May 31, 2021, the Company recognized collaboration revenue related to the Sanofi Agreement of $3.3 million and $5.6 million, respectively, all of which was included in deferred revenue as of November 30, 2020. As of May 31, 2022 and November 30, 2021, deferred revenue related to the Sanofi Agreement was $52.4 million, of which $24.3 million was current, and $59.2 million, of which $21.3 million was current, respectively.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4. Condensed Consolidated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73"/>
        </w:trPr>
        <w:tc>
          <w:tcPr>
            <w:tcW w:w="628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r>
      <w:tr>
        <w:trPr>
          <w:trHeight w:val="22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shd w:val="clear" w:color="auto" w:fill="CFF0FC"/>
          </w:tcPr>
          <w:p>
            <w:pPr>
              <w:spacing w:after="0"/>
              <w:rPr>
                <w:sz w:val="19"/>
                <w:szCs w:val="19"/>
                <w:color w:val="auto"/>
              </w:rPr>
            </w:pPr>
          </w:p>
        </w:tc>
      </w:tr>
      <w:tr>
        <w:trPr>
          <w:trHeight w:val="229"/>
        </w:trPr>
        <w:tc>
          <w:tcPr>
            <w:tcW w:w="6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Software in progress</w:t>
            </w: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FF0FC"/>
            </w:tcBorders>
          </w:tcPr>
          <w:p>
            <w:pPr>
              <w:spacing w:after="0"/>
              <w:rPr>
                <w:sz w:val="19"/>
                <w:szCs w:val="19"/>
                <w:color w:val="auto"/>
              </w:rPr>
            </w:pPr>
          </w:p>
        </w:tc>
      </w:tr>
      <w:tr>
        <w:trPr>
          <w:trHeight w:val="223"/>
        </w:trPr>
        <w:tc>
          <w:tcPr>
            <w:tcW w:w="6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26,219</w:t>
            </w:r>
          </w:p>
        </w:tc>
        <w:tc>
          <w:tcPr>
            <w:tcW w:w="100" w:type="dxa"/>
            <w:vAlign w:val="bottom"/>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(16,693)</w:t>
            </w:r>
          </w:p>
        </w:tc>
        <w:tc>
          <w:tcPr>
            <w:tcW w:w="26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(14,879)</w:t>
            </w:r>
          </w:p>
        </w:tc>
      </w:tr>
      <w:tr>
        <w:trPr>
          <w:trHeight w:val="223"/>
        </w:trPr>
        <w:tc>
          <w:tcPr>
            <w:tcW w:w="62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120" w:type="dxa"/>
            <w:vAlign w:val="bottom"/>
            <w:tcBorders>
              <w:top w:val="single" w:sz="8" w:color="auto"/>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$1.3 million and $0.6 million for the three months ended May 31, 2022 and 2021, respectively, and $2.3 million and $1.3 million for the six months ended May 31, 2022 and 2021, respectively. All long-lived assets are maintained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73"/>
        </w:trPr>
        <w:tc>
          <w:tcPr>
            <w:tcW w:w="628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r>
      <w:tr>
        <w:trPr>
          <w:trHeight w:val="22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16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research and lab supplies</w:t>
            </w: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FF0FC"/>
          </w:tcPr>
          <w:p>
            <w:pPr>
              <w:spacing w:after="0"/>
              <w:rPr>
                <w:sz w:val="19"/>
                <w:szCs w:val="19"/>
                <w:color w:val="auto"/>
              </w:rPr>
            </w:pPr>
          </w:p>
        </w:tc>
      </w:tr>
      <w:tr>
        <w:trPr>
          <w:trHeight w:val="223"/>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19,734</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75" w:lineRule="exact"/>
        <w:rPr>
          <w:sz w:val="20"/>
          <w:szCs w:val="20"/>
          <w:color w:val="auto"/>
        </w:rPr>
      </w:pPr>
    </w:p>
    <w:p>
      <w:pPr>
        <w:ind w:left="520" w:right="40"/>
        <w:spacing w:after="0" w:line="282" w:lineRule="auto"/>
        <w:rPr>
          <w:sz w:val="20"/>
          <w:szCs w:val="20"/>
          <w:color w:val="auto"/>
        </w:rPr>
      </w:pPr>
      <w:r>
        <w:rPr>
          <w:rFonts w:ascii="Times New Roman" w:cs="Times New Roman" w:eastAsia="Times New Roman" w:hAnsi="Times New Roman"/>
          <w:sz w:val="18"/>
          <w:szCs w:val="18"/>
          <w:color w:val="auto"/>
        </w:rPr>
        <w:t>Level 1—Inputs that reflect unadjusted quoted prices in active markets for identical assets or liabilities that the Company has the ability to access at the measurement date;</w:t>
      </w:r>
    </w:p>
    <w:p>
      <w:pPr>
        <w:spacing w:after="0" w:line="54"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color w:val="auto"/>
        </w:rPr>
        <w:t>Level 2—Inputs other than quoted prices included within Level 1 that are observable for the asset or liability either directly or indirectly, including inputs in markets that are not considered to be active; and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that are unobservable.</w:t>
      </w:r>
    </w:p>
    <w:p>
      <w:pPr>
        <w:spacing w:after="0" w:line="117" w:lineRule="exact"/>
        <w:rPr>
          <w:sz w:val="20"/>
          <w:szCs w:val="20"/>
          <w:color w:val="auto"/>
        </w:rPr>
      </w:pPr>
    </w:p>
    <w:p>
      <w:pPr>
        <w:ind w:right="360" w:firstLine="510"/>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15" w:name="page16"/>
    <w:bookmarkEnd w:id="15"/>
    <w:p>
      <w:pPr>
        <w:ind w:right="66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investments, which consist of cash equivalents and investments classified as available-for-sale investments, that are measured at fair value on a recurring basis as of May 31, 2022 and November 30, 2021 (in thousands):</w:t>
      </w:r>
    </w:p>
    <w:p>
      <w:pPr>
        <w:spacing w:after="0" w:line="6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May 31, 2022</w:t>
            </w:r>
          </w:p>
        </w:tc>
        <w:tc>
          <w:tcPr>
            <w:tcW w:w="10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3"/>
                <w:szCs w:val="13"/>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4660" w:type="dxa"/>
            <w:vAlign w:val="bottom"/>
            <w:gridSpan w:val="4"/>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580" w:type="dxa"/>
            <w:vAlign w:val="bottom"/>
            <w:tcBorders>
              <w:top w:val="single" w:sz="8" w:color="auto"/>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Level 1</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41,622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41,622</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9"/>
              </w:rPr>
              <w:t>Level 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81,901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70,858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(734)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70,124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commercial paper</w:t>
            </w:r>
          </w:p>
        </w:tc>
        <w:tc>
          <w:tcPr>
            <w:tcW w:w="100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58,260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58,260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Foreign government securities</w:t>
            </w:r>
          </w:p>
        </w:tc>
        <w:tc>
          <w:tcPr>
            <w:tcW w:w="1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Municipal securities</w:t>
            </w:r>
          </w:p>
        </w:tc>
        <w:tc>
          <w:tcPr>
            <w:tcW w:w="100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8,698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Level 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9,986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15,888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60" w:type="dxa"/>
            <w:vAlign w:val="bottom"/>
            <w:tcBorders>
              <w:bottom w:val="single" w:sz="8" w:color="CFF0FC"/>
            </w:tcBorders>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351,991</w:t>
            </w:r>
          </w:p>
        </w:tc>
        <w:tc>
          <w:tcPr>
            <w:tcW w:w="1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348,906</w:t>
            </w: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41,622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41,622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Included in Short-term investments</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257,383</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Included in Long-term investments</w:t>
            </w: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52,986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46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November 30, 2021</w:t>
            </w:r>
          </w:p>
        </w:tc>
        <w:tc>
          <w:tcPr>
            <w:tcW w:w="10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24"/>
                <w:szCs w:val="24"/>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4660" w:type="dxa"/>
            <w:vAlign w:val="bottom"/>
            <w:gridSpan w:val="4"/>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540" w:type="dxa"/>
            <w:vAlign w:val="bottom"/>
            <w:tcBorders>
              <w:top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Level 1</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73,438</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73,438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Level 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46,599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commercial paper</w:t>
            </w:r>
          </w:p>
        </w:tc>
        <w:tc>
          <w:tcPr>
            <w:tcW w:w="100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121,495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121,495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Municipal securities</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Level 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74,334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73,969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Municipal securities</w:t>
            </w:r>
          </w:p>
        </w:tc>
        <w:tc>
          <w:tcPr>
            <w:tcW w:w="100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60" w:type="dxa"/>
            <w:vAlign w:val="bottom"/>
            <w:tcBorders>
              <w:bottom w:val="single" w:sz="8" w:color="CFF0FC"/>
            </w:tcBorders>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426,449</w:t>
            </w:r>
          </w:p>
        </w:tc>
        <w:tc>
          <w:tcPr>
            <w:tcW w:w="2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11</w:t>
            </w:r>
          </w:p>
        </w:tc>
        <w:tc>
          <w:tcPr>
            <w:tcW w:w="2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425,841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73,438</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gridSpan w:val="2"/>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73,438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Included in Short-term investments</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215,280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11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Included in Long-term investments</w:t>
            </w: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137,731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137,189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The accrued interest receivable related to the Company’s investments was $0.7 million and $0.9 million as of May 31, 2022 and November 30, 2021, respectively, and was included in prepaid expenses and other current assets on the condensed consolidated balance sheet.</w:t>
      </w:r>
    </w:p>
    <w:p>
      <w:pPr>
        <w:spacing w:after="0" w:line="54"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and U.S. treasury securities, which are valued based on quoted market prices in active markets with no valuation adjustment, as Level 1 assets within the fair value hierarchy.</w:t>
      </w:r>
    </w:p>
    <w:p>
      <w:pPr>
        <w:spacing w:after="0" w:line="54"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Company classifies its investments in corporate debt securities, U.S. government agency securities, corporate commercial paper, and municipal securities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three and six months ended May 31, 2022 and 2021.</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6" w:name="page17"/>
    <w:bookmarkEnd w:id="16"/>
    <w:p>
      <w:pPr>
        <w:ind w:firstLine="510"/>
        <w:spacing w:after="0" w:line="261" w:lineRule="auto"/>
        <w:rPr>
          <w:sz w:val="20"/>
          <w:szCs w:val="20"/>
          <w:color w:val="auto"/>
        </w:rPr>
      </w:pPr>
      <w:r>
        <w:rPr>
          <w:rFonts w:ascii="Times New Roman" w:cs="Times New Roman" w:eastAsia="Times New Roman" w:hAnsi="Times New Roman"/>
          <w:sz w:val="18"/>
          <w:szCs w:val="18"/>
          <w:color w:val="auto"/>
        </w:rPr>
        <w:t>As of May 31, 2022 and November 30, 2021, the unrealized losses for available-for-sale investments were non-credit related, and the Company does not intend to sell the investments that were in an unrealized loss position, nor will it be required to sell those investments before recovery of their amortized cost basis, which may be maturity. As of May 31, 2022 and November 30, 2021, no allowance for credit losses for the Company’s investments was recorded. During the three and six months ended May 31, 2022 and 2021, the Company did not recognize any impairment losses related to investments.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May 31, 2022, the Company was not a party to any material legal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condensed consolidated financial statements as management believes such liability is immaterial.</w:t>
      </w:r>
    </w:p>
    <w:p>
      <w:pPr>
        <w:spacing w:after="0" w:line="81"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The Company leases office and laboratory facilities within the same building in San Francisco, California under several lease agreements. The term of these lease agreements expire on April 30, 2025.</w:t>
      </w:r>
    </w:p>
    <w:p>
      <w:pPr>
        <w:spacing w:after="0" w:line="54" w:lineRule="exact"/>
        <w:rPr>
          <w:sz w:val="20"/>
          <w:szCs w:val="20"/>
          <w:color w:val="auto"/>
        </w:rPr>
      </w:pPr>
    </w:p>
    <w:p>
      <w:pPr>
        <w:ind w:right="440" w:firstLine="510"/>
        <w:spacing w:after="0" w:line="266" w:lineRule="auto"/>
        <w:rPr>
          <w:sz w:val="20"/>
          <w:szCs w:val="20"/>
          <w:color w:val="auto"/>
        </w:rPr>
      </w:pPr>
      <w:r>
        <w:rPr>
          <w:rFonts w:ascii="Times New Roman" w:cs="Times New Roman" w:eastAsia="Times New Roman" w:hAnsi="Times New Roman"/>
          <w:sz w:val="18"/>
          <w:szCs w:val="18"/>
          <w:color w:val="auto"/>
        </w:rPr>
        <w:t>In July 2021, the Company entered into a lease agreement for the lease of approximately 19,320 square feet of office space in San Francisco, California, for a research and development laboratory and related uses. The lease commenced on December 1, 2021 and will expire on June 30, 2024, unless terminated earlier.</w:t>
      </w:r>
    </w:p>
    <w:p>
      <w:pPr>
        <w:spacing w:after="0" w:line="68"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In March 2022, the Company entered into a lease agreement for the lease of approximately 46,434 square feet of office space in The Woodlands, Texas, for a research and development laboratory and related uses. The lease is expected to commence on or about August 1, 2022, and will expire on March 1, 2035, unless terminated earlier. The minimum rent payable by the Company under the lease will be approximately $205,084 per month, beginning on March 1, 2023, which amount will increase by 3% per year over the term of the lease; provided that, for the period between March 1, 2023 and February 29, 2024, the minimum rent payable by the Company under the lease will be approximately $153,813 per month. The Company will also be responsible for the payment of additional rent to cover the Company’s share of the annual operating and tax expenses and utilities costs for the building.</w:t>
      </w:r>
    </w:p>
    <w:p>
      <w:pPr>
        <w:spacing w:after="0" w:line="79"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Operating lease expenses, excluding additional rent charges for utilities, maintenance and real estate taxes, were $1.5 million and $0.9 million for the three months ended May 31, 2022 and 2021, respectively, and $2.8 million and $1.7 million for the six months ended May 31, 2022 and 2021, respectively. Short-term lease expense was not material for all periods presented.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Other information related to leases were as follows (in thousands):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Six Months Ended May 31,</w:t>
            </w:r>
          </w:p>
        </w:tc>
      </w:tr>
      <w:tr>
        <w:trPr>
          <w:trHeight w:val="223"/>
        </w:trPr>
        <w:tc>
          <w:tcPr>
            <w:tcW w:w="65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69"/>
        </w:trPr>
        <w:tc>
          <w:tcPr>
            <w:tcW w:w="65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Cash flows from operating leases</w:t>
            </w: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3,564</w:t>
            </w:r>
          </w:p>
        </w:tc>
        <w:tc>
          <w:tcPr>
            <w:tcW w:w="18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1,792</w:t>
            </w: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0"/>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assets recognized in exchange for lease obligations</w:t>
            </w: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4,804</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2,097</w:t>
            </w:r>
          </w:p>
        </w:tc>
      </w:tr>
      <w:tr>
        <w:trPr>
          <w:trHeight w:val="20"/>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 xml:space="preserve">The undiscounted future non-cancellable </w:t>
      </w:r>
      <w:r>
        <w:rPr>
          <w:rFonts w:ascii="Times New Roman" w:cs="Times New Roman" w:eastAsia="Times New Roman" w:hAnsi="Times New Roman"/>
          <w:sz w:val="17"/>
          <w:szCs w:val="17"/>
          <w:color w:val="auto"/>
        </w:rPr>
        <w:t>lease payments under the Company’s lease agreements as of May 31, 2022 were as follows (in thousands):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November 30,</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79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23"/>
        </w:trPr>
        <w:tc>
          <w:tcPr>
            <w:tcW w:w="7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(remaining 6 months)</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 to 2035</w:t>
            </w: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undiscounted lease payments related to the lease in The Woodlands, Texas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(34,314)</w:t>
            </w:r>
          </w:p>
        </w:tc>
        <w:tc>
          <w:tcPr>
            <w:tcW w:w="0" w:type="dxa"/>
            <w:vAlign w:val="bottom"/>
          </w:tcPr>
          <w:p>
            <w:pPr>
              <w:spacing w:after="0"/>
              <w:rPr>
                <w:sz w:val="1"/>
                <w:szCs w:val="1"/>
                <w:color w:val="auto"/>
              </w:rPr>
            </w:pPr>
          </w:p>
        </w:tc>
      </w:tr>
      <w:tr>
        <w:trPr>
          <w:trHeight w:val="223"/>
        </w:trPr>
        <w:tc>
          <w:tcPr>
            <w:tcW w:w="798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3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long-term liabilities</w:t>
            </w: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authorizes the Company to issue up to 500,000,000 shares of common stock, $0.001 par value per share, as of May 31, 2022 and November 30, 2021. Holders of common stock are entitled to dividends when and if declared by the Company’s board of directors, subject to the prior rights of the holders of shares of preferred stock. The holder of each share of common stock is entitled to one vote. As of May 31, 2022, no dividends have been declared.</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on an as-if converted basis, as of May 31, 2022 and November 30, 2021, consists of the following:</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0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18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213"/>
        </w:trPr>
        <w:tc>
          <w:tcPr>
            <w:tcW w:w="6240" w:type="dxa"/>
            <w:vAlign w:val="bottom"/>
            <w:tcBorders>
              <w:bottom w:val="single" w:sz="8" w:color="CFF0FC"/>
            </w:tcBorders>
          </w:tcPr>
          <w:p>
            <w:pPr>
              <w:spacing w:after="0"/>
              <w:rPr>
                <w:sz w:val="18"/>
                <w:szCs w:val="18"/>
                <w:color w:val="auto"/>
              </w:rPr>
            </w:pPr>
          </w:p>
        </w:tc>
        <w:tc>
          <w:tcPr>
            <w:tcW w:w="17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8"/>
                <w:szCs w:val="18"/>
                <w:color w:val="auto"/>
              </w:rPr>
            </w:pPr>
          </w:p>
        </w:tc>
        <w:tc>
          <w:tcPr>
            <w:tcW w:w="17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8"/>
                <w:szCs w:val="18"/>
                <w:color w:val="auto"/>
              </w:rPr>
            </w:pPr>
          </w:p>
        </w:tc>
      </w:tr>
      <w:tr>
        <w:trPr>
          <w:trHeight w:val="22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options under stock option plan</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6,441,714</w:t>
            </w: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5,878,552</w:t>
            </w: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future stock option grants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2,822,655</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2,562,570</w:t>
            </w:r>
          </w:p>
        </w:tc>
        <w:tc>
          <w:tcPr>
            <w:tcW w:w="100" w:type="dxa"/>
            <w:vAlign w:val="bottom"/>
          </w:tcPr>
          <w:p>
            <w:pPr>
              <w:spacing w:after="0"/>
              <w:rPr>
                <w:sz w:val="19"/>
                <w:szCs w:val="19"/>
                <w:color w:val="auto"/>
              </w:rPr>
            </w:pPr>
          </w:p>
        </w:tc>
      </w:tr>
      <w:tr>
        <w:trPr>
          <w:trHeight w:val="23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for issuance under employee stock purchase plan</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1,390,620</w:t>
            </w: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1,015,184</w:t>
            </w:r>
          </w:p>
        </w:tc>
        <w:tc>
          <w:tcPr>
            <w:tcW w:w="100" w:type="dxa"/>
            <w:vAlign w:val="bottom"/>
            <w:shd w:val="clear" w:color="auto" w:fill="CFF0FC"/>
          </w:tcPr>
          <w:p>
            <w:pPr>
              <w:spacing w:after="0"/>
              <w:rPr>
                <w:sz w:val="19"/>
                <w:szCs w:val="19"/>
                <w:color w:val="auto"/>
              </w:rPr>
            </w:pPr>
          </w:p>
        </w:tc>
      </w:tr>
      <w:tr>
        <w:trPr>
          <w:trHeight w:val="230"/>
        </w:trPr>
        <w:tc>
          <w:tcPr>
            <w:tcW w:w="6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678,837</w:t>
            </w:r>
          </w:p>
        </w:tc>
        <w:tc>
          <w:tcPr>
            <w:tcW w:w="280" w:type="dxa"/>
            <w:vAlign w:val="bottom"/>
            <w:tcBorders>
              <w:bottom w:val="single" w:sz="8" w:color="CFF0FC"/>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Borders>
              <w:bottom w:val="single" w:sz="8" w:color="CFF0FC"/>
            </w:tcBorders>
          </w:tcPr>
          <w:p>
            <w:pPr>
              <w:spacing w:after="0"/>
              <w:rPr>
                <w:sz w:val="19"/>
                <w:szCs w:val="19"/>
                <w:color w:val="auto"/>
              </w:rPr>
            </w:pPr>
          </w:p>
        </w:tc>
      </w:tr>
      <w:tr>
        <w:trPr>
          <w:trHeight w:val="223"/>
        </w:trPr>
        <w:tc>
          <w:tcPr>
            <w:tcW w:w="6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11,333,826</w:t>
            </w:r>
          </w:p>
        </w:tc>
        <w:tc>
          <w:tcPr>
            <w:tcW w:w="28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9,476,306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The Company’s 2020 Equity Incentive Plan (the 2020 Plan) serves as the successor to the Company’s 2012 Equity Incentive Plan (together with the 2020 Plan, the Stock Plans) and provides for the granting of stock options, stock appreciation rights (SARs), restricted stock awards (RSAs), restricted stock units (RSUs), performance awards and stock bonus awards to employees, directors, consultants, independent contractors and advisors of the Company.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color w:val="auto"/>
        </w:rPr>
        <w:t>Option activity under the Stock Plans is set forth below:</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life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as of November 30, 2021</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5,878,552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Options 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1,132,507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Options exercised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(291,025)</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Options forfeited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(278,320)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as of May 31, 2022</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6,441,714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May 31, 2022</w:t>
            </w:r>
            <w:r>
              <w:rPr>
                <w:rFonts w:ascii="Times New Roman" w:cs="Times New Roman" w:eastAsia="Times New Roman" w:hAnsi="Times New Roman"/>
                <w:sz w:val="15"/>
                <w:szCs w:val="15"/>
                <w:color w:val="auto"/>
              </w:rPr>
              <w:t>(2)</w:t>
            </w: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4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6,375,014</w:t>
            </w:r>
          </w:p>
        </w:tc>
        <w:tc>
          <w:tcPr>
            <w:tcW w:w="2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as of May 31, 2022</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2,919,718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00" w:right="220" w:hanging="492"/>
        <w:spacing w:after="0" w:line="199" w:lineRule="auto"/>
        <w:tabs>
          <w:tab w:leader="none" w:pos="50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aggregate intrinsic values were calculated as the pre-tax difference between the exercise price of stock options and the quoted market price of the Company’s common stock on May 31, 2022 for all in-the-money stock options.</w:t>
      </w:r>
    </w:p>
    <w:p>
      <w:pPr>
        <w:spacing w:after="0" w:line="91" w:lineRule="exact"/>
        <w:rPr>
          <w:rFonts w:ascii="Times New Roman" w:cs="Times New Roman" w:eastAsia="Times New Roman" w:hAnsi="Times New Roman"/>
          <w:sz w:val="29"/>
          <w:szCs w:val="29"/>
          <w:color w:val="auto"/>
          <w:vertAlign w:val="superscript"/>
        </w:rPr>
      </w:pPr>
    </w:p>
    <w:p>
      <w:pPr>
        <w:ind w:left="500" w:hanging="492"/>
        <w:spacing w:after="0" w:line="251" w:lineRule="auto"/>
        <w:tabs>
          <w:tab w:leader="none" w:pos="50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Certain stock options granted by the Company prior to the date of IPO are exercisable at the date of grant, with unvested shares subject to repurchase by the Company in the event of voluntary or involuntary termination of employment of the stockholder. Such exercises are recorded as a liability in the condensed consolidated balance sheets and reclassified into equity as the options vest. As of May 31, 2022, a total of 33,300 shares of common stock were subject to repurchase by the Company at the lower of (i) the fair market value of such shares on the date of repurchase, or (ii) the original exercise price of such shares. The corresponding exercise value of $0.2 million as of May 31, 2022 is recorded in share-based compensation liability. RSU activity under the Stock Plans is set forth below:</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9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73"/>
        </w:trPr>
        <w:tc>
          <w:tcPr>
            <w:tcW w:w="622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3"/>
        </w:trPr>
        <w:tc>
          <w:tcPr>
            <w:tcW w:w="6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as of November 30, 2021</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RSUs 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RSUs vested</w:t>
            </w:r>
          </w:p>
        </w:tc>
        <w:tc>
          <w:tcPr>
            <w:tcW w:w="1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(13,465)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RSUs forfeited</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as of May 31, 2022</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678,837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Under the Company’s 2020 Employee Stock Purchase Plan (the ESPP), eligible employees are entitled to purchase shares of common stock with accumulated payroll deductions. During the six months ended May 31, 2022, the Company issued 71,207 shares pursuant to the ESPP at a weighted-average price of $14.94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the Stock Plans and the ESPP that is included in the Company’s condensed consolidated statements of operations is as follows (in thousands):</w:t>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40" w:type="dxa"/>
            <w:vAlign w:val="bottom"/>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9"/>
        </w:trPr>
        <w:tc>
          <w:tcPr>
            <w:tcW w:w="3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60" w:type="dxa"/>
            <w:vAlign w:val="bottom"/>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
        </w:trPr>
        <w:tc>
          <w:tcPr>
            <w:tcW w:w="3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0"/>
        </w:trPr>
        <w:tc>
          <w:tcPr>
            <w:tcW w:w="35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r>
      <w:tr>
        <w:trPr>
          <w:trHeight w:val="23"/>
        </w:trPr>
        <w:tc>
          <w:tcPr>
            <w:tcW w:w="3540" w:type="dxa"/>
            <w:vAlign w:val="bottom"/>
            <w:tcBorders>
              <w:bottom w:val="single" w:sz="8" w:color="CFF0FC"/>
            </w:tcBorders>
          </w:tcPr>
          <w:p>
            <w:pPr>
              <w:spacing w:after="0"/>
              <w:rPr>
                <w:sz w:val="2"/>
                <w:szCs w:val="2"/>
                <w:color w:val="auto"/>
              </w:rPr>
            </w:pPr>
          </w:p>
        </w:tc>
        <w:tc>
          <w:tcPr>
            <w:tcW w:w="920" w:type="dxa"/>
            <w:vAlign w:val="bottom"/>
            <w:tcBorders>
              <w:bottom w:val="single" w:sz="8" w:color="CFF0FC"/>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20" w:type="dxa"/>
            <w:vAlign w:val="bottom"/>
            <w:shd w:val="clear" w:color="auto" w:fill="CFF0FC"/>
          </w:tcPr>
          <w:p>
            <w:pPr>
              <w:spacing w:after="0"/>
              <w:rPr>
                <w:sz w:val="19"/>
                <w:szCs w:val="19"/>
                <w:color w:val="auto"/>
              </w:rPr>
            </w:pPr>
          </w:p>
        </w:tc>
      </w:tr>
      <w:tr>
        <w:trPr>
          <w:trHeight w:val="229"/>
        </w:trPr>
        <w:tc>
          <w:tcPr>
            <w:tcW w:w="3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2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20" w:type="dxa"/>
            <w:vAlign w:val="bottom"/>
            <w:tcBorders>
              <w:bottom w:val="single" w:sz="8" w:color="CFF0FC"/>
            </w:tcBorders>
          </w:tcPr>
          <w:p>
            <w:pPr>
              <w:spacing w:after="0"/>
              <w:rPr>
                <w:sz w:val="19"/>
                <w:szCs w:val="19"/>
                <w:color w:val="auto"/>
              </w:rPr>
            </w:pPr>
          </w:p>
        </w:tc>
      </w:tr>
      <w:tr>
        <w:trPr>
          <w:trHeight w:val="223"/>
        </w:trPr>
        <w:tc>
          <w:tcPr>
            <w:tcW w:w="354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2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12,846</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560" w:firstLine="510"/>
        <w:spacing w:after="0" w:line="282" w:lineRule="auto"/>
        <w:rPr>
          <w:sz w:val="20"/>
          <w:szCs w:val="20"/>
          <w:color w:val="auto"/>
        </w:rPr>
      </w:pPr>
      <w:r>
        <w:rPr>
          <w:rFonts w:ascii="Times New Roman" w:cs="Times New Roman" w:eastAsia="Times New Roman" w:hAnsi="Times New Roman"/>
          <w:sz w:val="18"/>
          <w:szCs w:val="18"/>
          <w:color w:val="auto"/>
        </w:rPr>
        <w:t>As of May 31, 2022, the total compensation cost related to stock-based awards not yet recognized was $68.2 million, which is expected to be amortized on a straight-line basis over the weighted-average remaining vesting period of approximately 2.8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9. Defined Contribution Plan</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Company sponsors a defined-contribution savings plan under Section 401(k) of the Internal Revenue Code of 1986, as amended (the 401(k) Plan), which provides for the Company to make discretionary matching or discretionary annual contributions to the 401(k) Plan, for its employees. Substantially all of the Company’s employees are eligible to participate. Employees may contribute a percentage of their annual compensation to the plan, subject to statutory limitations. The Company has made contributions to the 401(k) Plan and recorded contribution expense of $0.2 million and $0.2 million during the three months ended May 31, 2022 and 2021, respectively, and $0.7 million and $0.4 million during the six months ended May 31, 2022 and 2021,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For the three month and six months ended May 31, 2022, the Company did not record any current income tax expense or provision and for the three month and six months ended May 31, 2021, the Company recorded a current income tax expense of $0.1 million and $0.2 million, respectively. Deferred income taxes reflect the net tax effects of loss and credit carryforwards and temporary differences between the carrying amounts of assets and liabilities for financial reporting purposes and the amounts used for income tax purposes. Realization of the deferred tax assets is dependent upon future taxable income, the amount, if any, and timing of which are uncertain. The Company has generated losses since inception and has established a valuation allowance to offset deferred tax assets as of May 31, 2022 and November 30, 2021 due to the uncertainty of realizing future tax benefits from its net operating loss carryforwards and other deferred tax assets.</w:t>
      </w:r>
    </w:p>
    <w:p>
      <w:pPr>
        <w:spacing w:after="0" w:line="81"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In January 2019, the California Franchise Tax Board (FTB) commenced an examination of the Company’s California income tax returns for the tax years ending in 2015, 2016, 2017 and 2018. During the year ended November 30, 2021, the FTB issued proposed audit assessments related to revenue sourcing and R&amp;D credits. The Company does not agree with the FTB assessments and intends to challenge the assessments. Pursuant to a measurement analysis, the Company has not recorded an unrecognized tax benefit related to the FTB’s sourcing position. The Company maintains an unrecognized tax benefit related to its California R&amp;D credits for all years.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 which excludes shares which are legally outstanding but subject to repurchase by the Company (in thousands, except share and per share data):</w:t>
      </w:r>
    </w:p>
    <w:p>
      <w:pPr>
        <w:spacing w:after="0" w:line="74"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12"/>
        </w:trPr>
        <w:tc>
          <w:tcPr>
            <w:tcW w:w="4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56"/>
        </w:trPr>
        <w:tc>
          <w:tcPr>
            <w:tcW w:w="42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9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(45,401)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(26,382)</w:t>
            </w: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(87,934)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(50,657)</w:t>
            </w: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11"/>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number of shares outstanding, basic</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44,898,409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43,804,066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44,797,235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41,318,281</w:t>
            </w:r>
          </w:p>
        </w:tc>
        <w:tc>
          <w:tcPr>
            <w:tcW w:w="100" w:type="dxa"/>
            <w:vAlign w:val="bottom"/>
          </w:tcPr>
          <w:p>
            <w:pPr>
              <w:spacing w:after="0"/>
              <w:rPr>
                <w:sz w:val="18"/>
                <w:szCs w:val="18"/>
                <w:color w:val="auto"/>
              </w:rPr>
            </w:pPr>
          </w:p>
        </w:tc>
      </w:tr>
      <w:tr>
        <w:trPr>
          <w:trHeight w:val="234"/>
        </w:trPr>
        <w:tc>
          <w:tcPr>
            <w:tcW w:w="42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and diluted</w:t>
            </w:r>
          </w:p>
        </w:tc>
        <w:tc>
          <w:tcPr>
            <w:tcW w:w="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23"/>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right="320" w:firstLine="510"/>
        <w:spacing w:after="0" w:line="235" w:lineRule="auto"/>
        <w:rPr>
          <w:sz w:val="20"/>
          <w:szCs w:val="20"/>
          <w:color w:val="auto"/>
        </w:rPr>
      </w:pPr>
      <w:r>
        <w:rPr>
          <w:rFonts w:ascii="Calibri" w:cs="Calibri" w:eastAsia="Calibri" w:hAnsi="Calibri"/>
          <w:sz w:val="18"/>
          <w:szCs w:val="18"/>
          <w:color w:val="auto"/>
        </w:rPr>
        <w:t>The following potentally dilutve securites were excluded from the computaton of the diluted net loss per share of common stock for the periods presented because their efect would have been ant-dilutve:</w:t>
      </w:r>
    </w:p>
    <w:p>
      <w:pPr>
        <w:spacing w:after="0" w:line="134"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b w:val="1"/>
          <w:bCs w:val="1"/>
          <w:color w:val="auto"/>
        </w:rPr>
        <w:t>May 31,</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6100" w:type="dxa"/>
            <w:vAlign w:val="bottom"/>
            <w:tcBorders>
              <w:bottom w:val="single" w:sz="8" w:color="CFF0FC"/>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CFF0FC"/>
            </w:tcBorders>
          </w:tcPr>
          <w:p>
            <w:pPr>
              <w:spacing w:after="0"/>
              <w:rPr>
                <w:sz w:val="15"/>
                <w:szCs w:val="15"/>
                <w:color w:val="auto"/>
              </w:rPr>
            </w:pPr>
          </w:p>
        </w:tc>
        <w:tc>
          <w:tcPr>
            <w:tcW w:w="180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0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6,441,714</w:t>
            </w:r>
          </w:p>
        </w:tc>
        <w:tc>
          <w:tcPr>
            <w:tcW w:w="28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5,141,041</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early exercised subject to vesting</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33,300</w:t>
            </w: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95,124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expected to be purchased under employee stock purchase plan</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73,851</w:t>
            </w:r>
          </w:p>
        </w:tc>
        <w:tc>
          <w:tcPr>
            <w:tcW w:w="28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40,486</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678,837</w:t>
            </w:r>
          </w:p>
        </w:tc>
        <w:tc>
          <w:tcPr>
            <w:tcW w:w="28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1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7,227,702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5,276,651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1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8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The Company’s Chief Financial Officer is a trustee for the Company’s healthcare plan provider. Expenses related to the healthcare plan premiums were $0.9 million and $0.6 million for the three months ended May 31, 2022 and 2021, respectively, and $1.9 million and $1.1 million for the six months ended May 31, 2022 and 2021, respectively. As of May 31, 2022 and November 30, 2021, the amount recorded in accrued liabilities and accounts payable in connection with this healthcare plan provider was not material.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1 for more information regarding the June 2022 ATM Offering.</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98"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10"/>
        <w:spacing w:after="0" w:line="221"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(1) the unaudited condensed consolidated financial statements and the related notes included in Part I, Item 1 of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(2) the audited consolidated financial statements and related notes and management’s discussion and analysis of financial condition and results of operations for the fiscal year ended November 30, 2021 included in our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filed on January 28, 2022 (2021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20" w:firstLine="510"/>
        <w:spacing w:after="0" w:line="255" w:lineRule="auto"/>
        <w:rPr>
          <w:sz w:val="20"/>
          <w:szCs w:val="20"/>
          <w:color w:val="auto"/>
        </w:rPr>
      </w:pPr>
      <w:r>
        <w:rPr>
          <w:rFonts w:ascii="Times New Roman" w:cs="Times New Roman" w:eastAsia="Times New Roman" w:hAnsi="Times New Roman"/>
          <w:sz w:val="18"/>
          <w:szCs w:val="18"/>
          <w:color w:val="auto"/>
        </w:rPr>
        <w:t>We are a clinical stage biopharmaceutical company focused on the discovery, development and commercialization of small molecule and cell therapies based on the modulation of cellular protein levels as a novel treatment approach for cancer and other challenging diseases.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Targeted Protein Modulation, our drug discovery approach, either harnesses or inhibits the natural function of E3 ligases within the ubiquitin-proteasome system to selectively decrease or increase cellular protein levels to treat disease. Our wholly owned pipeline comprises four clinical stage drug candidates in our Targeted Protein Degradation and Targeted Protein Elevation portfolios.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Targeted Protein Degradation:</w:t>
      </w:r>
    </w:p>
    <w:p>
      <w:pPr>
        <w:spacing w:after="0" w:line="90" w:lineRule="exact"/>
        <w:rPr>
          <w:sz w:val="20"/>
          <w:szCs w:val="20"/>
          <w:color w:val="auto"/>
        </w:rPr>
      </w:pPr>
    </w:p>
    <w:p>
      <w:pPr>
        <w:ind w:firstLine="510"/>
        <w:spacing w:after="0" w:line="232" w:lineRule="exact"/>
        <w:rPr>
          <w:sz w:val="20"/>
          <w:szCs w:val="20"/>
          <w:color w:val="auto"/>
        </w:rPr>
      </w:pPr>
      <w:r>
        <w:rPr>
          <w:rFonts w:ascii="Times New Roman" w:cs="Times New Roman" w:eastAsia="Times New Roman" w:hAnsi="Times New Roman"/>
          <w:sz w:val="18"/>
          <w:szCs w:val="18"/>
          <w:color w:val="auto"/>
        </w:rPr>
        <w:t>Our portfolio of targeted protein degraders of Bruton’s tyrosine kinase (BTK), a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signaling protein, comprises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an orally bioavailable BTK degrader for the treatment of relapsed or refractory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malignancies, and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an orally bioavailable BTK degrader for the treatment of relapsed or refractory B-cell malignancies and potentially autoimmune diseases.</w:t>
      </w:r>
    </w:p>
    <w:p>
      <w:pPr>
        <w:spacing w:after="0" w:line="63" w:lineRule="exact"/>
        <w:rPr>
          <w:sz w:val="20"/>
          <w:szCs w:val="20"/>
          <w:color w:val="auto"/>
        </w:rPr>
      </w:pPr>
    </w:p>
    <w:p>
      <w:pPr>
        <w:jc w:val="both"/>
        <w:ind w:right="60" w:firstLine="510"/>
        <w:spacing w:after="0" w:line="232" w:lineRule="exact"/>
        <w:rPr>
          <w:sz w:val="20"/>
          <w:szCs w:val="20"/>
          <w:color w:val="auto"/>
        </w:rPr>
      </w:pPr>
      <w:r>
        <w:rPr>
          <w:rFonts w:ascii="Times New Roman" w:cs="Times New Roman" w:eastAsia="Times New Roman" w:hAnsi="Times New Roman"/>
          <w:sz w:val="18"/>
          <w:szCs w:val="18"/>
          <w:color w:val="auto"/>
        </w:rPr>
        <w:t>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We are currently enrolling patients in a Phase 1a/1b dose-escalation and cohort expansion study in patients with relapsed or refractory B-cell malignancies. We have initiated the first of several potential Phase 1b expansion cohorts for patients with relapsed chronic lymphocytic leukemia, and enrollment continues in the Phase 1a dose-escalation portion of the trial for patients with several types of non-Hodgkin lymphoma.</w:t>
      </w:r>
    </w:p>
    <w:p>
      <w:pPr>
        <w:spacing w:after="0" w:line="91"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NX-5948: We are currently enrolling patients in the Phase 1a portion of a Phase 1a/1b dose-escalation and cohort expansion study in patients with relapsed or refractory B-cell malignancies.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Targeted Protein Elevation:</w:t>
      </w:r>
    </w:p>
    <w:p>
      <w:pPr>
        <w:spacing w:after="0" w:line="11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portfolio of inhibitors of Casitas B-lineage lymphoma proto-oncogene B (CBL-B), an E3 ligase that regulates the activation of multiple immune cell types including T cells and NK cells, comprises NX-1607, an orally bioavailable CBL-B inhibitor for immuno-oncology indications and for which we were awarded an Innovative Passport from the UK Medicines and Healthcare products Regulatory Agency to accelerate time to market and facilitate patient access to novel drugs to treat serious and life-threatening diseases, and NX-0255, for ex vivo use to enhance adoptive T-cell therapy including our drug-enhanced tumor infiltrating lymphocyte (TIL) therapy, DeTIL-0255.</w:t>
      </w:r>
    </w:p>
    <w:p>
      <w:pPr>
        <w:spacing w:after="0" w:line="75"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NX-1607: We are currently enrolling patients in the Phase 1a portion of a Phase 1a/1b dose-escalation and cohort expansion study in patients with solid tumors and lymphomas.</w:t>
      </w:r>
    </w:p>
    <w:p>
      <w:pPr>
        <w:spacing w:after="0" w:line="54"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DeTIL-2055: We are currently enrolling patients in the Phase 1 clinical trial for our first cell therapy candidate, DeTIL-0255, in patients with gynecologic cancers including ovarian cancer, endometrial cancer, and cervical cancer.</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 programs:</w:t>
      </w:r>
    </w:p>
    <w:p>
      <w:pPr>
        <w:spacing w:after="0" w:line="119"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Beyond our clinical candidates, we are advancing additional wholly owned and partnered preclinical programs within our core therapeutic focus in cancer and selectively in non-oncology therapeutic areas. Our pipeline includes highly validated and classically undruggable targets across our proprietary efforts, academic collaborations and our established strategic collaborations with Sanofi S.A. (Sanofi), and Gilead Sciences, Inc. (Gilead).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2" w:name="page23"/>
    <w:bookmarkEnd w:id="22"/>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Sanofi, Gilead, and Celgene Corporation and the issuance and sale of common stock and redeemable convertible preferred stock. We do not expect to generate product revenue unless and until we successfully develop and obtain approval for the commercialization of a drug candidate, and we cannot assure you that we will ever generate significant revenue or profits.</w:t>
      </w:r>
    </w:p>
    <w:p>
      <w:pPr>
        <w:spacing w:after="0" w:line="79"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Since inception, we have generally incurred significant losses and negative cash flows from operations. During the six months ended May 31, 2022 and 2021, we incurred net losses of $87.9 million and $50.7 million, respectively. As of May 31, 2022, we had an accumulated deficit of $308.8 million. These losses have resulted primarily from costs incurred in connection with research and development activities and general and administrative costs associated with our operations.</w:t>
      </w:r>
    </w:p>
    <w:p>
      <w:pPr>
        <w:spacing w:after="0" w:line="72" w:lineRule="exact"/>
        <w:rPr>
          <w:sz w:val="20"/>
          <w:szCs w:val="20"/>
          <w:color w:val="auto"/>
        </w:rPr>
      </w:pPr>
    </w:p>
    <w:p>
      <w:pPr>
        <w:ind w:right="180" w:firstLine="510"/>
        <w:spacing w:after="0" w:line="254" w:lineRule="auto"/>
        <w:rPr>
          <w:sz w:val="20"/>
          <w:szCs w:val="20"/>
          <w:color w:val="auto"/>
        </w:rPr>
      </w:pPr>
      <w:r>
        <w:rPr>
          <w:rFonts w:ascii="Times New Roman" w:cs="Times New Roman" w:eastAsia="Times New Roman" w:hAnsi="Times New Roman"/>
          <w:sz w:val="18"/>
          <w:szCs w:val="18"/>
          <w:color w:val="auto"/>
        </w:rPr>
        <w:t>We do not expect to generate any revenue from commercial product sales unless and until we successfully complete development and obtain regulatory approval for one or more of our drug candidates, which we expect will take a number of years, if ever. We expect our expenses will increase substantially as we advance our drug candidates through preclinical and clinical development; enter advanced clinical development and scale up external manufacturing capabilities to supply clinical trials; apply our DELigase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to incur additional costs associated with operating as a public company, including significant legal, accounting, insurance, investor relations and other administrative and professional services expenses.</w:t>
      </w:r>
    </w:p>
    <w:p>
      <w:pPr>
        <w:spacing w:after="0" w:line="80"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Our net losses and cash flows may fluctuate significantly from period to period, depending on, among other things, variations in the level of expense related to the ongoing development of our drug candidates, our DELigase platform or future development programs; the delay, addition or termination of clinical trials; and the execution of any additional collaboration, licensing or similar arrangements, and the timing of payments we may make or receive under such arrangements.</w:t>
      </w:r>
    </w:p>
    <w:p>
      <w:pPr>
        <w:spacing w:after="0" w:line="72"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As of May 31, 2022, we had $348.8 million in cash, cash equivalents and investments. In July 2020, we closed our initial public offering (IPO) and issued 12,550,000 shares of our common stock (including the exercise by the underwriters of their option to purchase an additional 1,550,000 shares of common stock in August 2020) at a price to the public of $19.00 per share for net proceeds of $218.1 million, after deducting underwriting discounts and commissions of $16.7 million and expenses of $3.6 million. In March 2021, we completed a follow-on offering and issued 5,175,000 shares of our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 We expect that our existing cash, cash equivalents and investments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drug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spacing w:after="0" w:line="82" w:lineRule="exact"/>
        <w:rPr>
          <w:sz w:val="20"/>
          <w:szCs w:val="20"/>
          <w:color w:val="auto"/>
        </w:rPr>
      </w:pPr>
    </w:p>
    <w:p>
      <w:pPr>
        <w:ind w:firstLine="510"/>
        <w:spacing w:after="0" w:line="263" w:lineRule="auto"/>
        <w:rPr>
          <w:sz w:val="20"/>
          <w:szCs w:val="20"/>
          <w:color w:val="auto"/>
        </w:rPr>
      </w:pPr>
      <w:r>
        <w:rPr>
          <w:rFonts w:ascii="Times New Roman" w:cs="Times New Roman" w:eastAsia="Times New Roman" w:hAnsi="Times New Roman"/>
          <w:sz w:val="18"/>
          <w:szCs w:val="18"/>
          <w:color w:val="auto"/>
        </w:rPr>
        <w:t>We are subject to risks and uncertainties as a result of the current COVID-19 pandemic. The COVID-19 pandemic, including the resurgence of cases relating to the spread of new variants, is impacting worldwide economic activity and poses the risk that we or our employees, contractors, suppliers and other partners may be prevented from conducting business activities for an indefinite period of time, including due to shutdowns that may be requested or mandated by governmental authorities. While the impact of the COVID-19 pandemic to our current operations has been minimal as we have recently commenced clinical development of our four lead drug candidates, the extent to which the COVID-19 pandemic will impact our business, financial condition, liquidity and results of operations in the future will depend on future developments that are highly uncertain and cannot be predicted at this time.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Collaborations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Collaboration, Option and License Agreement</w:t>
      </w:r>
    </w:p>
    <w:p>
      <w:pPr>
        <w:spacing w:after="0" w:line="12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In June 2019, we entered into a global strategic collaboration agreement with Gilead, which was amended in August 2019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 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under certain conditions and subject to certain limitations.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84"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Upon signing the Gilead Agreement, Gilead paid us an upfront payment of $45.0 million plus $3.0 million in additional fees. In addition, from the signing of the Gilead Agreement to May 31, 2022, we received payments of $30.5 million for research milestones and additional payments. Additionally, we recognized a research milestone in May 2022 and anticipate a payment of $1.5 million in the third fiscal quarter of 2022. As of May 31, 2022, we are eligible to receive up to approximately $2.3 billion in total additional payments based on certain additional fees, payments and the successful completion of certain preclinical, clinical, development and sales milestones. In addition, we are eligible to receive tiered royalties from mid-single digit to low tens percentages on annual net sales from any commercial products directed to the optioned collaboration targets, subject to certain reductions and excluding sales in the United States of any products for which we exercise our option to co-develop and co-promote, for which we share profits and losses evenly.</w:t>
      </w:r>
    </w:p>
    <w:p>
      <w:pPr>
        <w:spacing w:after="0" w:line="81"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We recognized collaboration revenue from the Gilead Agreement of $6.1 million and $12.3 million during the three and six months ended May 31, 2022, respectively, and $3.7 million and $6.5 million during the three and six months ended May 31, 2021, respectively. As of May 31, 2022 and November 30, 2021, there was $34.8 million and $41.1 million, respectively, of deferred revenue related to payments received and to be received by us under the Gilead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Collaboration and License Agreement</w:t>
      </w:r>
    </w:p>
    <w:p>
      <w:pPr>
        <w:spacing w:after="0" w:line="121" w:lineRule="exact"/>
        <w:rPr>
          <w:sz w:val="20"/>
          <w:szCs w:val="20"/>
          <w:color w:val="auto"/>
        </w:rPr>
      </w:pPr>
    </w:p>
    <w:p>
      <w:pPr>
        <w:ind w:right="40" w:firstLine="514"/>
        <w:spacing w:after="0" w:line="256" w:lineRule="auto"/>
        <w:rPr>
          <w:sz w:val="20"/>
          <w:szCs w:val="20"/>
          <w:color w:val="auto"/>
        </w:rPr>
      </w:pPr>
      <w:r>
        <w:rPr>
          <w:rFonts w:ascii="Times New Roman" w:cs="Times New Roman" w:eastAsia="Times New Roman" w:hAnsi="Times New Roman"/>
          <w:sz w:val="18"/>
          <w:szCs w:val="18"/>
          <w:color w:val="auto"/>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In January 2021, as part of the existing collaboration, Sanofi paid us $22.0 million to exercise its option to expand the number of targets in the collaboration agreement from three to a total of five targets. Over time and subject to certain limitations, Sanofi may elect to replace the drug targets with other reserved targets. In January 2021, we entered into the First Sanofi Amendment to the collaboration agreement with Sanofi to modify the research term on all targets. In December 2021, we entered into the Second Sanofi Amendment to the collaboration agreement with Sanofi to extend the substitution deadline on certain targets. 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under certain conditions, subject to certain conditions and limitations.</w:t>
      </w:r>
    </w:p>
    <w:p>
      <w:pPr>
        <w:spacing w:after="0" w:line="82" w:lineRule="exact"/>
        <w:rPr>
          <w:sz w:val="20"/>
          <w:szCs w:val="20"/>
          <w:color w:val="auto"/>
        </w:rPr>
      </w:pPr>
    </w:p>
    <w:p>
      <w:pPr>
        <w:ind w:firstLine="514"/>
        <w:spacing w:after="0" w:line="255" w:lineRule="auto"/>
        <w:rPr>
          <w:sz w:val="20"/>
          <w:szCs w:val="20"/>
          <w:color w:val="auto"/>
        </w:rPr>
      </w:pPr>
      <w:r>
        <w:rPr>
          <w:rFonts w:ascii="Times New Roman" w:cs="Times New Roman" w:eastAsia="Times New Roman" w:hAnsi="Times New Roman"/>
          <w:sz w:val="18"/>
          <w:szCs w:val="18"/>
          <w:color w:val="auto"/>
        </w:rPr>
        <w:t>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May 31, 2022, we received payments of $3.0 million for research milestones. As of May 31, 2022, we are eligible to receive up to approximately $2.5 billion in total additional payments based on certain additional fees, payments and the successful completion of certain research development, regulatory and sales milestones, as well as tiered royalties ranging from mid-single digit to low teen percentages on annual net sales of any commercial products that may result from the collaboration, subject to certain reductions and excluding sales in the United States of any products for which we exercise our option to co-develop and co-promote, for which we share profits and losses evenly.</w:t>
      </w:r>
    </w:p>
    <w:p>
      <w:pPr>
        <w:spacing w:after="0" w:line="81"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We recognized collaboration revenue from the Sanofi Agreement of $5.3 million and $8.7 million during the three and six months ended May 31, 2022, respectively, and $3.3 million and $5.6 million during the three and six months ended May 31, 2021, respectively. As of May 31, 2022 and November 30, 2021, there was $52.4 million and $59.2 million, respectively, of deferred revenue related to payments received by us under the Sanofi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480" w:firstLine="510"/>
        <w:spacing w:after="0" w:line="282" w:lineRule="auto"/>
        <w:rPr>
          <w:sz w:val="20"/>
          <w:szCs w:val="20"/>
          <w:color w:val="auto"/>
        </w:rPr>
      </w:pPr>
      <w:r>
        <w:rPr>
          <w:rFonts w:ascii="Times New Roman" w:cs="Times New Roman" w:eastAsia="Times New Roman" w:hAnsi="Times New Roman"/>
          <w:sz w:val="18"/>
          <w:szCs w:val="18"/>
          <w:color w:val="auto"/>
        </w:rPr>
        <w:t>We have no products approved for commercial sale and to date have not generated any revenue from the sale of products and do not expect to generate any revenue from the sale of products in the near future.</w:t>
      </w:r>
    </w:p>
    <w:p>
      <w:pPr>
        <w:spacing w:after="0" w:line="54"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spacing w:after="0" w:line="79"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spacing w:after="0" w:line="68" w:lineRule="exact"/>
        <w:rPr>
          <w:sz w:val="20"/>
          <w:szCs w:val="20"/>
          <w:color w:val="auto"/>
        </w:rPr>
      </w:pPr>
    </w:p>
    <w:p>
      <w:pPr>
        <w:jc w:val="both"/>
        <w:ind w:right="340" w:firstLine="510"/>
        <w:spacing w:after="0" w:line="266" w:lineRule="auto"/>
        <w:rPr>
          <w:sz w:val="20"/>
          <w:szCs w:val="20"/>
          <w:color w:val="auto"/>
        </w:rPr>
      </w:pPr>
      <w:r>
        <w:rPr>
          <w:rFonts w:ascii="Times New Roman" w:cs="Times New Roman" w:eastAsia="Times New Roman" w:hAnsi="Times New Roman"/>
          <w:sz w:val="18"/>
          <w:szCs w:val="18"/>
          <w:color w:val="auto"/>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Internal research and development costs include:</w:t>
      </w:r>
    </w:p>
    <w:p>
      <w:pPr>
        <w:spacing w:after="0" w:line="117" w:lineRule="exact"/>
        <w:rPr>
          <w:sz w:val="20"/>
          <w:szCs w:val="20"/>
          <w:color w:val="auto"/>
        </w:rPr>
      </w:pPr>
    </w:p>
    <w:p>
      <w:pPr>
        <w:ind w:left="1000" w:right="620" w:hanging="493"/>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personnel expenses, including benefits, stock-based compensation and travel expenses, for our research and development functions;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research and development equipment, allocated overhead and facilities-related expenses.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External research and development expenses consist primarily of costs incurred for the development of our drug candidates and may include:</w:t>
      </w:r>
    </w:p>
    <w:p>
      <w:pPr>
        <w:spacing w:after="0" w:line="117" w:lineRule="exact"/>
        <w:rPr>
          <w:sz w:val="20"/>
          <w:szCs w:val="20"/>
          <w:color w:val="auto"/>
        </w:rPr>
      </w:pPr>
    </w:p>
    <w:p>
      <w:pPr>
        <w:ind w:left="1000" w:hanging="49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such as consultants, contractors and contract research organizations to conduct our clinical trials, discovery programs and preclinical studies;</w:t>
      </w:r>
    </w:p>
    <w:p>
      <w:pPr>
        <w:spacing w:after="0" w:line="53" w:lineRule="exact"/>
        <w:rPr>
          <w:rFonts w:ascii="Times New Roman" w:cs="Times New Roman" w:eastAsia="Times New Roman" w:hAnsi="Times New Roman"/>
          <w:sz w:val="18"/>
          <w:szCs w:val="18"/>
          <w:color w:val="auto"/>
        </w:rPr>
      </w:pPr>
    </w:p>
    <w:p>
      <w:pPr>
        <w:ind w:left="1000" w:right="540" w:hanging="49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acquire, develop and manufacture supplies for clinical trials and preclinical studies, including fees paid to third parties such as contract manufacturing organizations;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laboratory supplies and services.</w:t>
      </w:r>
    </w:p>
    <w:p>
      <w:pPr>
        <w:spacing w:after="0" w:line="144"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conduct clinical trials for our drug candidates, continue to invest in research and development activities for discovery programs and preclinical studies, pursue regulatory approval of our drug candidates and expand our drug candidate pipeline. The process of conducting the necessary preclinical and clinical research to obtain regulatory approval is costly and time-consuming. To the extent that our drug candidates advance to and continue to advance through clinical trials, our expenses will continue increasing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for the foreseeable future as we continue to improve our infrastructure, increase our headcount and operate as a public company. This may include expenses related to compliance with the rules and regulations of the Securities and Exchange Commission (SEC) and listing standards applicable to companies listed on a national securities exchange, additional insurance, investor relations activities and other administrative and professional services. We also expect our intellectual property expenses to increase as we expand our intellectual property portfolio.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ind w:firstLine="510"/>
        <w:spacing w:after="0" w:line="312" w:lineRule="auto"/>
        <w:rPr>
          <w:sz w:val="20"/>
          <w:szCs w:val="20"/>
          <w:color w:val="auto"/>
        </w:rPr>
      </w:pPr>
      <w:r>
        <w:rPr>
          <w:rFonts w:ascii="Times New Roman" w:cs="Times New Roman" w:eastAsia="Times New Roman" w:hAnsi="Times New Roman"/>
          <w:sz w:val="17"/>
          <w:szCs w:val="17"/>
          <w:color w:val="auto"/>
        </w:rPr>
        <w:t>Interest and other income, net primarily consists of interest earned on our cash, cash equivalents and investments. We expect interest income to vary each reporting period depending on our average bank deposit, money market fund, and investment balances during the period and market interest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The provision for income taxes primarily consists of reserves for unrecognized tax benefits and state taxes. The benefit for income taxes consists of a discrete tax benefit from an adjustment to the net operating loss (NOL) deferred tax asset and valuation allowance. We have generated NOLs since inception and have established a full valuation allowance against our deferred tax assets due to the uncertainty surrounding the realization of such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U.S. generally accepted accounting principles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other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1"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and more significant areas involving management’s judgments and estimates used in preparation of our financial statements are discussed in the section titled “Management’s Discussion and Analysis of Financial Condition and Results of Operations” in our 2021 Form 10-K. There have been no significant changes to these policies for the three and six months ended May 31,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policies—Recent accounting pronouncements” to our condensed consolidated financial statements included elsewhere in this Quarterly Report on Form 10-Q for more information.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May 31, 2022 and 2021</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results of operations for the three and six months ended May 31, 2022 and 2021 are summarized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6"/>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7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47,493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48,997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57,147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33,505</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63,038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(26,382</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(50,657)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collaboration revenue for the three and six months ended May 31, 2022 and 2021 is summarized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Gilead</w:t>
            </w: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12,307</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Sanofi</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21,053</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20" w:firstLine="510"/>
        <w:spacing w:after="0" w:line="281" w:lineRule="auto"/>
        <w:rPr>
          <w:sz w:val="20"/>
          <w:szCs w:val="20"/>
          <w:color w:val="auto"/>
        </w:rPr>
      </w:pPr>
      <w:r>
        <w:rPr>
          <w:rFonts w:ascii="Times New Roman" w:cs="Times New Roman" w:eastAsia="Times New Roman" w:hAnsi="Times New Roman"/>
          <w:sz w:val="17"/>
          <w:szCs w:val="17"/>
          <w:color w:val="auto"/>
        </w:rPr>
        <w:t>Our collaboration revenue increased by $4.3 million and $9.0 million during the three and six months ended May 31, 2022 compared to the three and six months ended May 31, 2021, respectively. The increases were primarily due to increased effort resulting in a higher percentage of completion of performance obligations under our collaborations with Gilead and Sanofi in the current period. The increases were also due to changes in transaction price that resulted in higher revenue recognized in each period and impacted the cumulative catch up in revenue for activities satisfied in previous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expenses for the three and six months ended May 31, 2022 and 2021 are summarized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related personnel costs</w:t>
            </w: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15,887</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31,694</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Supplies and contract research</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Preclinical activities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manufacturing</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Clinical costs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and other costs</w:t>
            </w: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47,493</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25,994</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90,630</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48,997</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400" w:firstLine="510"/>
        <w:spacing w:after="0" w:line="276" w:lineRule="auto"/>
        <w:rPr>
          <w:sz w:val="20"/>
          <w:szCs w:val="20"/>
          <w:color w:val="auto"/>
        </w:rPr>
      </w:pPr>
      <w:r>
        <w:rPr>
          <w:rFonts w:ascii="Times New Roman" w:cs="Times New Roman" w:eastAsia="Times New Roman" w:hAnsi="Times New Roman"/>
          <w:sz w:val="17"/>
          <w:szCs w:val="17"/>
          <w:color w:val="auto"/>
        </w:rPr>
        <w:t>Our research and development expenses increased by $21.5 million during the three months ended May 31, 2022 compared to the three months ended May 31, 2021. There was an increase in compensation and related personnel costs and in non-cash stock-based compensation expense of</w:t>
      </w:r>
    </w:p>
    <w:p>
      <w:pPr>
        <w:spacing w:after="0" w:line="1"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color w:val="auto"/>
        </w:rPr>
        <w:t>$7.2 million and $2.0 million, respectively, that were primarily attributable to higher headcount. The increase in non-cash stock-based compensation expense was also attributable to the issuance of restricted stock units (RSUs). There was also an increase in cost related to supplies and contract research and preclinical activities of $4.6 million as we continued to expand our preclinical development activities and drug discovery research, and an increase in contract manufacturing and clinical costs of $5.3 million primarily due to the ramping up of our clinical trial programs and ongoing patient enrollment.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increased by $41.6 million during the six months ended May 31, 2022 compared to the six months ended May 31, 2021. There was an increase in compensation and related personnel costs and in non-cash stock-based compensation expense of $14.8 million and $4.3 million, respectively, that were primarily attributable to higher headcount. The increase in non-cash stock-based compensation expense was also attributable to the issuance of RSUs. There was also an increase in cost related to supplies and contract research and preclinical activities of $9.6 million as we continued to expand our preclinical development activities and drug discovery research, and an increase in contract manufacturing and clinical costs of $8.9 million primarily due to the ramping up of our clinical trial programs and ongoing patient enrollment.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increased by $2.1 million during the three months ended May 31, 2022 compared to the three months ended May 31, 2021. There was an increase of $0.6 million in compensation and related expenses and an increase of $0.9 million in non-cash stock-based compensation expense, both of which were primarily attributable to higher headcount. There was also an increase of $0.6 million in professional service expenses, including legal and accounting expenses related to infrastructure improvements.</w:t>
      </w:r>
    </w:p>
    <w:p>
      <w:pPr>
        <w:spacing w:after="0" w:line="72" w:lineRule="exact"/>
        <w:rPr>
          <w:sz w:val="20"/>
          <w:szCs w:val="20"/>
          <w:color w:val="auto"/>
        </w:rPr>
      </w:pPr>
    </w:p>
    <w:p>
      <w:pPr>
        <w:ind w:right="260" w:firstLine="510"/>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increased by $4.8 million during the six months ended May 31, 2022 compared to the six months ended May 31, 2021. There was an increase of $1.0 million in compensation related expenses and an increase of $1.9 million in non-cash stock-based compensation expense, both of which were primarily attributable to higher headcount. There was also an increase of $1.7 million in professional service expenses, including legal and accounting expenses related to infrastructure improvements.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On July 23, 2020, our registration statement on Form S-1 (File No. 333-239651) relating to our IPO of common stock became effective. The IPO closed on July 28, 2020, at which time we issued 11,000,000 shares of our common stock at a price to the public of $19.00 per share. In addition, the underwriters exercised their option to purchase an additional 1,550,000 shares of our common stock on July 31, 2020, and this transaction closed on August 4, 2020. Net proceeds from the IPO were $218.1 million, after deducting underwriting discounts and commissions of $16.7 million and expenses of</w:t>
      </w:r>
    </w:p>
    <w:p>
      <w:pPr>
        <w:spacing w:after="0" w:line="3"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color w:val="auto"/>
        </w:rPr>
        <w:t>$3.6 million. In March 2021, we completed a follow-on offering and issued 5,175,000 shares of our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spacing w:after="0" w:line="78"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As of May 31, 2022, our operations have primarily been funded through the net proceeds from equity offerings of $536.4 million and proceeds from collaborations of $308.5 million. We do not have any products approved for sale, and we have not generated any revenue from product sales. As of May 31, 2022, we had $348.8 million in cash, cash equivalents and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00" w:firstLine="510"/>
        <w:spacing w:after="0" w:line="219" w:lineRule="exact"/>
        <w:rPr>
          <w:sz w:val="20"/>
          <w:szCs w:val="20"/>
          <w:color w:val="auto"/>
        </w:rPr>
      </w:pPr>
      <w:r>
        <w:rPr>
          <w:rFonts w:ascii="Times New Roman" w:cs="Times New Roman" w:eastAsia="Times New Roman" w:hAnsi="Times New Roman"/>
          <w:sz w:val="18"/>
          <w:szCs w:val="18"/>
          <w:color w:val="auto"/>
        </w:rPr>
        <w:t>We expect that our existing cash, cash equivalents and investments are sufficient to meet our cash requirements and continue operating activities, including the clinical trials of our drug candidates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1607,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and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and the expansion of our intellectual property portfolio and infrastructure,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have a shelf registration statement on Form S-3 on file with the SEC. This shelf registration statement, which includes a base prospectus, allows us at any time to offer and sell registered common stock, preferred stock, debt securities, warrants, subscriptions rights and units or any combination of such securities described in the prospectus in one or more offerings. In addition, in August 2021, we entered into an Equity Distribution Agreement with Piper Sandler &amp; Co. (Piper Sandler) pursuant to which, from time to time, we may offer and sell through Piper Sandler up to $150.0 million of the common stock registered under the shelf registration statement pursuant to one or more “at the market” offerings. We are not required to sell any shares at any time during the term of the Equity Distribution Agreement. We agreed to pay Piper Sandler a commission of 3% of the gross sales price of any shares sold pursuant to the Equity Distribution Agreement. As of May 31, 2022, we had not sold any shares of common stock pursuant to the Equity Distribution Agreement and $150.0 million in shares remained available under the Equity Distribution Agreement. In June 2022, we issued and sold 2,000,000 shares of common stock under the Equity Distribution Agreement for net proceeds of approximately $19.3 million after deducting offering commissions and expenses paid by us (the June 2022 ATM Offering). As of the closing of the June 2022 ATM Offering, we had $130.0 million of common stock remaining available for sale under the Equity Distribution Agreement.</w:t>
      </w:r>
    </w:p>
    <w:p>
      <w:pPr>
        <w:spacing w:after="0" w:line="84" w:lineRule="exact"/>
        <w:rPr>
          <w:sz w:val="20"/>
          <w:szCs w:val="20"/>
          <w:color w:val="auto"/>
        </w:rPr>
      </w:pPr>
    </w:p>
    <w:p>
      <w:pPr>
        <w:ind w:right="300" w:firstLine="510"/>
        <w:spacing w:after="0" w:line="256" w:lineRule="auto"/>
        <w:rPr>
          <w:sz w:val="20"/>
          <w:szCs w:val="20"/>
          <w:color w:val="auto"/>
        </w:rPr>
      </w:pPr>
      <w:r>
        <w:rPr>
          <w:rFonts w:ascii="Times New Roman" w:cs="Times New Roman" w:eastAsia="Times New Roman" w:hAnsi="Times New Roman"/>
          <w:sz w:val="18"/>
          <w:szCs w:val="18"/>
          <w:color w:val="auto"/>
        </w:rPr>
        <w:t>Unless otherwise specified in a prospectus supplement accompanying the base prospectus, we intend to use the net proceeds from the sale of any securities offered pursuant to the shelf registration statement for general corporate purposes, which may include funding research, clinical and process development, increasing our working capital, reducing indebtedness, acquisitions or investments in businesses, products or technologies that are complementary to our own and capital expenditures. Pending such uses, we may invest the net proceeds in marketable securities that may include investment-grade interest-bearing securities, money market accounts, certificates of deposit, commercial paper and guaranteed obligations of the U.S. government.</w:t>
      </w:r>
    </w:p>
    <w:p>
      <w:pPr>
        <w:spacing w:after="0" w:line="79" w:lineRule="exact"/>
        <w:rPr>
          <w:sz w:val="20"/>
          <w:szCs w:val="20"/>
          <w:color w:val="auto"/>
        </w:rPr>
      </w:pPr>
    </w:p>
    <w:p>
      <w:pPr>
        <w:ind w:right="680" w:firstLine="510"/>
        <w:spacing w:after="0" w:line="282" w:lineRule="auto"/>
        <w:rPr>
          <w:sz w:val="20"/>
          <w:szCs w:val="20"/>
          <w:color w:val="auto"/>
        </w:rPr>
      </w:pPr>
      <w:r>
        <w:rPr>
          <w:rFonts w:ascii="Times New Roman" w:cs="Times New Roman" w:eastAsia="Times New Roman" w:hAnsi="Times New Roman"/>
          <w:sz w:val="18"/>
          <w:szCs w:val="18"/>
          <w:color w:val="auto"/>
        </w:rPr>
        <w:t>In the long term, our ability to support our working capital and capital expenditure requirements will depend on many factors, including the following:</w:t>
      </w:r>
    </w:p>
    <w:p>
      <w:pPr>
        <w:spacing w:after="0" w:line="54" w:lineRule="exact"/>
        <w:rPr>
          <w:sz w:val="20"/>
          <w:szCs w:val="20"/>
          <w:color w:val="auto"/>
        </w:rPr>
      </w:pPr>
    </w:p>
    <w:p>
      <w:pPr>
        <w:ind w:left="1000" w:right="180" w:hanging="493"/>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Phase 1 clinical trials for our lead drug candidates NX-2127, NX-1607, NX-5948 and DeTIL-0255, and any future clinical development of such drug candidates;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preclinical and clinical development for our other drug candidates and development programs;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drug candidates that we pursue;</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advancements to our DELigase platform;</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Sanofi, Gilead and any other collaborations we may establish;</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144" w:lineRule="exact"/>
        <w:rPr>
          <w:rFonts w:ascii="Times New Roman" w:cs="Times New Roman" w:eastAsia="Times New Roman" w:hAnsi="Times New Roman"/>
          <w:sz w:val="18"/>
          <w:szCs w:val="18"/>
          <w:color w:val="auto"/>
        </w:rPr>
      </w:pPr>
    </w:p>
    <w:p>
      <w:pPr>
        <w:ind w:left="1000" w:right="80" w:hanging="493"/>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drug candidates for which we receive marketing approval;</w:t>
      </w:r>
    </w:p>
    <w:p>
      <w:pPr>
        <w:spacing w:after="0" w:line="144" w:lineRule="exact"/>
        <w:rPr>
          <w:rFonts w:ascii="Times New Roman" w:cs="Times New Roman" w:eastAsia="Times New Roman" w:hAnsi="Times New Roman"/>
          <w:sz w:val="18"/>
          <w:szCs w:val="18"/>
          <w:color w:val="auto"/>
        </w:rPr>
      </w:pPr>
    </w:p>
    <w:p>
      <w:pPr>
        <w:ind w:left="1000" w:right="280" w:hanging="493"/>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1000" w:right="100" w:hanging="493"/>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54"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If adequate funds are not available at favorable terms, we may be required to reduce operating expenses, delay or reduce the scope of our product development and commercial expansion programs,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May 31, 2022, our material cash requirements include the following contractual and other obligations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55"/>
        </w:trPr>
        <w:tc>
          <w:tcPr>
            <w:tcW w:w="5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Less than 1 year</w:t>
            </w:r>
          </w:p>
        </w:tc>
        <w:tc>
          <w:tcPr>
            <w:tcW w:w="160" w:type="dxa"/>
            <w:vAlign w:val="bottom"/>
          </w:tcPr>
          <w:p>
            <w:pPr>
              <w:spacing w:after="0"/>
              <w:rPr>
                <w:sz w:val="13"/>
                <w:szCs w:val="13"/>
                <w:color w:val="auto"/>
              </w:rPr>
            </w:pPr>
          </w:p>
        </w:tc>
        <w:tc>
          <w:tcPr>
            <w:tcW w:w="1020" w:type="dxa"/>
            <w:vAlign w:val="bottom"/>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1 to 3 years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3 to 5 years</w:t>
            </w:r>
          </w:p>
        </w:tc>
        <w:tc>
          <w:tcPr>
            <w:tcW w:w="11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More than 5 years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23,941</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49,457</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23,941</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 These payments are not included in the table above.</w:t>
      </w:r>
    </w:p>
    <w:p>
      <w:pPr>
        <w:spacing w:after="0" w:line="68" w:lineRule="exact"/>
        <w:rPr>
          <w:sz w:val="20"/>
          <w:szCs w:val="20"/>
          <w:color w:val="auto"/>
        </w:rPr>
      </w:pPr>
    </w:p>
    <w:p>
      <w:pPr>
        <w:ind w:right="380" w:firstLine="510"/>
        <w:spacing w:after="0" w:line="289"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cash flows for the six months ended May 31, 2022 and 2021 are summarized as follows (in thousands):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4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 May 31,</w:t>
            </w:r>
          </w:p>
        </w:tc>
      </w:tr>
      <w:tr>
        <w:trPr>
          <w:trHeight w:val="223"/>
        </w:trPr>
        <w:tc>
          <w:tcPr>
            <w:tcW w:w="69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(75,544)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(23,482)</w:t>
            </w:r>
          </w:p>
        </w:tc>
        <w:tc>
          <w:tcPr>
            <w:tcW w:w="100" w:type="dxa"/>
            <w:vAlign w:val="bottom"/>
            <w:shd w:val="clear" w:color="auto" w:fill="CFF0FC"/>
          </w:tcPr>
          <w:p>
            <w:pPr>
              <w:spacing w:after="0"/>
              <w:rPr>
                <w:sz w:val="19"/>
                <w:szCs w:val="19"/>
                <w:color w:val="auto"/>
              </w:rPr>
            </w:pPr>
          </w:p>
        </w:tc>
      </w:tr>
      <w:tr>
        <w:trPr>
          <w:trHeight w:val="22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(59,497)</w:t>
            </w:r>
          </w:p>
        </w:tc>
      </w:tr>
      <w:tr>
        <w:trPr>
          <w:trHeight w:val="23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151,830</w:t>
            </w:r>
          </w:p>
        </w:tc>
        <w:tc>
          <w:tcPr>
            <w:tcW w:w="100" w:type="dxa"/>
            <w:vAlign w:val="bottom"/>
            <w:shd w:val="clear" w:color="auto" w:fill="CFF0FC"/>
          </w:tcPr>
          <w:p>
            <w:pPr>
              <w:spacing w:after="0"/>
              <w:rPr>
                <w:sz w:val="19"/>
                <w:szCs w:val="19"/>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68,851</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$75.5 million for the six months ended May 31, 2022 and consisted of a net loss of $87.9 million and an increase in net assets of $6.5 million, offset by non-cash adjustments of $18.9 million. The increase in net assets consisted of a decrease in deferred revenue of $13.1 million as we increased effort in our programs and recognized revenue, a decrease in operating lease liabilities of $2.5 million and an increase in prepaid expenses and other assets of $1.5 million primarily related to increased prepaid clinical and contract manufacturing costs and software license costs, offset by a decrease in accounts receivable of $6.0 million related to payments received under the Gilead Agreement, an increase in accrued expenses and other liabilities of $2.8 million primarily related to equipment purchases and the accrual of annual incentive compensation and an increase in accounts payable of $1.7 million. Non-cash adjustments primarily consisted of stock-based compensation expenses of $12.8 million, amortization of operating lease right-of-use assets of $2.6 million and depreciation and amortization expenses of $2.3 million.</w:t>
      </w:r>
    </w:p>
    <w:p>
      <w:pPr>
        <w:spacing w:after="0" w:line="84"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$23.5 million for the six months ended May 31, 2021 and consisted of our net loss of $50.7 million, offset by a decrease in net assets of $17.1 million and non-cash adjustments of $10.1 million. The decrease in net assets consisted primarily of an increase in deferred revenue of $19.9 million and an increase in accounts receivable of $2.5 million. Non-cash adjustments primarily consisted of stock-based compensation expenses of $6.6 million, amortization of operating lease right-of-use assets of $1.6 million and depreciation and amortization expenses of $1.3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$35.3 million for the six months ended May 31, 2022 and consisted of the maturity of investments of $121.6 million, offset by the purchase of investments of $80.0 million and the purchase of property and equipment of $6.3 million.</w:t>
      </w:r>
    </w:p>
    <w:p>
      <w:pPr>
        <w:spacing w:after="0" w:line="54" w:lineRule="exact"/>
        <w:rPr>
          <w:sz w:val="20"/>
          <w:szCs w:val="20"/>
          <w:color w:val="auto"/>
        </w:rPr>
      </w:pPr>
    </w:p>
    <w:p>
      <w:pPr>
        <w:ind w:right="840" w:firstLine="51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$59.5 million for the six months ended May 31, 2021 and consisted primarily of the purchase of investments of $183.2 million, partially offset by the sale of investments of $7.0 million and the maturity of investments of $119.7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$1.9 million for the six months ended May 31, 2022 and consisted primarily of proceeds from the issuance of common stock under our Employee Stock Purchase Plan.</w:t>
      </w:r>
    </w:p>
    <w:p>
      <w:pPr>
        <w:spacing w:after="0" w:line="54"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$151.8 million for the six months ended May 31, 2021 and consisted primarily of proceeds from the issuance of common stock from our follow-on offering in March 2021.</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Our market risks, as of May 31, 2022, have not changed materially from those discussed in “Item 7A. Quantitative and Qualitative Disclosures About Market Risk” of our Annual Report on Form 10-K for the year ended November 30, 2021, filed with the SEC on January 28, 2022. As a “smaller reporting company” we are no longer required to provide the information required under this Item.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May 31, 2022.</w:t>
      </w:r>
    </w:p>
    <w:p>
      <w:pPr>
        <w:spacing w:after="0" w:line="68"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President and Chief Executive Officer and our Chief Financial Officer, to allow timely decisions regarding required disclosure. Based on the evaluation of our disclosure controls and procedures, our President and Chief Executive Officer and our Chief Financial Officer concluded that our disclosure controls and procedures were not effective as of May 31, 2022 due to the material weakness in our internal control over financial reporting described below.</w:t>
      </w:r>
    </w:p>
    <w:p>
      <w:pPr>
        <w:spacing w:after="0" w:line="8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In light of this fact, our management has performed additional analyses, reconciliations, and other post-closing procedures and has concluded that, notwithstanding the material weakness in our internal control over financial reporting, the condensed consolidated financial statements for the periods covered by and included in this Quarterly Report on Form 10-Q fairly present, in all material respects, our financial position, results of operations and cash flows as of and for the periods presented in conformity with U.S.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Reported Material Weakness in Internal Control over Financial Reporting</w:t>
      </w:r>
    </w:p>
    <w:p>
      <w:pPr>
        <w:spacing w:after="0" w:line="121" w:lineRule="exact"/>
        <w:rPr>
          <w:sz w:val="20"/>
          <w:szCs w:val="20"/>
          <w:color w:val="auto"/>
        </w:rPr>
      </w:pPr>
    </w:p>
    <w:p>
      <w:pPr>
        <w:ind w:right="500" w:firstLine="510"/>
        <w:spacing w:after="0" w:line="282" w:lineRule="auto"/>
        <w:rPr>
          <w:sz w:val="20"/>
          <w:szCs w:val="20"/>
          <w:color w:val="auto"/>
        </w:rPr>
      </w:pPr>
      <w:r>
        <w:rPr>
          <w:rFonts w:ascii="Times New Roman" w:cs="Times New Roman" w:eastAsia="Times New Roman" w:hAnsi="Times New Roman"/>
          <w:sz w:val="18"/>
          <w:szCs w:val="18"/>
          <w:color w:val="auto"/>
        </w:rPr>
        <w:t>We have previously identified in our Annual Report on Form 10-K filed on January 28, 2022 the following control deficiencies that constitute material weaknesses in our internal control over financial reporting:</w:t>
      </w:r>
    </w:p>
    <w:p>
      <w:pPr>
        <w:spacing w:after="0" w:line="54" w:lineRule="exact"/>
        <w:rPr>
          <w:sz w:val="20"/>
          <w:szCs w:val="20"/>
          <w:color w:val="auto"/>
        </w:rPr>
      </w:pPr>
    </w:p>
    <w:p>
      <w:pPr>
        <w:ind w:left="1000" w:hanging="493"/>
        <w:spacing w:after="0" w:line="253"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certain information technology (IT) general controls for IT systems that are relevant to the preparation of the financial statements. Specifically, we did not design and maintain: (a) user access controls to ensure appropriate segregation of duties and that adequately restrict user and privileged access to financial applications, programs, and data to appropriate personnel, and (b) program change management controls to ensure that IT program and data changes affecting financial IT applications and underlying accounting records are identified, tested, authorized and implemented appropriately. These IT deficiencies did not result in any misstatements to the financial statements; however, the deficiencies, when aggregated, could impact our ability to maintain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result in a material misstatement to the annual or interim financial statements that would not be prevented or detected. Accordingly, management has determined that these deficiencies in the aggregate constitute a material weakness.</w:t>
      </w:r>
    </w:p>
    <w:p>
      <w:pPr>
        <w:spacing w:after="0" w:line="83" w:lineRule="exact"/>
        <w:rPr>
          <w:rFonts w:ascii="Times New Roman" w:cs="Times New Roman" w:eastAsia="Times New Roman" w:hAnsi="Times New Roman"/>
          <w:sz w:val="18"/>
          <w:szCs w:val="18"/>
          <w:color w:val="auto"/>
        </w:rPr>
      </w:pPr>
    </w:p>
    <w:p>
      <w:pPr>
        <w:ind w:left="1000" w:right="60" w:hanging="493"/>
        <w:spacing w:after="0" w:line="261"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segregation of duty controls over the review and approval of account reconciliations and manual journal entries. This material weakness did not result in any misstatements to the financial statements; however, the deficiency could result in a misstatement of substantially all of our account balances or disclosures that would result in a material misstatement to the annual or interim financial statements that would not be prevented or detected.</w:t>
      </w:r>
    </w:p>
    <w:p>
      <w:pPr>
        <w:spacing w:after="0" w:line="72"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These material weaknesses could result in a misstatement of substantially all of our account balances or disclosures that would result in a material misstatement to the annual or interim financial statements that would not be prevented or detected.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w:t>
      </w:r>
    </w:p>
    <w:p>
      <w:pPr>
        <w:spacing w:after="0" w:line="121"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To address our material weaknesses, we have implemented and continue to implement new IT controls. We intend to continue to take steps to remediate the material weaknesses through formalizing documentation of IT policies and procedures and ensuring the ongoing operating effectiveness of the newly implemented IT controls to support effective IT dependent controls and our ability to maintain segregation of duties for our accounting staff in relation to account reconciliations and manual journal entries.</w:t>
      </w:r>
    </w:p>
    <w:p>
      <w:pPr>
        <w:spacing w:after="0" w:line="72"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While we believe that these efforts will improve our internal control over financial reporting, the design and implementation of our remediation is ongoing and will require validation and testing of the design and operating effectiveness of our internal controls over a sustained period of financial reporting cycles. The actions that we are taking are subject to ongoing senior management review, as well as audit committee oversight. We will not be able to conclude whether the steps we are taking will fully remediate the material weaknesses in our internal control over financial reporting until we have completed our remediation efforts and subsequent evaluation of their effectiveness.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60" w:firstLine="510"/>
        <w:spacing w:after="0" w:line="261" w:lineRule="auto"/>
        <w:rPr>
          <w:sz w:val="20"/>
          <w:szCs w:val="20"/>
          <w:color w:val="auto"/>
        </w:rPr>
      </w:pPr>
      <w:r>
        <w:rPr>
          <w:rFonts w:ascii="Times New Roman" w:cs="Times New Roman" w:eastAsia="Times New Roman" w:hAnsi="Times New Roman"/>
          <w:sz w:val="18"/>
          <w:szCs w:val="18"/>
          <w:color w:val="auto"/>
        </w:rPr>
        <w:t>As described under the Remediation Plan above, we continued formalizing documentation of our IT policies and procedures and implementing new controls during the three months ended May 31, 2022. Such remediation actions were changes in our internal control over financial reporting identified in connection with the evaluation required by Rule 13a-15(d) and 15d-15(d) of the Exchange Act that occurred during the three months ended May 31, 2022 that have materially affected, or are reasonably likely to materially affect, our internal control over financial reporting.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or condensed consolidated financial statements. Regardless of outcome, litigation can have an adverse impact on us due to defense and settlement costs, diversion of management resources, negative publicity and reputational harm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46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and uncertainties described below, together with all of the other information contained in this Quarterly Report on Form 10-Q, including our condensed consolidated financial statements and related notes and the section titled “Management’s Discussion and Analysis of Financial Condition and Results of Operations.” We cannot assure you that any of the events discussed below will not occur.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If that were to happen, the trading price of our common stock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at-length below. These risks include, among others, the following:</w:t>
      </w:r>
    </w:p>
    <w:p>
      <w:pPr>
        <w:spacing w:after="0" w:line="54" w:lineRule="exact"/>
        <w:rPr>
          <w:sz w:val="20"/>
          <w:szCs w:val="20"/>
          <w:color w:val="auto"/>
        </w:rPr>
      </w:pPr>
    </w:p>
    <w:p>
      <w:pPr>
        <w:ind w:left="1000" w:right="120" w:hanging="493"/>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at least the next several years and may never achieve or maintain profitability.</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 profitable.</w:t>
      </w:r>
    </w:p>
    <w:p>
      <w:pPr>
        <w:spacing w:after="0" w:line="117" w:lineRule="exact"/>
        <w:rPr>
          <w:rFonts w:ascii="Times New Roman" w:cs="Times New Roman" w:eastAsia="Times New Roman" w:hAnsi="Times New Roman"/>
          <w:sz w:val="18"/>
          <w:szCs w:val="18"/>
          <w:color w:val="auto"/>
        </w:rPr>
      </w:pPr>
    </w:p>
    <w:p>
      <w:pPr>
        <w:ind w:left="1000" w:right="440" w:hanging="493"/>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53" w:lineRule="exact"/>
        <w:rPr>
          <w:rFonts w:ascii="Times New Roman" w:cs="Times New Roman" w:eastAsia="Times New Roman" w:hAnsi="Times New Roman"/>
          <w:sz w:val="18"/>
          <w:szCs w:val="18"/>
          <w:color w:val="auto"/>
        </w:rPr>
      </w:pPr>
    </w:p>
    <w:p>
      <w:pPr>
        <w:ind w:left="1000" w:right="120" w:hanging="493"/>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Our lead drug candidates, NX-2127, NX-1607, NX-5948 and DeTIL-0255 recently entered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6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1000" w:right="60" w:hanging="493"/>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53" w:lineRule="exact"/>
        <w:rPr>
          <w:rFonts w:ascii="Times New Roman" w:cs="Times New Roman" w:eastAsia="Times New Roman" w:hAnsi="Times New Roman"/>
          <w:sz w:val="18"/>
          <w:szCs w:val="18"/>
          <w:color w:val="auto"/>
        </w:rPr>
      </w:pPr>
    </w:p>
    <w:p>
      <w:pPr>
        <w:ind w:left="1000" w:right="60" w:hanging="493"/>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early-stage clinical trials may not be predictive of future results. Initial success in clinical trials may not be indicative of results obtained when these trials are completed or in later-stage trials.</w:t>
      </w:r>
    </w:p>
    <w:p>
      <w:pPr>
        <w:spacing w:after="0" w:line="53" w:lineRule="exact"/>
        <w:rPr>
          <w:rFonts w:ascii="Times New Roman" w:cs="Times New Roman" w:eastAsia="Times New Roman" w:hAnsi="Times New Roman"/>
          <w:sz w:val="18"/>
          <w:szCs w:val="18"/>
          <w:color w:val="auto"/>
        </w:rPr>
      </w:pPr>
    </w:p>
    <w:p>
      <w:pPr>
        <w:jc w:val="both"/>
        <w:ind w:left="1000" w:right="20" w:hanging="493"/>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67" w:lineRule="exact"/>
        <w:rPr>
          <w:rFonts w:ascii="Times New Roman" w:cs="Times New Roman" w:eastAsia="Times New Roman" w:hAnsi="Times New Roman"/>
          <w:sz w:val="18"/>
          <w:szCs w:val="18"/>
          <w:color w:val="auto"/>
        </w:rPr>
      </w:pPr>
    </w:p>
    <w:p>
      <w:pPr>
        <w:ind w:left="1000" w:right="80" w:hanging="493"/>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w:t>
      </w:r>
    </w:p>
    <w:p>
      <w:pPr>
        <w:spacing w:after="0" w:line="67" w:lineRule="exact"/>
        <w:rPr>
          <w:rFonts w:ascii="Times New Roman" w:cs="Times New Roman" w:eastAsia="Times New Roman" w:hAnsi="Times New Roman"/>
          <w:sz w:val="18"/>
          <w:szCs w:val="18"/>
          <w:color w:val="auto"/>
        </w:rPr>
      </w:pPr>
    </w:p>
    <w:p>
      <w:pPr>
        <w:ind w:left="1000" w:right="420" w:hanging="493"/>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in an environment of rapid technological change, which may result in others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1000" w:right="220" w:hanging="493"/>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33" w:name="page34"/>
    <w:bookmarkEnd w:id="33"/>
    <w:p>
      <w:pPr>
        <w:ind w:left="1000" w:right="40" w:hanging="493"/>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jc w:val="both"/>
        <w:ind w:left="1000" w:right="100" w:hanging="493"/>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technology,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71"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may adversely affect our business and the market price of our common stock.</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could adversely affect our business, financial condition, stock price and results of operations.</w:t>
      </w:r>
    </w:p>
    <w:p>
      <w:pPr>
        <w:spacing w:after="0" w:line="117" w:lineRule="exact"/>
        <w:rPr>
          <w:rFonts w:ascii="Times New Roman" w:cs="Times New Roman" w:eastAsia="Times New Roman" w:hAnsi="Times New Roman"/>
          <w:sz w:val="18"/>
          <w:szCs w:val="18"/>
          <w:color w:val="auto"/>
        </w:rPr>
      </w:pPr>
    </w:p>
    <w:p>
      <w:pPr>
        <w:ind w:left="1000" w:right="28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at least the next several years and may never achieve or maintain profitability.</w:t>
      </w:r>
    </w:p>
    <w:p>
      <w:pPr>
        <w:spacing w:after="0" w:line="51" w:lineRule="exact"/>
        <w:rPr>
          <w:sz w:val="20"/>
          <w:szCs w:val="20"/>
          <w:color w:val="auto"/>
        </w:rPr>
      </w:pPr>
    </w:p>
    <w:p>
      <w:pPr>
        <w:ind w:firstLine="510"/>
        <w:spacing w:after="0" w:line="219" w:lineRule="exact"/>
        <w:rPr>
          <w:sz w:val="20"/>
          <w:szCs w:val="20"/>
          <w:color w:val="auto"/>
        </w:rPr>
      </w:pPr>
      <w:r>
        <w:rPr>
          <w:rFonts w:ascii="Times New Roman" w:cs="Times New Roman" w:eastAsia="Times New Roman" w:hAnsi="Times New Roman"/>
          <w:sz w:val="18"/>
          <w:szCs w:val="18"/>
          <w:color w:val="auto"/>
        </w:rPr>
        <w:t>Our net loss was $117.2 million for the fiscal year ended November 30, 2021, and $87.9 million for the six months ended May 31, 2022. As of May 31, 2022, we had an accumulated deficit of $308.8 million. To date, we have not generated any revenue from product sales and have financed our operations primarily through our collaborations and sales of our equity interests. We are in the early stages of development of our drug candidates. Our lead drug candidates, NX-2127, NX-1607, NX-5948 and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recently entered clinical development. We expect to continue to incur significant expenses and increasing operating losses for at least the next several years. We anticipate that our operating expenses and capital expenditure requirements will increase substantially if and as we:</w:t>
      </w:r>
    </w:p>
    <w:p>
      <w:pPr>
        <w:spacing w:after="0" w:line="95" w:lineRule="exact"/>
        <w:rPr>
          <w:sz w:val="20"/>
          <w:szCs w:val="20"/>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enrollment in our Phase 1 clinical trials of our drug candidates NX-2127, NX-1607, NX-5948 and DeTIL-0255;</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investigational new drug applications (INDs) and initiate clinical trials of our other drug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advanced clinical development and scale up external manufacturing capabilities to supply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capabilities of our DELigase platform and apply our DELigase platform to advance additional drug candidates into preclinical and clinical development;</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process development for manufacturing of our DeTIL cell therapy products;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drug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00" w:right="160" w:hanging="493"/>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and scale up external manufacturing capabilities to commercialize any products for which we may obtain marketing approval;</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maintain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manufacturing, quality assurance and scientific personnel; and</w:t>
      </w:r>
    </w:p>
    <w:p>
      <w:pPr>
        <w:spacing w:after="0" w:line="117"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to support our research, product development and future commercialization efforts and support our operations as a public company.</w:t>
      </w:r>
    </w:p>
    <w:p>
      <w:pPr>
        <w:spacing w:after="0" w:line="54" w:lineRule="exact"/>
        <w:rPr>
          <w:sz w:val="20"/>
          <w:szCs w:val="20"/>
          <w:color w:val="auto"/>
        </w:rPr>
      </w:pPr>
    </w:p>
    <w:p>
      <w:pPr>
        <w:jc w:val="both"/>
        <w:ind w:right="160" w:firstLine="510"/>
        <w:spacing w:after="0" w:line="266" w:lineRule="auto"/>
        <w:rPr>
          <w:sz w:val="20"/>
          <w:szCs w:val="20"/>
          <w:color w:val="auto"/>
        </w:rPr>
      </w:pPr>
      <w:r>
        <w:rPr>
          <w:rFonts w:ascii="Times New Roman" w:cs="Times New Roman" w:eastAsia="Times New Roman" w:hAnsi="Times New Roman"/>
          <w:sz w:val="18"/>
          <w:szCs w:val="18"/>
          <w:color w:val="auto"/>
        </w:rPr>
        <w:t>Our expenses could increase beyond our expectations if we are required by the FDA, the European 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4" w:name="page35"/>
    <w:bookmarkEnd w:id="34"/>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w:t>
      </w:r>
    </w:p>
    <w:p>
      <w:pPr>
        <w:spacing w:after="0" w:line="121"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We recently commenced clinical development of our drug candidates NX-2127, NX-1607, NX-5948 and DeTIL-0255.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 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w:t>
      </w:r>
    </w:p>
    <w:p>
      <w:pPr>
        <w:spacing w:after="0" w:line="81" w:lineRule="exact"/>
        <w:rPr>
          <w:sz w:val="20"/>
          <w:szCs w:val="20"/>
          <w:color w:val="auto"/>
        </w:rPr>
      </w:pPr>
    </w:p>
    <w:p>
      <w:pPr>
        <w:jc w:val="both"/>
        <w:ind w:right="400" w:firstLine="510"/>
        <w:spacing w:after="0" w:line="266" w:lineRule="auto"/>
        <w:rPr>
          <w:sz w:val="20"/>
          <w:szCs w:val="20"/>
          <w:color w:val="auto"/>
        </w:rPr>
      </w:pPr>
      <w:r>
        <w:rPr>
          <w:rFonts w:ascii="Times New Roman" w:cs="Times New Roman" w:eastAsia="Times New Roman" w:hAnsi="Times New Roman"/>
          <w:sz w:val="18"/>
          <w:szCs w:val="18"/>
          <w:color w:val="auto"/>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conduct our Phase 1 clinical trials of NX-2127, NX-1607, NX-5948 and DeTIL-0255, grow our pipeline of drug candidates, expand the breadth of our DELigase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w:t>
      </w:r>
    </w:p>
    <w:p>
      <w:pPr>
        <w:spacing w:after="0" w:line="84" w:lineRule="exact"/>
        <w:rPr>
          <w:sz w:val="20"/>
          <w:szCs w:val="20"/>
          <w:color w:val="auto"/>
        </w:rPr>
      </w:pPr>
    </w:p>
    <w:p>
      <w:pPr>
        <w:ind w:right="180" w:firstLine="510"/>
        <w:spacing w:after="0" w:line="256" w:lineRule="auto"/>
        <w:rPr>
          <w:sz w:val="20"/>
          <w:szCs w:val="20"/>
          <w:color w:val="auto"/>
        </w:rPr>
      </w:pPr>
      <w:r>
        <w:rPr>
          <w:rFonts w:ascii="Times New Roman" w:cs="Times New Roman" w:eastAsia="Times New Roman" w:hAnsi="Times New Roman"/>
          <w:sz w:val="18"/>
          <w:szCs w:val="18"/>
          <w:color w:val="auto"/>
        </w:rPr>
        <w:t>We had cash, cash equivalents and investments of $348.8 million as of May 31, 2022. We believe that our existing cash, cash equivalents and investments,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w:t>
      </w:r>
    </w:p>
    <w:p>
      <w:pPr>
        <w:spacing w:after="0" w:line="51" w:lineRule="exact"/>
        <w:rPr>
          <w:sz w:val="20"/>
          <w:szCs w:val="20"/>
          <w:color w:val="auto"/>
        </w:rPr>
      </w:pPr>
    </w:p>
    <w:p>
      <w:pPr>
        <w:ind w:left="1000" w:right="840" w:hanging="493"/>
        <w:spacing w:after="0" w:line="239" w:lineRule="exact"/>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Phase 1 clinical trials for NX-2127, NX-1607, NX-5948,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and any future clinical development of such drug candidates;</w:t>
      </w:r>
    </w:p>
    <w:p>
      <w:pPr>
        <w:spacing w:after="0" w:line="9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preclinical and clinical development for our other drug candidates and development programs;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drug candidates that we pursue;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advancements to our DELigase platform;</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preclinical development of our DeTIL cell therapy products;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Sanofi, Gilead and any other collaborations we may establish;</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117" w:lineRule="exact"/>
        <w:rPr>
          <w:rFonts w:ascii="Times New Roman" w:cs="Times New Roman" w:eastAsia="Times New Roman" w:hAnsi="Times New Roman"/>
          <w:sz w:val="18"/>
          <w:szCs w:val="18"/>
          <w:color w:val="auto"/>
        </w:rPr>
      </w:pPr>
    </w:p>
    <w:p>
      <w:pPr>
        <w:ind w:left="1000" w:right="60" w:hanging="493"/>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drug candidates for which we receive marketing approval;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ind w:left="1000" w:right="260" w:hanging="493"/>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1000" w:right="80" w:hanging="493"/>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54"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Sanofi and Gilead,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81" w:lineRule="exact"/>
        <w:rPr>
          <w:sz w:val="20"/>
          <w:szCs w:val="20"/>
          <w:color w:val="auto"/>
        </w:rPr>
      </w:pPr>
    </w:p>
    <w:p>
      <w:pPr>
        <w:jc w:val="both"/>
        <w:ind w:right="340" w:firstLine="510"/>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to evaluate the success of our business to date and to assess our future viability.</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establishing arrangements with third parties for the manufacture of initial quantities of our drug candidates and conducting early stage clinical trials. Our lead drug candidates recently entered 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84" w:lineRule="exact"/>
        <w:rPr>
          <w:sz w:val="20"/>
          <w:szCs w:val="20"/>
          <w:color w:val="auto"/>
        </w:rPr>
      </w:pPr>
    </w:p>
    <w:p>
      <w:pPr>
        <w:jc w:val="both"/>
        <w:ind w:right="200" w:firstLine="510"/>
        <w:spacing w:after="0" w:line="266" w:lineRule="auto"/>
        <w:rPr>
          <w:sz w:val="20"/>
          <w:szCs w:val="20"/>
          <w:color w:val="auto"/>
        </w:rPr>
      </w:pPr>
      <w:r>
        <w:rPr>
          <w:rFonts w:ascii="Times New Roman" w:cs="Times New Roman" w:eastAsia="Times New Roman" w:hAnsi="Times New Roman"/>
          <w:sz w:val="18"/>
          <w:szCs w:val="18"/>
          <w:color w:val="auto"/>
        </w:rPr>
        <w:t>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68"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Drug Candidates</w:t>
      </w:r>
    </w:p>
    <w:p>
      <w:pPr>
        <w:spacing w:after="0" w:line="117" w:lineRule="exact"/>
        <w:rPr>
          <w:sz w:val="20"/>
          <w:szCs w:val="20"/>
          <w:color w:val="auto"/>
        </w:rPr>
      </w:pPr>
    </w:p>
    <w:p>
      <w:pPr>
        <w:ind w:right="8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Our lead drug candidates, NX-2127, NX-1607, NX-5948 and DeTIL-0255, recently entered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38" w:lineRule="exact"/>
        <w:rPr>
          <w:sz w:val="20"/>
          <w:szCs w:val="20"/>
          <w:color w:val="auto"/>
        </w:rPr>
      </w:pPr>
    </w:p>
    <w:p>
      <w:pPr>
        <w:ind w:right="40" w:firstLine="510"/>
        <w:spacing w:after="0" w:line="224" w:lineRule="exact"/>
        <w:rPr>
          <w:sz w:val="20"/>
          <w:szCs w:val="20"/>
          <w:color w:val="auto"/>
        </w:rPr>
      </w:pPr>
      <w:r>
        <w:rPr>
          <w:rFonts w:ascii="Times New Roman" w:cs="Times New Roman" w:eastAsia="Times New Roman" w:hAnsi="Times New Roman"/>
          <w:sz w:val="18"/>
          <w:szCs w:val="18"/>
          <w:color w:val="auto"/>
        </w:rPr>
        <w:t>We are early in our development efforts. Our lead drug candidates, NX-2127, NX-1607, NX-5948 and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recently entered clinical development and their risk of failure is high. We have invested substantially all of our efforts and financial resources in building our DELigase platform, in the identification and preclinical development of our current drug candidates, and in the preparation for and initiation of Phase 1 clinical trials for our lead drug candidates.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w:t>
      </w:r>
    </w:p>
    <w:p>
      <w:pPr>
        <w:spacing w:after="0" w:line="92" w:lineRule="exact"/>
        <w:rPr>
          <w:sz w:val="20"/>
          <w:szCs w:val="20"/>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submission of INDs or Clinical Trial Applications and initiation of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drug candidates;</w:t>
      </w:r>
    </w:p>
    <w:p>
      <w:pPr>
        <w:spacing w:after="0" w:line="117"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drug candidates;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therapeutic properties for our drug candidates’ intended indications;</w:t>
      </w:r>
    </w:p>
    <w:p>
      <w:pPr>
        <w:spacing w:after="0" w:line="117" w:lineRule="exact"/>
        <w:rPr>
          <w:rFonts w:ascii="Times New Roman" w:cs="Times New Roman" w:eastAsia="Times New Roman" w:hAnsi="Times New Roman"/>
          <w:sz w:val="18"/>
          <w:szCs w:val="18"/>
          <w:color w:val="auto"/>
        </w:rPr>
      </w:pPr>
    </w:p>
    <w:p>
      <w:pPr>
        <w:ind w:left="1000" w:right="28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continued acceptable safety profile of the products and maintaining such a profile following approval;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of our approaches to the discovery and development of drug candidates based on our targeted protein degradation platform is unproven, which makes it difficult to predict the time, cost of development and likelihood of successfully developing any products.</w:t>
      </w:r>
    </w:p>
    <w:p>
      <w:pPr>
        <w:spacing w:after="0" w:line="5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Treating diseases using targeted protein degradation is a new treatment modality. Our future success depends on the successful development of this novel therapeutic approach. Very few small molecule drug candidates designed to control cellular protein levels, such as our BTK degraders, have been tested in humans, none has been approved in the United States or Europe, and the data underlying the feasibility of developing these therapeutic products is both preliminary and limited. Discovery and development of targeted protein degraders that harness ligases to degrade protein targets have been impeded largely by the complexities and limited understanding of the functions, biochemistry and structural biology of E3 ligases as well as by challenges of engineering compounds that promote protein-protein interactions.</w:t>
      </w:r>
    </w:p>
    <w:p>
      <w:pPr>
        <w:spacing w:after="0" w:line="7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believe that our targeted protein degrader drug candidates may offer an improved therapeutic approach by removing the disease-causing proteins instead of simply inhibiting their activities. However, the scientific research that forms the basis of our efforts to develop our targeted protein degrader drug candidates is ongoing and the scientific evidence to support the feasibility of developing targeted protein degrader-based therapeutic treatments is both preliminary and limited. Further, certain patients have shown inherent primary resistance to approved BTK inhibitors and other patients have developed acquired secondary resistance to these inhibitors. Based on preclinical animal models and observations in human primary blood cells, we believe that both NX-2127 and NX-5948 are able to degrade BTK with mutations that confer resistance to currently marketed BTK inhibitors, and we believe that preliminary data from our ongoing Phase 1 trial of NX-2127 may provide evidence of such degradation in humans. However, any inherent primary or acquired secondary resistance to our BTK degraders in patients would prevent or diminish their clinical benefit.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37" w:name="page38"/>
    <w:bookmarkEnd w:id="37"/>
    <w:p>
      <w:pPr>
        <w:ind w:right="100" w:firstLine="510"/>
        <w:spacing w:after="0" w:line="228" w:lineRule="exact"/>
        <w:rPr>
          <w:sz w:val="20"/>
          <w:szCs w:val="20"/>
          <w:color w:val="auto"/>
        </w:rPr>
      </w:pPr>
      <w:r>
        <w:rPr>
          <w:rFonts w:ascii="Times New Roman" w:cs="Times New Roman" w:eastAsia="Times New Roman" w:hAnsi="Times New Roman"/>
          <w:sz w:val="18"/>
          <w:szCs w:val="18"/>
          <w:color w:val="auto"/>
        </w:rPr>
        <w:t>We recently initiated clinical development of NX-2127 and NX-5948 and currently we have limited safety data of NX-2127 and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in humans. Although some of our drug candidates have produced observable results in animal studies,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spacing w:after="0" w:line="90" w:lineRule="exact"/>
        <w:rPr>
          <w:sz w:val="20"/>
          <w:szCs w:val="20"/>
          <w:color w:val="auto"/>
        </w:rPr>
      </w:pPr>
    </w:p>
    <w:p>
      <w:pPr>
        <w:ind w:right="240" w:firstLine="510"/>
        <w:spacing w:after="0" w:line="255" w:lineRule="auto"/>
        <w:rPr>
          <w:sz w:val="20"/>
          <w:szCs w:val="20"/>
          <w:color w:val="auto"/>
        </w:rPr>
      </w:pPr>
      <w:r>
        <w:rPr>
          <w:rFonts w:ascii="Times New Roman" w:cs="Times New Roman" w:eastAsia="Times New Roman" w:hAnsi="Times New Roman"/>
          <w:sz w:val="18"/>
          <w:szCs w:val="18"/>
          <w:color w:val="auto"/>
        </w:rPr>
        <w:t>Additionally, the regulatory approval process for novel drug candidates such as ours can be more expensive and take longer than for other, better-known or extensively-studied drug candidates. Although other companies are also developing therapeutics based on targeted protein degradation, no regulatory authority has granted approval for any such therapeutic. As a result of these factors, it is more difficult for us to predict the time and cost of targeted protein degrader drug candidate development, and we cannot predict whether targeted protein degradation will result in the development and marketing approval of any products. Any development problems we experience in the future related to any of our targeted protein degrader research programs may cause significant delays or unanticipated costs or may prevent the development of a commercially viable product. Advancing our targeted protein degrader products creates significant challenges for us, including:</w:t>
      </w:r>
    </w:p>
    <w:p>
      <w:pPr>
        <w:spacing w:after="0" w:line="81" w:lineRule="exact"/>
        <w:rPr>
          <w:sz w:val="20"/>
          <w:szCs w:val="20"/>
          <w:color w:val="auto"/>
        </w:rPr>
      </w:pPr>
    </w:p>
    <w:p>
      <w:pPr>
        <w:ind w:left="1000" w:right="72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efficacy and safety benefits, as well as the challenges, of incorporating our drug candidates, if approved, into treatment regimens;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sales and marketing capabilities to gain market acceptance, if approved.</w:t>
      </w:r>
    </w:p>
    <w:p>
      <w:pPr>
        <w:spacing w:after="0" w:line="117"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Any of these factors may prevent us from completing our preclinical studies or any clinical trials that we may initiate, or from commercializing any targeted protein degrader drug candidates we may develop on a timely or profitable basis, if at all.</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drug candidates.</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Our lead drug candidates recently entered 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w:t>
      </w:r>
    </w:p>
    <w:p>
      <w:pPr>
        <w:spacing w:after="0" w:line="81" w:lineRule="exact"/>
        <w:rPr>
          <w:sz w:val="20"/>
          <w:szCs w:val="20"/>
          <w:color w:val="auto"/>
        </w:rPr>
      </w:pPr>
    </w:p>
    <w:p>
      <w:pPr>
        <w:ind w:right="20" w:firstLine="510"/>
        <w:spacing w:after="0" w:line="271" w:lineRule="auto"/>
        <w:rPr>
          <w:sz w:val="20"/>
          <w:szCs w:val="20"/>
          <w:color w:val="auto"/>
        </w:rPr>
      </w:pPr>
      <w:r>
        <w:rPr>
          <w:rFonts w:ascii="Times New Roman" w:cs="Times New Roman" w:eastAsia="Times New Roman" w:hAnsi="Times New Roman"/>
          <w:sz w:val="17"/>
          <w:szCs w:val="17"/>
          <w:color w:val="auto"/>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any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registration clinical trials. Additionally, the outcome of preclinical studies and early-stage clinical trials may not be predictive of the success of later-stage clinical trials.</w:t>
      </w:r>
    </w:p>
    <w:p>
      <w:pPr>
        <w:spacing w:after="0" w:line="65"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drug candidates, including:</w:t>
      </w:r>
    </w:p>
    <w:p>
      <w:pPr>
        <w:spacing w:after="0" w:line="54" w:lineRule="exact"/>
        <w:rPr>
          <w:sz w:val="20"/>
          <w:szCs w:val="20"/>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may fail to reach, a consensus with regulators on trial design;</w:t>
      </w:r>
    </w:p>
    <w:p>
      <w:pPr>
        <w:spacing w:after="0" w:line="117" w:lineRule="exact"/>
        <w:rPr>
          <w:rFonts w:ascii="Times New Roman" w:cs="Times New Roman" w:eastAsia="Times New Roman" w:hAnsi="Times New Roman"/>
          <w:sz w:val="18"/>
          <w:szCs w:val="18"/>
          <w:color w:val="auto"/>
        </w:rPr>
      </w:pPr>
    </w:p>
    <w:p>
      <w:pPr>
        <w:jc w:val="both"/>
        <w:ind w:left="1000" w:right="160" w:hanging="493"/>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w:t>
      </w:r>
    </w:p>
    <w:p>
      <w:pPr>
        <w:spacing w:after="0" w:line="67" w:lineRule="exact"/>
        <w:rPr>
          <w:rFonts w:ascii="Times New Roman" w:cs="Times New Roman" w:eastAsia="Times New Roman" w:hAnsi="Times New Roman"/>
          <w:sz w:val="18"/>
          <w:szCs w:val="18"/>
          <w:color w:val="auto"/>
        </w:rPr>
      </w:pPr>
    </w:p>
    <w:p>
      <w:pPr>
        <w:ind w:left="1000" w:right="340" w:hanging="493"/>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may fail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ind w:left="1000" w:right="280" w:hanging="493"/>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of our clinical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38" w:name="page39"/>
    <w:bookmarkEnd w:id="38"/>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delays under human tissue act legislation and restrictions across various jurisdictions;</w:t>
      </w:r>
    </w:p>
    <w:p>
      <w:pPr>
        <w:spacing w:after="0" w:line="117"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difficulty in designing clinical trials and in selecting endpoints for diseases that have not been well-studied and for which the natural history and course of the disease is poorly understood;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certain clinical endpoints may require prolonged periods of clinical observation or analysis of the resulting data;</w:t>
      </w:r>
    </w:p>
    <w:p>
      <w:pPr>
        <w:spacing w:after="0" w:line="117" w:lineRule="exact"/>
        <w:rPr>
          <w:rFonts w:ascii="Times New Roman" w:cs="Times New Roman" w:eastAsia="Times New Roman" w:hAnsi="Times New Roman"/>
          <w:sz w:val="18"/>
          <w:szCs w:val="18"/>
          <w:color w:val="auto"/>
        </w:rPr>
      </w:pPr>
    </w:p>
    <w:p>
      <w:pPr>
        <w:ind w:left="1000" w:right="20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have undesirable side effects or other unexpected characteristics, causing us or our investigators, regulators or IRBs to suspend or terminate the trials;</w:t>
      </w:r>
    </w:p>
    <w:p>
      <w:pPr>
        <w:spacing w:after="0" w:line="53" w:lineRule="exact"/>
        <w:rPr>
          <w:rFonts w:ascii="Times New Roman" w:cs="Times New Roman" w:eastAsia="Times New Roman" w:hAnsi="Times New Roman"/>
          <w:sz w:val="18"/>
          <w:szCs w:val="18"/>
          <w:color w:val="auto"/>
        </w:rPr>
      </w:pPr>
    </w:p>
    <w:p>
      <w:pPr>
        <w:ind w:left="1000" w:right="180" w:hanging="493"/>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1000" w:right="8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00" w:right="8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that we or our investigators suspend or terminate clinical trials for various reasons, including noncompliance with regulatory requirements;</w:t>
      </w:r>
    </w:p>
    <w:p>
      <w:pPr>
        <w:spacing w:after="0" w:line="53" w:lineRule="exact"/>
        <w:rPr>
          <w:rFonts w:ascii="Times New Roman" w:cs="Times New Roman" w:eastAsia="Times New Roman" w:hAnsi="Times New Roman"/>
          <w:sz w:val="18"/>
          <w:szCs w:val="18"/>
          <w:color w:val="auto"/>
        </w:rPr>
      </w:pPr>
    </w:p>
    <w:p>
      <w:pPr>
        <w:ind w:left="1000" w:right="48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drug candidates may be greater than we anticipate;</w:t>
      </w:r>
    </w:p>
    <w:p>
      <w:pPr>
        <w:spacing w:after="0" w:line="117"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drug candidates, or such requirements may not be as we anticipate;</w:t>
      </w:r>
    </w:p>
    <w:p>
      <w:pPr>
        <w:spacing w:after="0" w:line="11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also conduct clinical trials in ways they view as advantageous to them but that are suboptimal for us; and</w:t>
      </w:r>
    </w:p>
    <w:p>
      <w:pPr>
        <w:spacing w:after="0" w:line="53" w:lineRule="exact"/>
        <w:rPr>
          <w:rFonts w:ascii="Times New Roman" w:cs="Times New Roman" w:eastAsia="Times New Roman" w:hAnsi="Times New Roman"/>
          <w:sz w:val="18"/>
          <w:szCs w:val="18"/>
          <w:color w:val="auto"/>
        </w:rPr>
      </w:pPr>
    </w:p>
    <w:p>
      <w:pPr>
        <w:ind w:left="1000" w:right="60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the COVID-19 pandemic may increase the likelihood that we encounter such difficulties or delays in initiating, enrolling, conducting or completing our planned and ongoing clinical trials.</w:t>
      </w:r>
    </w:p>
    <w:p>
      <w:pPr>
        <w:spacing w:after="0" w:line="54"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efficacy and safety sufficient to obtain marketing approval to market our drug candidates.</w:t>
      </w:r>
    </w:p>
    <w:p>
      <w:pPr>
        <w:spacing w:after="0" w:line="72"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drug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 changes in the way the product is administered; or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39" w:name="page40"/>
    <w:bookmarkEnd w:id="39"/>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w:t>
      </w:r>
    </w:p>
    <w:p>
      <w:pPr>
        <w:spacing w:after="0" w:line="75"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is not effective. Our current and planned clinical trials for our drug candidates NX-2127, NX-1607, NX-5948 and DeTIL-0255 are and will be with patients who have received one or more prior treatments. Subsequently, for those products that prove to be sufficiently beneficial, if any, we may seek approval potentially as a first-line therapy, but any drug candidates we develop, even if approved, may not be approved for first-line therapy, and, prior to any such approvals, we may have to conduct additional clinical trials.</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51" w:lineRule="exact"/>
        <w:rPr>
          <w:sz w:val="20"/>
          <w:szCs w:val="20"/>
          <w:color w:val="auto"/>
        </w:rPr>
      </w:pPr>
    </w:p>
    <w:p>
      <w:pPr>
        <w:ind w:right="200" w:firstLine="510"/>
        <w:spacing w:after="0" w:line="219" w:lineRule="exact"/>
        <w:rPr>
          <w:sz w:val="20"/>
          <w:szCs w:val="20"/>
          <w:color w:val="auto"/>
        </w:rPr>
      </w:pPr>
      <w:r>
        <w:rPr>
          <w:rFonts w:ascii="Times New Roman" w:cs="Times New Roman" w:eastAsia="Times New Roman" w:hAnsi="Times New Roman"/>
          <w:sz w:val="18"/>
          <w:szCs w:val="18"/>
          <w:color w:val="auto"/>
        </w:rPr>
        <w:t>We have recently begun to evaluate our lead drug candidates in human clinical trials, and there have been very few clinical trials to date involving small molecule drug candidates designed to control cellular protein levels through targeted protein degradation. It is impossible to predict when or if any drug candidates we may develop will prove safe in humans. There is a limited safety data set for the effects of NX-2127, NX-1607, NX-5948 and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in animals and we only recently have begun to test the safety of our drug candidates in humans. There can be no assurance that our current drug candidates or any future drug candidate will not cause undesirable side effects. Unforeseen side effects from our drug candidates could arise at any time during preclinical or clinical development.</w:t>
      </w:r>
    </w:p>
    <w:p>
      <w:pPr>
        <w:spacing w:after="0" w:line="95"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A potential risk in any protein modulation product is that healthy proteins or proteins not targeted for modulation will be modulated or that the modulation of the targeted protein in itself could cause adverse events, undesirable side effects or unexpected characteristics. It is possible that healthy proteins or proteins not targeted for modulation could be modulated by our drug candidates in any of our current or future clinical studies. There also is the potential risk of delayed adverse events following treatment with our drug candidates.</w:t>
      </w:r>
    </w:p>
    <w:p>
      <w:pPr>
        <w:spacing w:after="0" w:line="72"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If any drug candidates we develop are associated with serious adverse events, or undesirable side effects, or have characteristics that are unexpected,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For example, increased bleeding risk and cardiac arrhythmia such as atrial fibrillation have been reported side effects of approved BTK inhibitors. Furthermore,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w:t>
      </w:r>
    </w:p>
    <w:p>
      <w:pPr>
        <w:spacing w:after="0" w:line="18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and early-stage clinical trials may not be predictive of future results. Initial success in clinical trials may not be indicative of results obtained when these trials are completed or in later-stage trials.</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and the results of any early-stage clinical trials we commence may not be predictive of the results of the later-stage clinical trials. In addition, initial success in clinical trials may not be indicative of results obtained when such trials are completed. In particular, the small number of patients in our planned early clinical trials may make the results of these trials less predictive of the outcome of later clinical trials. For example, even if successful, the results of our initial clinical trials for NX-2127, NX-1607, NX-5948 and DeTIL-0255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Any such setbacks in our clinical development could materially harm our business, results of operations, financial condition and prospects.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planned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experience delays or difficulties in enrolling patients in clinical trials, our receipt of necessary marketing approvals could be delayed or prevented.</w:t>
      </w:r>
    </w:p>
    <w:p>
      <w:pPr>
        <w:spacing w:after="0" w:line="133" w:lineRule="exact"/>
        <w:rPr>
          <w:sz w:val="20"/>
          <w:szCs w:val="20"/>
          <w:color w:val="auto"/>
        </w:rPr>
      </w:pPr>
    </w:p>
    <w:p>
      <w:pPr>
        <w:ind w:right="100" w:firstLine="510"/>
        <w:spacing w:after="0" w:line="218" w:lineRule="exact"/>
        <w:rPr>
          <w:sz w:val="20"/>
          <w:szCs w:val="20"/>
          <w:color w:val="auto"/>
        </w:rPr>
      </w:pPr>
      <w:r>
        <w:rPr>
          <w:rFonts w:ascii="Times New Roman" w:cs="Times New Roman" w:eastAsia="Times New Roman" w:hAnsi="Times New Roman"/>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of the United States. In particular, we are currently conducting Phase 1 clinical trials for each of our four drug candidates: NX-2127, NX-1607,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and DeTIL-0255. We cannot predict how difficult it will be to enroll patients for these trials. Therefore, our ability to identify and enroll eligible patients for our NX-2127, NX-1607, NX-5948 and DeTIL-0255 clinical trials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is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w:t>
      </w:r>
    </w:p>
    <w:p>
      <w:pPr>
        <w:spacing w:after="0" w:line="95" w:lineRule="exact"/>
        <w:rPr>
          <w:sz w:val="20"/>
          <w:szCs w:val="20"/>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process for identifying patients;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efficacy of approved medications for the disease under investigation;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drug candidates under study;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attitudes and practices with respect to clinical trial enrollment;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on patients due to inconvenient procedures;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current COVID-19 pandemic, which may affect the conduct of a clinical trial, including by slowing potential enrollment or reducing the number of eligible patients for clinical trials.</w:t>
      </w:r>
    </w:p>
    <w:p>
      <w:pPr>
        <w:spacing w:after="0" w:line="54"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5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we and our third-party manufacturers are early in our manufacturing efforts.</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have established manufacturing relationships with a limited number of suppliers to manufacture raw materials and the drug substance of any drug candidate for which we now are pursuing, or may in the future pursue, preclinical or clinical development. Our systems for complying with current good manufacturing practices (cGMPs), manufacturing process development with our third-party manufacturers and scale-up is at an early stage. The actual cost to manufacture and process our drug candidates could be greater than we expect and could materially and adversely affect the commercial viability of our drug candidates.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any of our third-party manufacturers encounter such difficulties, our ability to provide supply of our current or future drug candidates for clinical trials, our ability to obtain marketing approval, or our ability to provide supply of our drug candidates for patients, if approved, could be delayed or stopped.</w:t>
      </w:r>
    </w:p>
    <w:p>
      <w:pPr>
        <w:spacing w:after="0" w:line="19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with the development and manufacturing of adoptive cellular therapeutics, which is a relatively new and expanding category of therapeutics with unique development, manufacturing and regulatory risks.</w:t>
      </w:r>
    </w:p>
    <w:p>
      <w:pPr>
        <w:spacing w:after="0" w:line="51" w:lineRule="exact"/>
        <w:rPr>
          <w:sz w:val="20"/>
          <w:szCs w:val="20"/>
          <w:color w:val="auto"/>
        </w:rPr>
      </w:pPr>
    </w:p>
    <w:p>
      <w:pPr>
        <w:ind w:right="120" w:firstLine="510"/>
        <w:spacing w:after="0" w:line="252" w:lineRule="auto"/>
        <w:rPr>
          <w:sz w:val="20"/>
          <w:szCs w:val="20"/>
          <w:color w:val="auto"/>
        </w:rPr>
      </w:pPr>
      <w:r>
        <w:rPr>
          <w:rFonts w:ascii="Times New Roman" w:cs="Times New Roman" w:eastAsia="Times New Roman" w:hAnsi="Times New Roman"/>
          <w:sz w:val="18"/>
          <w:szCs w:val="18"/>
          <w:color w:val="auto"/>
        </w:rPr>
        <w:t>We are exploring the use of T cell-enhancing compounds to improve the current industry-standard methods and technology for adoptive cellular therapies (ACTs) in both hematologic cancers and solid tumors. ACTs represent a class of immunotherapy in which T cells are isolated directly from patient tumors, as with TIL, or from patient blood with subsequent genetic modification to recognize specific antigens present on cancer cells, as with CAR-T therapies. These tumor-reactive T cells are then expanded and infused back into the patient. These cell therapy technologies are a relatively new and expanding category of therapeutics, with which we have limited experience. We may observe undesirable characteristics such as cytokine storm, immunogenicity, infection or other adverse events. Additionally, because TIL and CAR-T therapies are manufactured on a patient-by-patient basis, they require extensive research and development and involve complex and costly manufacturing. Moreover, we anticipate that we will have to rely on third-party manufacturers to manufacture our ACT products for pre-clinical studies and clinical trials and if they fail to commence or complete, or experience delays in, manufacturing ACT products, our pre-clinical studies and clinical trials will be delayed. The FDA and other regulatory bodies also have limited experience with ACTs, which may result in regulatory delays. The regulatory pathway is complex and may take more time and be more expensive to pursue than the regulatory pathway for other established drug candidates. Moreover, the FDA regulatory pathway for our DeTIL and CAR-T programs is not clear and may require us to file a Biologics License Application or an application for a Combination Product and will be subject to further discussion with regulators. Because this is a relatively new and expanding area, there are many uncertainties related to the appropriate regulatory pathway, development, manufacturing, marketing, reimbursement, and the commercial potential for these drug candidates, and we may never be successful in developing these therapeutics.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potential drug candidates.</w:t>
      </w:r>
    </w:p>
    <w:p>
      <w:pPr>
        <w:spacing w:after="0" w:line="121"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A key element of our strategy is to apply our DELigase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w:t>
      </w:r>
    </w:p>
    <w:p>
      <w:pPr>
        <w:spacing w:after="0" w:line="72" w:lineRule="exact"/>
        <w:rPr>
          <w:sz w:val="20"/>
          <w:szCs w:val="20"/>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drug candidates;</w:t>
      </w:r>
    </w:p>
    <w:p>
      <w:pPr>
        <w:spacing w:after="0" w:line="117" w:lineRule="exact"/>
        <w:rPr>
          <w:rFonts w:ascii="Times New Roman" w:cs="Times New Roman" w:eastAsia="Times New Roman" w:hAnsi="Times New Roman"/>
          <w:sz w:val="18"/>
          <w:szCs w:val="18"/>
          <w:color w:val="auto"/>
        </w:rPr>
      </w:pPr>
    </w:p>
    <w:p>
      <w:pPr>
        <w:ind w:left="1000" w:right="480" w:hanging="493"/>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drug candidates may, on further study, be shown to have harmful side effects or other characteristics that indicate that they are unlikely to be drugs that will receive marketing approval or achieve market acceptance; or</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drug candidates may not be effective in treating their targeted diseases.</w:t>
      </w:r>
    </w:p>
    <w:p>
      <w:pPr>
        <w:spacing w:after="0" w:line="117"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sale of products in future periods, which likely would result in significant harm to our financial position and adversely impact our stock price.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the breadth of our DELigase platform.</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to expand the capabilities of our DELigase platform and leverage our platform to discover, develop and 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DELigase platform over a long-time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DELigase platform.</w:t>
      </w:r>
    </w:p>
    <w:p>
      <w:pPr>
        <w:spacing w:after="0" w:line="184"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an environment of rapid technological change, which may result in others discovering, developing or commercializing products before or more successfully than we do.</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modulation, antibody therapy, ACT,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w:t>
      </w:r>
    </w:p>
    <w:p>
      <w:pPr>
        <w:spacing w:after="0" w:line="8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are aware of several biotechnology companies focused on developing small molecules that degrade target proteins including but not limited to Arvinas, Inc., BioTheryX, Inc., C4 Therapeutics, Inc., Cullgen Inc., Foghorn Therapeutics Inc., Kymera Therapeutics, Inc. and Monte Rosa Therapeutics, all of which currently are in preclinical or clinical development. In addition, several large pharmaceutical companies have disclosed preclinical investments in this field, including Amgen Inc., AstraZeneca plc, Bayer AG, Bristol-Myers Squibb Company, Genentech, Inc., GlaxoSmithKline plc and Novartis International AG. Furthermore, we are aware of several biotech companies focused on developing tumor infiltrating lymphocyte (TIL) therapies for the treatment of cancer, including Instil Bio, Inc., Iovance Biotherapeutics, Inc., PACT Pharma, Inc. and Lyell Immunopharma, Inc.</w:t>
      </w:r>
    </w:p>
    <w:p>
      <w:pPr>
        <w:spacing w:after="0" w:line="79"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result in preventing us from obtaining the orphan designation in the European Union (EU) and/or in the United Kingdom (UK) and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3" w:name="page44"/>
    <w:bookmarkEnd w:id="43"/>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commercialization of our products may be delayed and, as a result, our stock price may decline.</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collaborators such as Sanofi or Gilead.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18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estimated market opportunities for our drug candidates are subject to numerous uncertainties and may prove to be inaccurate. If we have overestimated the size of our market opportunities, our future growth may be limited.</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not to be accurate.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report. If this third-party or internally generated data prove to be inaccurate or if we make errors in our assumptions based on that data, our actual market may be more limited than we estimate it to be. In addition, these inaccuracies or errors may cause us to misallocate capital and other critical business resources, which could harm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Dependence on Third Parties</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5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have sought third-party collaborators for the research, development, and commercialization of some of our targeted protein degrader programs. For example, in June 2019 we entered into a collaboration with Gilead and in December 2019 we entered into a collaboration with Sanofi, which was subsequently expanded and amended in January 2021. Both collaborations require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84"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Collaborations involving our research programs or any drug candidates we may develop, including our collaborations with Sanofi and Gilead, pose the following risks to us:</w:t>
      </w:r>
    </w:p>
    <w:p>
      <w:pPr>
        <w:spacing w:after="0" w:line="54" w:lineRule="exact"/>
        <w:rPr>
          <w:sz w:val="20"/>
          <w:szCs w:val="20"/>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jc w:val="both"/>
        <w:ind w:left="1000" w:right="280" w:hanging="493"/>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w:t>
      </w:r>
    </w:p>
    <w:p>
      <w:pPr>
        <w:spacing w:after="0" w:line="67" w:lineRule="exact"/>
        <w:rPr>
          <w:rFonts w:ascii="Times New Roman" w:cs="Times New Roman" w:eastAsia="Times New Roman" w:hAnsi="Times New Roman"/>
          <w:sz w:val="18"/>
          <w:szCs w:val="18"/>
          <w:color w:val="auto"/>
        </w:rPr>
      </w:pPr>
    </w:p>
    <w:p>
      <w:pPr>
        <w:jc w:val="both"/>
        <w:ind w:left="1000" w:right="260" w:hanging="493"/>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and Gilead have broad option rights to select up to five targets each for exclusive targeted protein degrader development, so long as not excluded by us under the terms of each collaboration, and may select targets we are considering but have not taken sufficient action to exclude under each collaboration.</w:t>
      </w:r>
    </w:p>
    <w:p>
      <w:pPr>
        <w:spacing w:after="0" w:line="67" w:lineRule="exact"/>
        <w:rPr>
          <w:rFonts w:ascii="Times New Roman" w:cs="Times New Roman" w:eastAsia="Times New Roman" w:hAnsi="Times New Roman"/>
          <w:sz w:val="18"/>
          <w:szCs w:val="18"/>
          <w:color w:val="auto"/>
        </w:rPr>
      </w:pPr>
    </w:p>
    <w:p>
      <w:pPr>
        <w:ind w:left="1000" w:right="660" w:hanging="493"/>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spacing w:after="0" w:line="53" w:lineRule="exact"/>
        <w:rPr>
          <w:rFonts w:ascii="Times New Roman" w:cs="Times New Roman" w:eastAsia="Times New Roman" w:hAnsi="Times New Roman"/>
          <w:sz w:val="18"/>
          <w:szCs w:val="18"/>
          <w:color w:val="auto"/>
        </w:rPr>
      </w:pPr>
    </w:p>
    <w:p>
      <w:pPr>
        <w:ind w:left="1000" w:right="120" w:hanging="493"/>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4" w:name="page45"/>
    <w:bookmarkEnd w:id="44"/>
    <w:p>
      <w:pPr>
        <w:ind w:left="1000" w:right="500" w:hanging="493"/>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1000" w:right="120" w:hanging="493"/>
        <w:spacing w:after="0" w:line="258"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For example, Sanofi and Gilead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75"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drug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00" w:right="280" w:hanging="493"/>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our collaborations, including if we undergo a change of control. For example, Sanofi may terminate its agreement with us if we undergo a change of control.</w:t>
      </w:r>
    </w:p>
    <w:p>
      <w:pPr>
        <w:spacing w:after="0" w:line="53" w:lineRule="exact"/>
        <w:rPr>
          <w:rFonts w:ascii="Times New Roman" w:cs="Times New Roman" w:eastAsia="Times New Roman" w:hAnsi="Times New Roman"/>
          <w:sz w:val="18"/>
          <w:szCs w:val="18"/>
          <w:color w:val="auto"/>
        </w:rPr>
      </w:pPr>
    </w:p>
    <w:p>
      <w:pPr>
        <w:ind w:left="1000" w:hanging="493"/>
        <w:spacing w:after="0" w:line="26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drug candidates. For example, each of Sanofi and Gilead can terminate its agreement with us in its entirety or with respect to a specific target for convenience upon written notice or in connection with a material breach of the agreement by us that remains uncured for a specified period of time.</w:t>
      </w:r>
    </w:p>
    <w:p>
      <w:pPr>
        <w:spacing w:after="0" w:line="71" w:lineRule="exact"/>
        <w:rPr>
          <w:rFonts w:ascii="Times New Roman" w:cs="Times New Roman" w:eastAsia="Times New Roman" w:hAnsi="Times New Roman"/>
          <w:sz w:val="18"/>
          <w:szCs w:val="18"/>
          <w:color w:val="auto"/>
        </w:rPr>
      </w:pPr>
    </w:p>
    <w:p>
      <w:pPr>
        <w:ind w:left="1000" w:right="240" w:hanging="493"/>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drug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68"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marketing approval, and commercialization described in this report apply to the activities of our collaborators.</w:t>
      </w:r>
    </w:p>
    <w:p>
      <w:pPr>
        <w:spacing w:after="0" w:line="8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may in the future decide to collaborate with pharmaceutical and biotechnology companies for the development and potential commercialization of any drug candidates we may develop. These relationships may require us to incur non-recurring and other charges, increase our near- 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w:t>
      </w:r>
    </w:p>
    <w:p>
      <w:pPr>
        <w:spacing w:after="0" w:line="18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If we are not able to establish collaborations on commercially reasonable terms, we may have to alter our development and commercialization plans.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plan to continue to selectively pursue collaborations with leading biopharmaceutical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5" w:name="page46"/>
    <w:bookmarkEnd w:id="45"/>
    <w:p>
      <w:pPr>
        <w:ind w:right="240" w:firstLine="510"/>
        <w:spacing w:after="0" w:line="289" w:lineRule="auto"/>
        <w:rPr>
          <w:sz w:val="20"/>
          <w:szCs w:val="20"/>
          <w:color w:val="auto"/>
        </w:rPr>
      </w:pPr>
      <w:r>
        <w:rPr>
          <w:rFonts w:ascii="Times New Roman" w:cs="Times New Roman" w:eastAsia="Times New Roman" w:hAnsi="Times New Roman"/>
          <w:sz w:val="17"/>
          <w:szCs w:val="17"/>
          <w:color w:val="auto"/>
        </w:rPr>
        <w:t>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w:t>
      </w:r>
    </w:p>
    <w:p>
      <w:pPr>
        <w:spacing w:after="0" w:line="50"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prospects, financial condition and results of operations.</w:t>
      </w:r>
    </w:p>
    <w:p>
      <w:pPr>
        <w:spacing w:after="0" w:line="18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deadlines for completing such trials.</w:t>
      </w:r>
    </w:p>
    <w:p>
      <w:pPr>
        <w:spacing w:after="0" w:line="51"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We rely on third-party contract research organizations (CROs) to conduct our Phase 1 clinical trial programs for NX-2127, NX-1607, NX-5948 and DeTIL-0255 and we will rely on third-party CROs to conduct any clinical trials for other drug candidates. Agreements with these CROs might terminate for a variety of reasons, including for their failure to perform. Entry into alternative arrangements, if necessary, could significantly delay our product development activities.</w:t>
      </w:r>
    </w:p>
    <w:p>
      <w:pPr>
        <w:spacing w:after="0" w:line="72"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requires compliance with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75"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contract manufacturing organizations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72" w:lineRule="exact"/>
        <w:rPr>
          <w:sz w:val="20"/>
          <w:szCs w:val="20"/>
          <w:color w:val="auto"/>
        </w:rPr>
      </w:pPr>
    </w:p>
    <w:p>
      <w:pPr>
        <w:jc w:val="both"/>
        <w:ind w:right="100" w:firstLine="510"/>
        <w:spacing w:after="0" w:line="281" w:lineRule="auto"/>
        <w:rPr>
          <w:sz w:val="20"/>
          <w:szCs w:val="20"/>
          <w:color w:val="auto"/>
        </w:rPr>
      </w:pPr>
      <w:r>
        <w:rPr>
          <w:rFonts w:ascii="Times New Roman" w:cs="Times New Roman" w:eastAsia="Times New Roman" w:hAnsi="Times New Roman"/>
          <w:sz w:val="17"/>
          <w:szCs w:val="17"/>
          <w:color w:val="auto"/>
        </w:rPr>
        <w:t>We do not own or operate, and currently have no plans to establish, any manufacturing facilities. We rely on and expect to continue to rely on third-party CMOs for both drug substance and finished drug product, and ACT product. This reliance on CMOs, particularly where one CMO is the sole source of the drug substance or finished drug product, or ACT product, may increase the risk that we will not have sufficient quantities of our drug candidates or products or such quantities at an acceptable cost or quality, which could delay, prevent or impair our development or commercialization efforts.</w:t>
      </w:r>
    </w:p>
    <w:p>
      <w:pPr>
        <w:spacing w:after="0" w:line="56"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We may be unable to establish agreements with CMOs or to do so on acceptable terms. Even if we are able to establish agreements with CMOs, reliance on them entails additional risks, including:</w:t>
      </w:r>
    </w:p>
    <w:p>
      <w:pPr>
        <w:spacing w:after="0" w:line="54" w:lineRule="exact"/>
        <w:rPr>
          <w:sz w:val="20"/>
          <w:szCs w:val="20"/>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CMO for regulatory, compliance and quality assurance;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CMO;</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CMO at a time that is costly or inconvenient for us.</w:t>
      </w:r>
    </w:p>
    <w:p>
      <w:pPr>
        <w:spacing w:after="0" w:line="117"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w:t>
      </w:r>
    </w:p>
    <w:p>
      <w:pPr>
        <w:spacing w:after="0" w:line="75"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drug candidates must be approved by the FDA or the EMA or other national or international regulatory agencies pursuant to inspections that will be conducted after we submit our NDA to the FDA or our marketing authorization application (MAA) to the EMA or other regulatory authority.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the EMA or comparable foreign regulatory bodies, they will not be able to secure and/or maintain marketing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marketing approval for or market our drug candidates, if approved.</w:t>
      </w:r>
    </w:p>
    <w:p>
      <w:pPr>
        <w:spacing w:after="0" w:line="84"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68"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be able to reach agreement with any alternative manufacturer.</w:t>
      </w:r>
    </w:p>
    <w:p>
      <w:pPr>
        <w:spacing w:after="0" w:line="75"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 candidates or products may adversely affect our future profit margins and our ability to commercialize any products that receive marketing approval on a timely and competitive basis.</w:t>
      </w:r>
    </w:p>
    <w:p>
      <w:pPr>
        <w:spacing w:after="0" w:line="15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suppliers may experience disruption to their respective supply chain due to the effects of the COVID-19 pandemic, which could delay, prevent or impair our development or commercialization efforts.</w:t>
      </w:r>
    </w:p>
    <w:p>
      <w:pPr>
        <w:spacing w:after="0" w:line="5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We obtain certain chemical or biological intermediates in the synthesis of our drug candidates and NHPs for toxicology testing in countries affected by the COVID-19 pandemic. If we are unable to obtain these chemical or biological intermediates or NHPs in sufficient quantity and in a timely manner, the development, testing and clinical trials of that drug candidate may be delayed or infeasible, and regulatory approval or commercial launch of any resulting product may be delayed or not obtained, which could significantly harm our business.</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CMOs may be unable to successfully scale-up manufacturing of our drug candidates in sufficient quality and quantity, which would delay or prevent us from developing our drug candidates and commercializing approved products, if any.</w:t>
      </w:r>
    </w:p>
    <w:p>
      <w:pPr>
        <w:spacing w:after="0" w:line="51" w:lineRule="exact"/>
        <w:rPr>
          <w:sz w:val="20"/>
          <w:szCs w:val="20"/>
          <w:color w:val="auto"/>
        </w:rPr>
      </w:pPr>
    </w:p>
    <w:p>
      <w:pPr>
        <w:ind w:firstLine="510"/>
        <w:spacing w:after="0" w:line="273" w:lineRule="auto"/>
        <w:rPr>
          <w:sz w:val="20"/>
          <w:szCs w:val="20"/>
          <w:color w:val="auto"/>
        </w:rPr>
      </w:pPr>
      <w:r>
        <w:rPr>
          <w:rFonts w:ascii="Times New Roman" w:cs="Times New Roman" w:eastAsia="Times New Roman" w:hAnsi="Times New Roman"/>
          <w:sz w:val="17"/>
          <w:szCs w:val="17"/>
          <w:color w:val="auto"/>
        </w:rPr>
        <w:t>In order to conduct clinical trials of our drug candidates, we will need to manufacture them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Drug Candidates</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drug candidates receive marketing approval, a drug candidate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If any of our drug candidates receive marketing approval, they may nonetheless fail to gain sufficient market acceptance by physicians, patients, third-party payors and others in the medical community. For example, ibrutinib is a well-established current treatment for CLL and other B-cell malignancies, and doctors may continue to rely on this and other treatments. If our drug candidates do not achieve an adequate level of acceptance, we may not generate significant revenue from product sales and we may not become profitable. The degree of market acceptance of our drug candidates, if approved for commercial sale, will depend on a number of factors, including:</w:t>
      </w:r>
    </w:p>
    <w:p>
      <w:pPr>
        <w:spacing w:after="0" w:line="75" w:lineRule="exact"/>
        <w:rPr>
          <w:sz w:val="20"/>
          <w:szCs w:val="20"/>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 particular compared to alternative treatments;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sales and distribution support;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payor coverage and adequate reimbursement;</w:t>
      </w:r>
    </w:p>
    <w:p>
      <w:pPr>
        <w:spacing w:after="0" w:line="117" w:lineRule="exact"/>
        <w:rPr>
          <w:rFonts w:ascii="Times New Roman" w:cs="Times New Roman" w:eastAsia="Times New Roman" w:hAnsi="Times New Roman"/>
          <w:sz w:val="18"/>
          <w:szCs w:val="18"/>
          <w:color w:val="auto"/>
        </w:rPr>
      </w:pPr>
    </w:p>
    <w:p>
      <w:pPr>
        <w:ind w:left="1000" w:right="60" w:hanging="493"/>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a positive health technology appraisal (HTA) recommendation for the product to be prescribed and reimbursed under the national health system;</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marketing approval in relation to other product approvals;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we may not be successful in commercializing our drug candidates if and when they are approved.</w:t>
      </w:r>
    </w:p>
    <w:p>
      <w:pPr>
        <w:spacing w:after="0" w:line="5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w:t>
      </w:r>
    </w:p>
    <w:p>
      <w:pPr>
        <w:spacing w:after="0" w:line="68"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currently expect that we may build our own focused, specialized sales and marketing organization to support the commercialization in the United States of drug candidates for which we receive marketing approval and that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1000" w:right="20" w:hanging="493"/>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1000" w:right="160" w:hanging="493"/>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If we are unable to establish our own sales and marketing capabilities and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48" w:name="page49"/>
    <w:bookmarkEnd w:id="48"/>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drug candidates, the products may become subject to unfavorable pricing regulations, third-party reimbursement practices or healthcare reform initiatives, which would harm our business.</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w:t>
      </w:r>
    </w:p>
    <w:p>
      <w:pPr>
        <w:spacing w:after="0" w:line="80"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drug candidates successfully also will depend in part on the extent to which coverage and adequate reimbursement for these products and related treatments will be available from government healthcare programs, private health insurers, national health technology assessment authorities in Europe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key focus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w:t>
      </w:r>
    </w:p>
    <w:p>
      <w:pPr>
        <w:spacing w:after="0" w:line="7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may take into account comparative cost-effectiveness, in particular in European jurisdictions,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w:t>
      </w:r>
    </w:p>
    <w:p>
      <w:pPr>
        <w:spacing w:after="0" w:line="68" w:lineRule="exact"/>
        <w:rPr>
          <w:sz w:val="20"/>
          <w:szCs w:val="20"/>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drug candidates or products that we may develop;</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marketing approval, recall, restriction on the approval or a “black box” warning or contraindication for an approved drug;</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49" w:name="page50"/>
    <w:bookmarkEnd w:id="49"/>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72"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patent and other intellectual property and proprietary protection in the United States and other countries with respect to our drug candidates and proprietary technology. We seek to protect our proprietary position by filing patent applications in the United States and abroad related to our novel technologies and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w:t>
      </w:r>
    </w:p>
    <w:p>
      <w:pPr>
        <w:spacing w:after="0" w:line="79"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the public domain. It is possible that defects of form in the preparation or filing of our patents or patent applications may exist, or may arise in the future, such as with respect to proper priority claims, inventorship, claim scope or patent term adjustments.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Any of these outcomes could impair our ability to prevent competition from third parties.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ind w:right="60" w:firstLine="510"/>
        <w:spacing w:after="0" w:line="269" w:lineRule="auto"/>
        <w:rPr>
          <w:sz w:val="20"/>
          <w:szCs w:val="20"/>
          <w:color w:val="auto"/>
        </w:rPr>
      </w:pPr>
      <w:r>
        <w:rPr>
          <w:rFonts w:ascii="Times New Roman" w:cs="Times New Roman" w:eastAsia="Times New Roman" w:hAnsi="Times New Roman"/>
          <w:sz w:val="17"/>
          <w:szCs w:val="17"/>
          <w:color w:val="auto"/>
        </w:rPr>
        <w:t>The patent position of biotechnology and pharmaceutical companies generally is highly uncertain, involves complex legal and factual questions and has in recent years been the subject of much litigation. In addition, the protections offered by laws of different countries vary and the laws of foreign countries may not protect our rights to the same extent as the laws of the United States. For example, European patent law restricts the patentability of methods of treatment of the human body more than United States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whether owned or in-licensed, are highly uncertain. 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 Patent and Trademark Office (USPTO), the laws and regulations governing patents could change in unpredictable ways that could weaken our ability to obtain patents or to enforce any patents that we might obtain in the future.</w:t>
      </w:r>
    </w:p>
    <w:p>
      <w:pPr>
        <w:spacing w:after="0" w:line="71"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 xml:space="preserve">We may not be aware of all third-party intellectual property rights potentially relating to our current and future drug candidates.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a third-party preissuance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We may become involved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other post-grant proceedings, in the United States or elsewhere, challenging our or our licensors’ patent rights or the patent rights of others. An adverse determination in any such submission, proceeding or litigation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exclusivity, freedom to operate,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scientists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w:t>
      </w:r>
    </w:p>
    <w:p>
      <w:pPr>
        <w:spacing w:after="0" w:line="98"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to impede such competition, our ability to successfully commercialize our drug candidates could be negatively affected, which could have a material adverse effect on our business, financial condition, results of operations and prospects.</w:t>
      </w:r>
    </w:p>
    <w:p>
      <w:pPr>
        <w:spacing w:after="0" w:line="80"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Any of the foregoing could have a material adverse effect on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1" w:name="page52"/>
    <w:bookmarkEnd w:id="51"/>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drug candidates.</w:t>
      </w:r>
    </w:p>
    <w:p>
      <w:pPr>
        <w:spacing w:after="0" w:line="51" w:lineRule="exact"/>
        <w:rPr>
          <w:sz w:val="20"/>
          <w:szCs w:val="20"/>
          <w:color w:val="auto"/>
        </w:rPr>
      </w:pPr>
    </w:p>
    <w:p>
      <w:pPr>
        <w:ind w:right="20" w:firstLine="510"/>
        <w:spacing w:after="0" w:line="269" w:lineRule="auto"/>
        <w:rPr>
          <w:sz w:val="20"/>
          <w:szCs w:val="20"/>
          <w:color w:val="auto"/>
        </w:rPr>
      </w:pPr>
      <w:r>
        <w:rPr>
          <w:rFonts w:ascii="Times New Roman" w:cs="Times New Roman" w:eastAsia="Times New Roman" w:hAnsi="Times New Roman"/>
          <w:sz w:val="17"/>
          <w:szCs w:val="17"/>
          <w:color w:val="auto"/>
        </w:rPr>
        <w:t xml:space="preserve">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 Under the Leahy-Smith America Invents Act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includes a number of other significant changes to U.S. patent law, including provisions that affect the way patent applications are prosecuted and may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and derivation proceedings.</w:t>
      </w:r>
    </w:p>
    <w:p>
      <w:pPr>
        <w:spacing w:after="0" w:line="74"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w:t>
      </w:r>
    </w:p>
    <w:p>
      <w:pPr>
        <w:spacing w:after="0" w:line="18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obtain patent protection for our drug candidates, the life of such protection, if any, is limited, and third parties could develop and commercialize products and technologies similar or identical to ours and compete directly against us after the expiration of our patent rights, if any, and our ability to successfully commercialize any product or technology would be materially adversely affected.</w:t>
      </w:r>
    </w:p>
    <w:p>
      <w:pPr>
        <w:spacing w:after="0" w:line="67"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The life of a patent and the protection it affords is limited. For example, in the United States, if all maintenance fees are timely paid, the natural expiration of a patent is generally 20 years from its earliest U.S. non 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7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Even if we believe we are eligible for certain patent term extensions, there can be no assurance that the applicable authorities, including the FDA and the USPTO in the United States, and any equivalent regulatory authority in other countries, will agree with our assessment of whether such extensions are available, and such authorities may refuse to grant extensions to our patents, or may grant more limited extensions than we request.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w:t>
      </w:r>
    </w:p>
    <w:p>
      <w:pPr>
        <w:spacing w:after="0" w:line="18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5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72"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drug candidates we may seek to acquire.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2" w:name="page53"/>
    <w:bookmarkEnd w:id="52"/>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51" w:lineRule="exact"/>
        <w:rPr>
          <w:sz w:val="20"/>
          <w:szCs w:val="20"/>
          <w:color w:val="auto"/>
        </w:rPr>
      </w:pPr>
    </w:p>
    <w:p>
      <w:pPr>
        <w:ind w:right="320" w:firstLine="510"/>
        <w:spacing w:after="0" w:line="266" w:lineRule="auto"/>
        <w:rPr>
          <w:sz w:val="20"/>
          <w:szCs w:val="20"/>
          <w:color w:val="auto"/>
        </w:rPr>
      </w:pPr>
      <w:r>
        <w:rPr>
          <w:rFonts w:ascii="Times New Roman" w:cs="Times New Roman" w:eastAsia="Times New Roman" w:hAnsi="Times New Roman"/>
          <w:sz w:val="18"/>
          <w:szCs w:val="18"/>
          <w:color w:val="auto"/>
        </w:rPr>
        <w:t>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w:t>
      </w:r>
    </w:p>
    <w:p>
      <w:pPr>
        <w:spacing w:after="0" w:line="68" w:lineRule="exact"/>
        <w:rPr>
          <w:sz w:val="20"/>
          <w:szCs w:val="20"/>
          <w:color w:val="auto"/>
        </w:rPr>
      </w:pPr>
    </w:p>
    <w:p>
      <w:pPr>
        <w:ind w:right="140" w:firstLine="510"/>
        <w:spacing w:after="0" w:line="253" w:lineRule="auto"/>
        <w:rPr>
          <w:sz w:val="20"/>
          <w:szCs w:val="20"/>
          <w:color w:val="auto"/>
        </w:rPr>
      </w:pPr>
      <w:r>
        <w:rPr>
          <w:rFonts w:ascii="Times New Roman" w:cs="Times New Roman" w:eastAsia="Times New Roman" w:hAnsi="Times New Roman"/>
          <w:sz w:val="18"/>
          <w:szCs w:val="18"/>
          <w:color w:val="auto"/>
        </w:rPr>
        <w:t xml:space="preserve">Numerous third-party U.S. and non-U.S. issued patents exist in the area of biotechnology, including in the area of targeted protein degraders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 of our technologies infringe patent claims or other intellectual property rights held by them or that we are employing their proprietary technology without authorization.</w:t>
      </w:r>
    </w:p>
    <w:p>
      <w:pPr>
        <w:spacing w:after="0" w:line="86"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targeted protein degraders. This patent may be alleged to cover one or more of our targeted protein degrader drug candidates, including our NX-2127 and NX-5948 drug candidates. While we believe that we have valid defenses against any assertion of such patent against us, such defenses may be unsuccessful. If we are unsuccessful and any of our targeted protein degrader drug candidates is found to infringe this patent, we could be required to obtain a license to such patent or forced to permanently cease developing, manufacturing, marketing and commercializing the infringing targeted protein degrader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8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3" w:name="page54"/>
    <w:bookmarkEnd w:id="53"/>
    <w:p>
      <w:pPr>
        <w:ind w:right="80" w:firstLine="510"/>
        <w:spacing w:after="0" w:line="252" w:lineRule="auto"/>
        <w:rPr>
          <w:sz w:val="20"/>
          <w:szCs w:val="20"/>
          <w:color w:val="auto"/>
        </w:rPr>
      </w:pPr>
      <w:r>
        <w:rPr>
          <w:rFonts w:ascii="Times New Roman" w:cs="Times New Roman" w:eastAsia="Times New Roman" w:hAnsi="Times New Roman"/>
          <w:sz w:val="18"/>
          <w:szCs w:val="18"/>
          <w:color w:val="auto"/>
        </w:rPr>
        <w:t>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However, we may not be able to obtain any such license on commercially reasonable terms or at all. Even if we were able to obtain a license, it could be non-exclusive, thereby giving our competitors and other third parties access to the same technologies licensed to us, and it could require us to make substantial licensing, royalty or other payments. Without such a license, we could be forced, including by court order, to cease commercializing the infringing technology or drug candidate. In addition, we could be found liable for monetary damages, which could be significant, including treble damages and attorneys’ fees if we are found to have willfully infringed a patent or other intellectual property right. A finding of infringement could prevent us from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w:t>
      </w:r>
    </w:p>
    <w:p>
      <w:pPr>
        <w:spacing w:after="0" w:line="8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modulation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w:t>
      </w:r>
    </w:p>
    <w:p>
      <w:pPr>
        <w:spacing w:after="0" w:line="84"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Additionally, pending patent applications that have been published can, subject to certain limitations, later be amended in a manner that could cover our technologies, our future products or the manufacture or use of our future products.</w:t>
      </w:r>
    </w:p>
    <w:p>
      <w:pPr>
        <w:spacing w:after="0" w:line="81"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54" w:name="page55"/>
    <w:bookmarkEnd w:id="54"/>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and development efforts, adversely affect our ability to raise additional funds, and could limit our ability to continue our operations. Any of the foregoing could have a material adverse effect on our business.</w:t>
      </w:r>
    </w:p>
    <w:p>
      <w:pPr>
        <w:spacing w:after="0" w:line="186"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w:t>
      </w:r>
    </w:p>
    <w:p>
      <w:pPr>
        <w:spacing w:after="0" w:line="28"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use the proprietary information or know-how of others in their work for us, we may be subject to claims that these individuals or we have inadvertently or otherwise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be a distraction to our management and other employees.</w:t>
      </w:r>
    </w:p>
    <w:p>
      <w:pPr>
        <w:spacing w:after="0" w:line="79"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In addition,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5" w:name="page56"/>
    <w:bookmarkEnd w:id="55"/>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51" w:lineRule="exact"/>
        <w:rPr>
          <w:sz w:val="20"/>
          <w:szCs w:val="20"/>
          <w:color w:val="auto"/>
        </w:rPr>
      </w:pPr>
    </w:p>
    <w:p>
      <w:pPr>
        <w:ind w:right="20" w:firstLine="510"/>
        <w:spacing w:after="0" w:line="268" w:lineRule="auto"/>
        <w:rPr>
          <w:sz w:val="20"/>
          <w:szCs w:val="20"/>
          <w:color w:val="auto"/>
        </w:rPr>
      </w:pPr>
      <w:r>
        <w:rPr>
          <w:rFonts w:ascii="Times New Roman" w:cs="Times New Roman" w:eastAsia="Times New Roman" w:hAnsi="Times New Roman"/>
          <w:sz w:val="17"/>
          <w:szCs w:val="17"/>
          <w:color w:val="auto"/>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drug candidates. An adverse result in any litigation or proceeding involving our patents or patent applications may put one or more of our patents at risk of being invalidated, held unenforceable or interpreted narrowly.</w:t>
      </w:r>
    </w:p>
    <w:p>
      <w:pPr>
        <w:spacing w:after="0" w:line="69"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Even if we successfully assert our patents or other intellectual property rights, a court may not award remedies that sufficiently compensate us for our losses.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and to secure patent term extensions throughout the world.</w:t>
      </w:r>
    </w:p>
    <w:p>
      <w:pPr>
        <w:spacing w:after="0" w:line="121"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drug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drug candidates and our patents or other intellectual property rights may not be effective or sufficient to prevent them from competing.</w:t>
      </w:r>
    </w:p>
    <w:p>
      <w:pPr>
        <w:spacing w:after="0" w:line="86"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6" w:name="page57"/>
    <w:bookmarkEnd w:id="56"/>
    <w:p>
      <w:pPr>
        <w:jc w:val="both"/>
        <w:ind w:right="100" w:firstLine="510"/>
        <w:spacing w:after="0" w:line="261"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5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are due to be paid to the USPTO and patent offices in foreign countries in several stages over the lifetime of the patent. The USPTO and patent offices in various foreign countries require compliance with a number of procedural, documentary, fee payment and other similar requirements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would have a material adverse effect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drug candidates, we also rely on trade secrets, including unpatented know-how, technology and other proprietary information, and confidentiality agreements to maintain our competitive position. However, 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Monitoring unauthorized uses and disclosures of our intellectual property is difficult, and we do not know whether the steps we have taken to protect our intellectual property will be effective.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of the United States are less willing or unwilling to protect trade secrets. As a result, we could lose our trade secrets and third parties could use our trade secrets to compete with our drug candidates and technology.</w:t>
      </w:r>
    </w:p>
    <w:p>
      <w:pPr>
        <w:spacing w:after="0" w:line="84"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may have or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w:t>
      </w:r>
    </w:p>
    <w:p>
      <w:pPr>
        <w:spacing w:after="0" w:line="72"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00" w:right="340" w:hanging="493"/>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drug candidates we may develop or utilize similar technology but that are not covered by the claims of the patents that we own or license now or in the future;</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make the inventions covered by the issued patent or pending patent application that we own or license now or in the future;</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1000" w:right="240" w:hanging="493"/>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7" w:name="page58"/>
    <w:bookmarkEnd w:id="57"/>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patent applications or those that we may own or license in the future will not lead to issued patents;</w:t>
      </w:r>
    </w:p>
    <w:p>
      <w:pPr>
        <w:spacing w:after="0" w:line="117" w:lineRule="exact"/>
        <w:rPr>
          <w:rFonts w:ascii="Times New Roman" w:cs="Times New Roman" w:eastAsia="Times New Roman" w:hAnsi="Times New Roman"/>
          <w:sz w:val="18"/>
          <w:szCs w:val="18"/>
          <w:color w:val="auto"/>
        </w:rPr>
      </w:pPr>
    </w:p>
    <w:p>
      <w:pPr>
        <w:ind w:left="1000" w:right="140" w:hanging="493"/>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may hold rights to in the future may be held invalid or unenforceable, including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00" w:right="680" w:hanging="493"/>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00" w:right="260" w:hanging="493"/>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Marketing of Our Drug Candidates</w:t>
      </w:r>
    </w:p>
    <w:p>
      <w:pPr>
        <w:spacing w:after="0" w:line="11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of the FDA is lengthy, time-consuming and inherently unpredictable, and if we are ultimately unable to obtain marketing approval for our drug candidates, our business will be substantially harmed.</w:t>
      </w:r>
    </w:p>
    <w:p>
      <w:pPr>
        <w:spacing w:after="0" w:line="5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by the FDA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drug candidates could be delayed or fail to receive marketing approval for many reasons, including the following:</w:t>
      </w:r>
    </w:p>
    <w:p>
      <w:pPr>
        <w:spacing w:after="0" w:line="117" w:lineRule="exact"/>
        <w:rPr>
          <w:sz w:val="20"/>
          <w:szCs w:val="20"/>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the design or implementation of our planned clinical trials;</w:t>
      </w:r>
    </w:p>
    <w:p>
      <w:pPr>
        <w:spacing w:after="0" w:line="117" w:lineRule="exact"/>
        <w:rPr>
          <w:rFonts w:ascii="Times New Roman" w:cs="Times New Roman" w:eastAsia="Times New Roman" w:hAnsi="Times New Roman"/>
          <w:sz w:val="18"/>
          <w:szCs w:val="18"/>
          <w:color w:val="auto"/>
        </w:rPr>
      </w:pPr>
    </w:p>
    <w:p>
      <w:pPr>
        <w:ind w:left="1000" w:right="38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from clinical trials of our drug candidates may not be sufficient to support the submission of an NDA to the FDA or other submissions necessary to obtain marketing approval in the United States;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that a drug candidate is safe and effective for its proposed indication;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for approval;</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drug candidates’ clinical and other benefits outweigh their safety risks;</w:t>
      </w:r>
    </w:p>
    <w:p>
      <w:pPr>
        <w:spacing w:after="0" w:line="117" w:lineRule="exact"/>
        <w:rPr>
          <w:rFonts w:ascii="Times New Roman" w:cs="Times New Roman" w:eastAsia="Times New Roman" w:hAnsi="Times New Roman"/>
          <w:sz w:val="18"/>
          <w:szCs w:val="18"/>
          <w:color w:val="auto"/>
        </w:rPr>
      </w:pPr>
    </w:p>
    <w:p>
      <w:pPr>
        <w:ind w:left="1000" w:right="16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may significantly change in a manner rendering our clinical data insufficient for approval.</w:t>
      </w:r>
    </w:p>
    <w:p>
      <w:pPr>
        <w:spacing w:after="0" w:line="117"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 Even if we believe the data collected from clinical trials of our drug candidates are promising, such data may not be sufficient to support approval by the FDA.</w:t>
      </w:r>
    </w:p>
    <w:p>
      <w:pPr>
        <w:spacing w:after="0" w:line="75"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or they may impose significant limitations in the form of narrow indications, warnings or a risk evaluation and mitigation strategy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58" w:name="page59"/>
    <w:bookmarkEnd w:id="58"/>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spacing w:after="0" w:line="7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may submit an NDA for one or more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If such confirmatory postmarketing trial fails to confirm the drug’s clinical profile or risks and benefits, the FDA may withdraw its approval of the drug.</w:t>
      </w:r>
    </w:p>
    <w:p>
      <w:pPr>
        <w:spacing w:after="0" w:line="79" w:lineRule="exact"/>
        <w:rPr>
          <w:sz w:val="20"/>
          <w:szCs w:val="20"/>
          <w:color w:val="auto"/>
        </w:rPr>
      </w:pPr>
    </w:p>
    <w:p>
      <w:pPr>
        <w:ind w:right="420" w:firstLine="510"/>
        <w:spacing w:after="0" w:line="261" w:lineRule="auto"/>
        <w:rPr>
          <w:sz w:val="20"/>
          <w:szCs w:val="20"/>
          <w:color w:val="auto"/>
        </w:rPr>
      </w:pPr>
      <w:r>
        <w:rPr>
          <w:rFonts w:ascii="Times New Roman" w:cs="Times New Roman" w:eastAsia="Times New Roman" w:hAnsi="Times New Roman"/>
          <w:sz w:val="18"/>
          <w:szCs w:val="18"/>
          <w:color w:val="auto"/>
        </w:rPr>
        <w:t>The FDA has broad discretion with regard to approval through the Accelerated Approval Program, and even if we believe that the Accelerated Approval Program is appropriate for one of our drug candidates, we cannot assure you that the FDA will ultimately agree. Furthermore, even if we do obtain approval through the Accelerated Approval Program, we may not experience a faster development process, review or approval compared to conventional FDA procedures.</w:t>
      </w:r>
    </w:p>
    <w:p>
      <w:pPr>
        <w:spacing w:after="0" w:line="72"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Even if FDA reviews an NDA seeking accelerated approval, there can be no assurance that approval will be granted on a timely basis, or at all. The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spacing w:after="0" w:line="80"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Even if we receive approval for one or more of our drug candidates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spacing w:after="0" w:line="79"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Moreover, Congress is considering potential changes to the Accelerated Approval Program that could impact our ability to obtain accelerated approval, or increase the burdens associated with postmarketing requirements in the event we do obtain accelerated approval. It is not possible to predict which changes Congress will include if it decides to enact changes to the Accelerated Approval Program, or if Congress will make any changes to the Accelerated Approval Program at all.</w:t>
      </w:r>
    </w:p>
    <w:p>
      <w:pPr>
        <w:spacing w:after="0" w:line="72" w:lineRule="exact"/>
        <w:rPr>
          <w:sz w:val="20"/>
          <w:szCs w:val="20"/>
          <w:color w:val="auto"/>
        </w:rPr>
      </w:pPr>
    </w:p>
    <w:p>
      <w:pPr>
        <w:jc w:val="both"/>
        <w:ind w:right="180" w:firstLine="510"/>
        <w:spacing w:after="0" w:line="266" w:lineRule="auto"/>
        <w:rPr>
          <w:sz w:val="20"/>
          <w:szCs w:val="20"/>
          <w:color w:val="auto"/>
        </w:rPr>
      </w:pPr>
      <w:r>
        <w:rPr>
          <w:rFonts w:ascii="Times New Roman" w:cs="Times New Roman" w:eastAsia="Times New Roman" w:hAnsi="Times New Roman"/>
          <w:sz w:val="18"/>
          <w:szCs w:val="18"/>
          <w:color w:val="auto"/>
        </w:rPr>
        <w:t>Any delay in obtaining, or inability to obtain, approval through the Accelerated Approval Program, or any issues in maintaining approval granted under the Accelerated Approval Program, would delay or prevent commercialization of our products, and would materially adversely affect our business, financial condition, results of operations, cash flows and prospects.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9" w:name="page60"/>
    <w:bookmarkEnd w:id="59"/>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as a company, have limited experience in filing for and obtaining regulatory approval to initiate a clinical trial and we do not have experience completing any clinical trials, including large-scale, pivotal clinical trials or in manufacturing or in quality assurance in order to market a new drug in the United States or in any other jurisdiction.</w:t>
      </w:r>
    </w:p>
    <w:p>
      <w:pPr>
        <w:spacing w:after="0" w:line="67"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As a company, we have limited experience in filing for or obtaining regulatory approval to initiate clinical trials, we do not have experience completing any clinical trials, including large-scale, pivotal clinical trials and we rely on third parties to conduct our clinical trials. We also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to successfully complete clinical trials and to obtain marketing approval for our drug candidates. If we are unable to obtain regulatory and marketing approval for our drug candidates or experience significant delays in our efforts to do so, our business could be substantially harmed.</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drug candidates from being marketed abroad and may limit our ability to generate revenue from product sales.</w:t>
      </w:r>
    </w:p>
    <w:p>
      <w:pPr>
        <w:spacing w:after="0" w:line="5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To market and sell our drug candidates in jurisdictions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w:t>
      </w:r>
    </w:p>
    <w:p>
      <w:pPr>
        <w:spacing w:after="0" w:line="86" w:lineRule="exact"/>
        <w:rPr>
          <w:sz w:val="20"/>
          <w:szCs w:val="20"/>
          <w:color w:val="auto"/>
        </w:rPr>
      </w:pPr>
    </w:p>
    <w:p>
      <w:pPr>
        <w:ind w:right="60" w:firstLine="510"/>
        <w:spacing w:after="0" w:line="251" w:lineRule="auto"/>
        <w:rPr>
          <w:sz w:val="20"/>
          <w:szCs w:val="20"/>
          <w:color w:val="auto"/>
        </w:rPr>
      </w:pPr>
      <w:r>
        <w:rPr>
          <w:rFonts w:ascii="Times New Roman" w:cs="Times New Roman" w:eastAsia="Times New Roman" w:hAnsi="Times New Roman"/>
          <w:sz w:val="18"/>
          <w:szCs w:val="18"/>
          <w:color w:val="auto"/>
        </w:rPr>
        <w:t>The UK’s exit from the EU continues to create political and economic uncertainty, particularly in the UK and the EU. The UK is now being treated as a ‘third country’ by the EU and new UK legislation has taken effect. This means that some regulatory activities, such as batch testing and Qualified Person certification conducted in Great Britain is no longer recognized in the EU.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cGMP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in the regulation of medicines (although divergence has appeared in some areas). However, some changes to the UK legislation have been immediately necessary, including the implementation of the Northern Ireland Protocol (NIP), pursuant to which, the EU pharmaceutical legal framework acquis continues to apply in Northern Ireland (subject to periodic consent of the Northern Ireland Legislative Assembly), and only products compliant with EU law can be placed in the Northern Ireland market - adding an extra layer of regulatory complexity. As companies now need to comply with a separate UK regulatory legal framework in order to commercialize medicinal products in Great Britain (namely, England, Wales and Scotland, as EU law continues to apply in Northern Ireland). The UK government is currently trying to renegotiate fundamental aspects of the NIP so this is an unpredictable area for companies in the near future. The TCA allows for future deviation from the current regulatory framework and it is not known if and/or when any deviations may occur, which may have an impact on development, manufacture, marketing authorization, commercial sales and distribution of pharmaceutical products. It is also important to note that obtaining a marketing authorization is not sufficient to gain effective access to the market in the EU and in the UK; companies still need to agree to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below). If we fail to comply with the regulatory requirements in international markets and thus do not receive applicable marketing approvals, our target market will be reduced, our ability to realize the full market potential of our drug candidates will be harmed and our business will be adversely affected. We may not obtain foreign regulatory approvals on a timely basis, or at all. Our failure to obtain approval of any of our drug candidates by regulatory authorities in another country may significantly diminish the commercial prospects of that drug candidate and our business prospects could decline.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0" w:name="page61"/>
    <w:bookmarkEnd w:id="60"/>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or any collaborators, obtain marketing approvals for our drug candidates, the terms of approvals and ongoing regulation of our products may limit how we, or they, manufacture and market our products, which could materially impair our ability to generate revenue.</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w:t>
      </w:r>
    </w:p>
    <w:p>
      <w:pPr>
        <w:spacing w:after="0" w:line="75"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EMA, Medicines and Healthcare products Regulatory Agency (MHRA) and other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to monitor and ensure compliance with cGMPs.</w:t>
      </w:r>
    </w:p>
    <w:p>
      <w:pPr>
        <w:spacing w:after="0" w:line="75"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w:t>
      </w:r>
    </w:p>
    <w:p>
      <w:pPr>
        <w:spacing w:after="0" w:line="68"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76"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w:t>
      </w:r>
    </w:p>
    <w:p>
      <w:pPr>
        <w:spacing w:after="0" w:line="67"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the MHRA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tracking and tracing,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w:t>
      </w:r>
    </w:p>
    <w:p>
      <w:pPr>
        <w:spacing w:after="0" w:line="80" w:lineRule="exact"/>
        <w:rPr>
          <w:sz w:val="20"/>
          <w:szCs w:val="20"/>
          <w:color w:val="auto"/>
        </w:rPr>
      </w:pPr>
    </w:p>
    <w:p>
      <w:pPr>
        <w:ind w:right="260" w:firstLine="510"/>
        <w:spacing w:after="0" w:line="258" w:lineRule="auto"/>
        <w:rPr>
          <w:sz w:val="20"/>
          <w:szCs w:val="20"/>
          <w:color w:val="auto"/>
        </w:rPr>
      </w:pPr>
      <w:r>
        <w:rPr>
          <w:rFonts w:ascii="Times New Roman" w:cs="Times New Roman" w:eastAsia="Times New Roman" w:hAnsi="Times New Roman"/>
          <w:sz w:val="18"/>
          <w:szCs w:val="18"/>
          <w:color w:val="auto"/>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discover that the drug is less effective than previously believed or causes undesirable side effects that were not previously identified, a number of potentially significant negative consequences could result, including:</w:t>
      </w:r>
    </w:p>
    <w:p>
      <w:pPr>
        <w:spacing w:after="0" w:line="75" w:lineRule="exact"/>
        <w:rPr>
          <w:sz w:val="20"/>
          <w:szCs w:val="20"/>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drug or seize the drug;</w:t>
      </w:r>
    </w:p>
    <w:p>
      <w:pPr>
        <w:spacing w:after="0" w:line="117" w:lineRule="exact"/>
        <w:rPr>
          <w:rFonts w:ascii="Times New Roman" w:cs="Times New Roman" w:eastAsia="Times New Roman" w:hAnsi="Times New Roman"/>
          <w:sz w:val="18"/>
          <w:szCs w:val="18"/>
          <w:color w:val="auto"/>
        </w:rPr>
      </w:pPr>
    </w:p>
    <w:p>
      <w:pPr>
        <w:ind w:left="1000" w:right="340" w:hanging="493"/>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recall the drug, change the way the drug is administered or conduct additional clinical trials;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drug;</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61" w:name="page62"/>
    <w:bookmarkEnd w:id="61"/>
    <w:p>
      <w:pPr>
        <w:ind w:left="1000" w:right="14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create a Medication Guide outlining the risks of the previously unidentified side effects for distribution to patients;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may become less competitive in the marketplace;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events could have a material and adverse effect on our operations and business and could adversely impact our stock price.</w:t>
      </w:r>
    </w:p>
    <w:p>
      <w:pPr>
        <w:spacing w:after="0" w:line="11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FDA also may impose requirements for costly post-marketing studies or clinical trials and surveillance to monitor the safety or efficacy of the product, including the adoption and implementation of REMS. The FDA and other agencies, including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Other jurisdictions, including European countries, have similar provisions which may lead to investigations and enforcement actions by national authorities.</w:t>
      </w:r>
    </w:p>
    <w:p>
      <w:pPr>
        <w:spacing w:after="0" w:line="84"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side effects or other problems with our products or their manufacturers or manufacturing processes, or failure to comply with regulatory requirements, may yield various results, including:</w:t>
      </w:r>
    </w:p>
    <w:p>
      <w:pPr>
        <w:spacing w:after="0" w:line="54" w:lineRule="exact"/>
        <w:rPr>
          <w:sz w:val="20"/>
          <w:szCs w:val="20"/>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17" w:lineRule="exact"/>
        <w:rPr>
          <w:sz w:val="20"/>
          <w:szCs w:val="20"/>
          <w:color w:val="auto"/>
        </w:rPr>
      </w:pPr>
    </w:p>
    <w:p>
      <w:pPr>
        <w:ind w:right="280" w:firstLine="510"/>
        <w:spacing w:after="0" w:line="261" w:lineRule="auto"/>
        <w:rPr>
          <w:sz w:val="20"/>
          <w:szCs w:val="20"/>
          <w:color w:val="auto"/>
        </w:rPr>
      </w:pPr>
      <w:r>
        <w:rPr>
          <w:rFonts w:ascii="Times New Roman" w:cs="Times New Roman" w:eastAsia="Times New Roman" w:hAnsi="Times New Roman"/>
          <w:sz w:val="18"/>
          <w:szCs w:val="18"/>
          <w:color w:val="auto"/>
        </w:rPr>
        <w:t>Non-compliance with EU requirements regarding safety monitoring or pharmacovigilance, and with requirements related to the development of products for the pediatric population (as explained further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62" w:name="page63"/>
    <w:bookmarkEnd w:id="62"/>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8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67" w:lineRule="exact"/>
        <w:rPr>
          <w:sz w:val="20"/>
          <w:szCs w:val="20"/>
          <w:color w:val="auto"/>
        </w:rPr>
      </w:pPr>
    </w:p>
    <w:p>
      <w:pPr>
        <w:ind w:right="140" w:firstLine="510"/>
        <w:spacing w:after="0" w:line="253" w:lineRule="auto"/>
        <w:rPr>
          <w:sz w:val="20"/>
          <w:szCs w:val="20"/>
          <w:color w:val="auto"/>
        </w:rPr>
      </w:pPr>
      <w:r>
        <w:rPr>
          <w:rFonts w:ascii="Times New Roman" w:cs="Times New Roman" w:eastAsia="Times New Roman" w:hAnsi="Times New Roman"/>
          <w:sz w:val="18"/>
          <w:szCs w:val="18"/>
          <w:color w:val="auto"/>
        </w:rPr>
        <w:t>We may seek Orphan Drug Designation or other designations from regulators for one or more of our current or future drug candidates. Regulatory authorities in some jurisdictions, including the United States, EU/ European Economic Area (EEA), Switzerland and the UK,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and licensure process.</w:t>
      </w:r>
    </w:p>
    <w:p>
      <w:pPr>
        <w:spacing w:after="0" w:line="78"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or licensure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drug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spacing w:after="0" w:line="84" w:lineRule="exact"/>
        <w:rPr>
          <w:sz w:val="20"/>
          <w:szCs w:val="20"/>
          <w:color w:val="auto"/>
        </w:rPr>
      </w:pPr>
    </w:p>
    <w:p>
      <w:pPr>
        <w:ind w:right="440" w:firstLine="510"/>
        <w:spacing w:after="0" w:line="289" w:lineRule="auto"/>
        <w:rPr>
          <w:sz w:val="20"/>
          <w:szCs w:val="20"/>
          <w:color w:val="auto"/>
        </w:rPr>
      </w:pPr>
      <w:r>
        <w:rPr>
          <w:rFonts w:ascii="Times New Roman" w:cs="Times New Roman" w:eastAsia="Times New Roman" w:hAnsi="Times New Roman"/>
          <w:sz w:val="17"/>
          <w:szCs w:val="17"/>
          <w:color w:val="auto"/>
        </w:rPr>
        <w:t>In addition, Congress is considering updates to the orphan drug provisions of the FDCA in response to a recent decision by the U.S. Court of Appeals for the Eleventh Circuit. Any changes to the orphan drug provisions could change our opportunities for, or likelihood of success in obtaining, orphan drug exclusivity and would materially adversely affect our business, financial condition, results of operations, cash flows and prospects.</w:t>
      </w:r>
    </w:p>
    <w:p>
      <w:pPr>
        <w:spacing w:after="0" w:line="50"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We may seek Orphan Drug Designation for our drug candidates in additional orphan indications in which there is a medically plausible basis for the use of these drug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may seek Orphan Drug Designation for other drug candidates, we may never receive these designations.</w:t>
      </w:r>
    </w:p>
    <w:p>
      <w:pPr>
        <w:spacing w:after="0" w:line="75"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order to obtain orphan designation in the EEA, the product must fulfill certain challenging criteria. Under Article 3 of Regulation (EC) 141/2000, a medicinal product may be designated as an orphan medicinal product if it meets the following criteria: (1) it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3" w:name="page64"/>
    <w:bookmarkEnd w:id="63"/>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Products receiving orphan designation in the EU may receive 10 years of orphan market exclusivity (which can be further extended by two years if pediatric studies have been conducted in accordance with an agreed pediatric investigational plan). Applications must first satisfy the orphan designation criteria and apply for orphan designation before making the application for marketing authorization. The applicant must then successfully maintain the orphan designation at the time of the marketing authorization application in order to qualify for 10 years of orphan market exclusivity. During this 10-year period, the competent authorities of the EU Member States and European Commission may not accept applications or grant marketing authorization for other similar medicinal products for the same orphan therapeutic indication. The protection afforded by orphan market exclusivity in the EU may, in some circumstances, be circumvented by competitor products which are demonstrated not to be ‘similar’ or which are authorized for different therapeutic indications. There may be a risk that products may be prescribed ‘off-label’ for the orphan therapeutic indication by healthcare professions in some EU Member States.</w:t>
      </w:r>
    </w:p>
    <w:p>
      <w:pPr>
        <w:spacing w:after="0" w:line="80"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There are also three exceptions to the orphan market exclusivity principle. Marketing authorization may be granted to a similar medicinal product for the same orphan therapeutic indication if:</w:t>
      </w:r>
    </w:p>
    <w:p>
      <w:pPr>
        <w:spacing w:after="0" w:line="54" w:lineRule="exact"/>
        <w:rPr>
          <w:sz w:val="20"/>
          <w:szCs w:val="20"/>
          <w:color w:val="auto"/>
        </w:rPr>
      </w:pPr>
    </w:p>
    <w:p>
      <w:pPr>
        <w:ind w:left="1000" w:right="420" w:hanging="493"/>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53" w:lineRule="exact"/>
        <w:rPr>
          <w:rFonts w:ascii="Times New Roman" w:cs="Times New Roman" w:eastAsia="Times New Roman" w:hAnsi="Times New Roman"/>
          <w:sz w:val="18"/>
          <w:szCs w:val="18"/>
          <w:color w:val="auto"/>
        </w:rPr>
      </w:pPr>
    </w:p>
    <w:p>
      <w:pPr>
        <w:ind w:left="1000" w:right="780" w:hanging="493"/>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consents to a second orphan medicinal product application; or</w:t>
      </w:r>
    </w:p>
    <w:p>
      <w:pPr>
        <w:spacing w:after="0" w:line="53" w:lineRule="exact"/>
        <w:rPr>
          <w:rFonts w:ascii="Times New Roman" w:cs="Times New Roman" w:eastAsia="Times New Roman" w:hAnsi="Times New Roman"/>
          <w:sz w:val="18"/>
          <w:szCs w:val="18"/>
          <w:color w:val="auto"/>
        </w:rPr>
      </w:pPr>
    </w:p>
    <w:p>
      <w:pPr>
        <w:ind w:left="1000" w:right="200" w:hanging="493"/>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cannot supply sufficient quantities of orphan medicinal product.</w:t>
      </w:r>
    </w:p>
    <w:p>
      <w:pPr>
        <w:spacing w:after="0" w:line="54" w:lineRule="exact"/>
        <w:rPr>
          <w:sz w:val="20"/>
          <w:szCs w:val="20"/>
          <w:color w:val="auto"/>
        </w:rPr>
      </w:pPr>
    </w:p>
    <w:p>
      <w:pPr>
        <w:ind w:right="200" w:firstLine="619"/>
        <w:spacing w:after="0" w:line="261" w:lineRule="auto"/>
        <w:rPr>
          <w:sz w:val="20"/>
          <w:szCs w:val="20"/>
          <w:color w:val="auto"/>
        </w:rPr>
      </w:pPr>
      <w:r>
        <w:rPr>
          <w:rFonts w:ascii="Times New Roman" w:cs="Times New Roman" w:eastAsia="Times New Roman" w:hAnsi="Times New Roman"/>
          <w:sz w:val="18"/>
          <w:szCs w:val="18"/>
          <w:color w:val="auto"/>
        </w:rPr>
        <w:t>An orphan product can also obtain an additional two years of orphan market exclusivity in the EU if the marketing authorization application contains the results of all pediatric studies conducted in accordance with and agreed pediatric investigation plan.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72" w:lineRule="exact"/>
        <w:rPr>
          <w:sz w:val="20"/>
          <w:szCs w:val="20"/>
          <w:color w:val="auto"/>
        </w:rPr>
      </w:pPr>
    </w:p>
    <w:p>
      <w:pPr>
        <w:ind w:right="460" w:firstLine="619"/>
        <w:spacing w:after="0" w:line="282" w:lineRule="auto"/>
        <w:rPr>
          <w:sz w:val="20"/>
          <w:szCs w:val="20"/>
          <w:color w:val="auto"/>
        </w:rPr>
      </w:pPr>
      <w:r>
        <w:rPr>
          <w:rFonts w:ascii="Times New Roman" w:cs="Times New Roman" w:eastAsia="Times New Roman" w:hAnsi="Times New Roman"/>
          <w:sz w:val="18"/>
          <w:szCs w:val="18"/>
          <w:color w:val="auto"/>
        </w:rPr>
        <w:t>The UK’s regulatory legal framework provides for similar periods of protection (namely regulatory data protection, marketing protection and market exclusivity).</w:t>
      </w:r>
    </w:p>
    <w:p>
      <w:pPr>
        <w:spacing w:after="0" w:line="54" w:lineRule="exact"/>
        <w:rPr>
          <w:sz w:val="20"/>
          <w:szCs w:val="20"/>
          <w:color w:val="auto"/>
        </w:rPr>
      </w:pPr>
    </w:p>
    <w:p>
      <w:pPr>
        <w:ind w:right="100" w:firstLine="619"/>
        <w:spacing w:after="0" w:line="266" w:lineRule="auto"/>
        <w:rPr>
          <w:sz w:val="20"/>
          <w:szCs w:val="20"/>
          <w:color w:val="auto"/>
        </w:rPr>
      </w:pPr>
      <w:r>
        <w:rPr>
          <w:rFonts w:ascii="Times New Roman" w:cs="Times New Roman" w:eastAsia="Times New Roman" w:hAnsi="Times New Roman"/>
          <w:sz w:val="18"/>
          <w:szCs w:val="18"/>
          <w:color w:val="auto"/>
        </w:rPr>
        <w:t>It is important to note that the regulatory protection afforded to medicinal products such as data exclusivity, marketing protection, market exclusivity for orphan indications and pediatric extension are currently under review at the EU level. It is expected that the protection currently afforded in the EU will be reduced in the years to come.</w:t>
      </w:r>
    </w:p>
    <w:p>
      <w:pPr>
        <w:spacing w:after="0" w:line="68"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8"/>
          <w:szCs w:val="18"/>
          <w:color w:val="auto"/>
        </w:rPr>
        <w:t>In addition, we filed for and received an Innovation Passport designation for NX-1607 in the UK in February 2022. The Innovation Passport is the mandated entry point to the Innovative Licensing and Access Pathway (ILAP) in the UK to facilitate approval of and market access to an innovative medicine. Grant of the Innovation Passport paves the way for enhanced engagement with key stakeholders such as the MHRA, health technology agencies in the UK such as the National Institute for Health and Care Excellence (NICE) or the Scottish Medicines Consortium (SMC) and NHS England. However, although the goal of ILAP and the Innovation Passport is to reduce the time to market and enable earlier patient access, it does not accelerate conduct of clinical trials or mean that the regulatory requirements are less stringent, nor does it ensure that any NX-1607 MAA will be approved or that any approval will be granted within any particular timeframe. Despite receiving an Innovation Passport designation, we may decide to delay or forego the commercialization of NX-1607 in the UK or the development may otherwise not proceed.</w:t>
      </w:r>
    </w:p>
    <w:p>
      <w:pPr>
        <w:spacing w:after="0" w:line="18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spacing w:after="0" w:line="67"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8"/>
          <w:szCs w:val="18"/>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4" w:name="page65"/>
    <w:bookmarkEnd w:id="64"/>
    <w:p>
      <w:pPr>
        <w:ind w:firstLine="619"/>
        <w:spacing w:after="0" w:line="253" w:lineRule="auto"/>
        <w:rPr>
          <w:sz w:val="20"/>
          <w:szCs w:val="20"/>
          <w:color w:val="auto"/>
        </w:rPr>
      </w:pPr>
      <w:r>
        <w:rPr>
          <w:rFonts w:ascii="Times New Roman" w:cs="Times New Roman" w:eastAsia="Times New Roman" w:hAnsi="Times New Roman"/>
          <w:sz w:val="18"/>
          <w:szCs w:val="18"/>
          <w:color w:val="auto"/>
        </w:rPr>
        <w:t>The FDA may not approve an ANDA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drug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candidate. This three-year exclusivity covers only the conditions associated with the new clinical investigations and does not prohibit the FDA from approving ANDAs for drug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spacing w:after="0" w:line="82"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spacing w:after="0" w:line="17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w:t>
      </w:r>
    </w:p>
    <w:p>
      <w:pPr>
        <w:spacing w:after="0" w:line="67" w:lineRule="exact"/>
        <w:rPr>
          <w:sz w:val="20"/>
          <w:szCs w:val="20"/>
          <w:color w:val="auto"/>
        </w:rPr>
      </w:pPr>
    </w:p>
    <w:p>
      <w:pPr>
        <w:ind w:firstLine="619"/>
        <w:spacing w:after="0" w:line="252" w:lineRule="auto"/>
        <w:rPr>
          <w:sz w:val="20"/>
          <w:szCs w:val="20"/>
          <w:color w:val="auto"/>
        </w:rPr>
      </w:pPr>
      <w:r>
        <w:rPr>
          <w:rFonts w:ascii="Times New Roman" w:cs="Times New Roman" w:eastAsia="Times New Roman" w:hAnsi="Times New Roman"/>
          <w:sz w:val="18"/>
          <w:szCs w:val="18"/>
          <w:color w:val="auto"/>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EU/EEA). During this period, applicants for approval of generics or biosimilars cannot rely on data contained in the marketing authorization dossier submitted for the already authorized, or reference, medicinal product to support their application. After the expiration of the eight-year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 market, but a generic or biosimilar marketing authorization application can be submitted to the competent regulatory authorities in the EU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marketing authorization application based on a full self-standing scientific data package supporting the application. The period of regulatory data protection and marketing protection applies in the UK (running from the date of the first authorization in Great Britain).</w:t>
      </w:r>
    </w:p>
    <w:p>
      <w:pPr>
        <w:spacing w:after="0" w:line="87"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8"/>
          <w:szCs w:val="18"/>
          <w:color w:val="auto"/>
        </w:rPr>
        <w:t>In the EU, pursuant to Regulation 1901/2006, and in the UK pursuant to the Human Medicines Regulations 2012 (as amended), marketing authorization applications must include pediatric data based on pediatric investigation plans agreed with the EMA if the MAA concerns (i) a new active substance, or (ii) a new indication, pharmacological form, or route of administration (where the product is protected by a supplementary protection certificate or a patent qualifying for a supplementary certificate).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supplementary protection certificate may be entitled to a six-month extension to the supplementary protection certificate.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5" w:name="page66"/>
    <w:bookmarkEnd w:id="65"/>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w:t>
      </w:r>
    </w:p>
    <w:p>
      <w:pPr>
        <w:spacing w:after="0" w:line="67"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Our arrangements with third-party payors, physicians, and other potential customers will subject us to broadly applicable fraud and abuse and other healthcare laws and regulations that may constrain the business or financial arrangements and relationships through which we market, sell and distribute any drug candidates for which we obtain marketing approval.</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Applicable U.S. federal and state healthcare laws and regulations include the following:</w:t>
      </w:r>
    </w:p>
    <w:p>
      <w:pPr>
        <w:spacing w:after="0" w:line="117" w:lineRule="exact"/>
        <w:rPr>
          <w:sz w:val="20"/>
          <w:szCs w:val="20"/>
          <w:color w:val="auto"/>
        </w:rPr>
      </w:pPr>
    </w:p>
    <w:p>
      <w:pPr>
        <w:ind w:left="1000" w:hanging="493"/>
        <w:spacing w:after="0" w:line="255"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p>
      <w:pPr>
        <w:spacing w:after="0" w:line="78" w:lineRule="exact"/>
        <w:rPr>
          <w:rFonts w:ascii="Times New Roman" w:cs="Times New Roman" w:eastAsia="Times New Roman" w:hAnsi="Times New Roman"/>
          <w:sz w:val="18"/>
          <w:szCs w:val="18"/>
          <w:color w:val="auto"/>
        </w:rPr>
      </w:pPr>
    </w:p>
    <w:p>
      <w:pPr>
        <w:ind w:left="1000" w:right="80" w:hanging="493"/>
        <w:spacing w:after="0" w:line="255"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civil False Claims Act, which may be enforced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w:t>
      </w:r>
    </w:p>
    <w:p>
      <w:pPr>
        <w:spacing w:after="0" w:line="78" w:lineRule="exact"/>
        <w:rPr>
          <w:rFonts w:ascii="Times New Roman" w:cs="Times New Roman" w:eastAsia="Times New Roman" w:hAnsi="Times New Roman"/>
          <w:sz w:val="18"/>
          <w:szCs w:val="18"/>
          <w:color w:val="auto"/>
        </w:rPr>
      </w:pPr>
    </w:p>
    <w:p>
      <w:pPr>
        <w:ind w:left="1000" w:right="120" w:hanging="493"/>
        <w:spacing w:after="0" w:line="25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75" w:lineRule="exact"/>
        <w:rPr>
          <w:rFonts w:ascii="Times New Roman" w:cs="Times New Roman" w:eastAsia="Times New Roman" w:hAnsi="Times New Roman"/>
          <w:sz w:val="18"/>
          <w:szCs w:val="18"/>
          <w:color w:val="auto"/>
        </w:rPr>
      </w:pPr>
    </w:p>
    <w:p>
      <w:pPr>
        <w:ind w:left="1000" w:right="300" w:hanging="493"/>
        <w:spacing w:after="0" w:line="26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statutes created by the Health Insurance Portability and Accountability Act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w:t>
      </w:r>
    </w:p>
    <w:p>
      <w:pPr>
        <w:spacing w:after="0" w:line="71" w:lineRule="exact"/>
        <w:rPr>
          <w:rFonts w:ascii="Times New Roman" w:cs="Times New Roman" w:eastAsia="Times New Roman" w:hAnsi="Times New Roman"/>
          <w:sz w:val="18"/>
          <w:szCs w:val="18"/>
          <w:color w:val="auto"/>
        </w:rPr>
      </w:pPr>
    </w:p>
    <w:p>
      <w:pPr>
        <w:ind w:left="1000" w:right="120" w:hanging="493"/>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67" w:lineRule="exact"/>
        <w:rPr>
          <w:rFonts w:ascii="Times New Roman" w:cs="Times New Roman" w:eastAsia="Times New Roman" w:hAnsi="Times New Roman"/>
          <w:sz w:val="18"/>
          <w:szCs w:val="18"/>
          <w:color w:val="auto"/>
        </w:rPr>
      </w:pPr>
    </w:p>
    <w:p>
      <w:pPr>
        <w:ind w:left="1000" w:right="660" w:hanging="493"/>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which among other things, strictly regulates drug marketing, prohibits manufacturers from marketing such products for off-label use or misbranding or adulterating their products, and regulates the distribution of samples;</w:t>
      </w:r>
    </w:p>
    <w:p>
      <w:pPr>
        <w:spacing w:after="0" w:line="53" w:lineRule="exact"/>
        <w:rPr>
          <w:rFonts w:ascii="Times New Roman" w:cs="Times New Roman" w:eastAsia="Times New Roman" w:hAnsi="Times New Roman"/>
          <w:sz w:val="18"/>
          <w:szCs w:val="18"/>
          <w:color w:val="auto"/>
        </w:rPr>
      </w:pPr>
    </w:p>
    <w:p>
      <w:pPr>
        <w:jc w:val="both"/>
        <w:ind w:left="1000" w:right="60" w:hanging="493"/>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and state laws that require pharmaceutical manufacturers to report certain calculated product pricing metrics to the government or provide certain discounts or rebates to government authorities or private entities, often as a condition of product coverage and reimbursement under federal healthcare programs</w:t>
      </w:r>
    </w:p>
    <w:p>
      <w:pPr>
        <w:spacing w:after="0" w:line="67" w:lineRule="exact"/>
        <w:rPr>
          <w:rFonts w:ascii="Times New Roman" w:cs="Times New Roman" w:eastAsia="Times New Roman" w:hAnsi="Times New Roman"/>
          <w:sz w:val="18"/>
          <w:szCs w:val="18"/>
          <w:color w:val="auto"/>
        </w:rPr>
      </w:pPr>
    </w:p>
    <w:p>
      <w:pPr>
        <w:ind w:left="1000" w:right="100" w:hanging="493"/>
        <w:spacing w:after="0" w:line="25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teaching hospitals, physician assistants, nurse practitioners, clinical nurse specialists, certified nurse anesthetists, anesthesiologist assistants and certified nurse-midwives as well as certain ownership and investment interests held by physicians and their immediate families;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6" w:name="page67"/>
    <w:bookmarkEnd w:id="66"/>
    <w:p>
      <w:pPr>
        <w:ind w:left="1000" w:right="100" w:hanging="493"/>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w:t>
      </w:r>
    </w:p>
    <w:p>
      <w:pPr>
        <w:spacing w:after="0" w:line="67" w:lineRule="exact"/>
        <w:rPr>
          <w:rFonts w:ascii="Times New Roman" w:cs="Times New Roman" w:eastAsia="Times New Roman" w:hAnsi="Times New Roman"/>
          <w:sz w:val="18"/>
          <w:szCs w:val="18"/>
          <w:color w:val="auto"/>
        </w:rPr>
      </w:pPr>
    </w:p>
    <w:p>
      <w:pPr>
        <w:ind w:left="1000" w:right="60" w:hanging="493"/>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pharmaceutical companies to comply with the pharmaceutical industry’s voluntary compliance guidelines and relevant compliance guidance promulgated by the federal government;</w:t>
      </w:r>
    </w:p>
    <w:p>
      <w:pPr>
        <w:spacing w:after="0" w:line="53"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drug manufacturers to report information related to payments and other transfers of value to physicians and other healthcare providers or marketing expenditures;</w:t>
      </w:r>
    </w:p>
    <w:p>
      <w:pPr>
        <w:spacing w:after="0" w:line="53" w:lineRule="exact"/>
        <w:rPr>
          <w:rFonts w:ascii="Times New Roman" w:cs="Times New Roman" w:eastAsia="Times New Roman" w:hAnsi="Times New Roman"/>
          <w:sz w:val="18"/>
          <w:szCs w:val="18"/>
          <w:color w:val="auto"/>
        </w:rPr>
      </w:pPr>
    </w:p>
    <w:p>
      <w:pPr>
        <w:ind w:left="1000" w:hanging="493"/>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 laws that prohibit various marketing-related activities, such as the provision of certain kinds of gifts or meals; require the reporting of certain pricing information, including information pertaining to and justifying price increases, or prohibit prescription drug price gouging; and certain state and local laws that require the registration of pharmaceutical sales representatives; and</w:t>
      </w:r>
    </w:p>
    <w:p>
      <w:pPr>
        <w:spacing w:after="0" w:line="67" w:lineRule="exact"/>
        <w:rPr>
          <w:rFonts w:ascii="Times New Roman" w:cs="Times New Roman" w:eastAsia="Times New Roman" w:hAnsi="Times New Roman"/>
          <w:sz w:val="18"/>
          <w:szCs w:val="18"/>
          <w:color w:val="auto"/>
        </w:rPr>
      </w:pPr>
    </w:p>
    <w:p>
      <w:pPr>
        <w:ind w:left="1000" w:right="380" w:hanging="493"/>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54"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w:t>
      </w:r>
    </w:p>
    <w:p>
      <w:pPr>
        <w:spacing w:after="0" w:line="84"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Providing benefits or advantages to induce or reward improper performance generally to induce or encourage the prescription, recommendation, endorsement, purchase, supply, order or use of medicinal products is prohibited in the EU and the UK. The provision of benefits or advantages to induce or reward improper performance is governed by the national anti-bribery laws of EU Member States, and in respect of the UK, the Bribery Act 2010. Infringement of these laws may result in substantial fines and imprisonment. EU Directive 2001/83/EC, which is the EU Directive governing medicinal products for human use, provides that, where medicinal products are being promoted to healthcare professionals, no gifts, pecuniary advantages or benefits in kind may be supplied, offered or promised to such individuals unless they are inexpensive and relevant to the practice of medicine or pharmacy. This provision was transposed into the Human Medicines Regulations 2012 and as such remains applicable in the UK.</w:t>
      </w:r>
    </w:p>
    <w:p>
      <w:pPr>
        <w:spacing w:after="0" w:line="81"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In addition, agreements with healthcare professionals must often be the subject of prior notification and approval by the healthcare professional’s employer, his or her competent professional organization and/or the regulatory authorities of individual EU Member States. These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FDA’s and other regulatory authorities’ policies may change, and additional government regulations may be enacted that could prevent, limit or delay regulatory approval of our drug candidates.</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7" w:name="page68"/>
    <w:bookmarkEnd w:id="67"/>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and any collaborators, to obtain marketing approval of and commercialize our drug candidates and affect the prices we, or they, may obtain.</w:t>
      </w:r>
    </w:p>
    <w:p>
      <w:pPr>
        <w:spacing w:after="0" w:line="5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75"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75" w:lineRule="exact"/>
        <w:rPr>
          <w:sz w:val="20"/>
          <w:szCs w:val="20"/>
          <w:color w:val="auto"/>
        </w:rPr>
      </w:pPr>
    </w:p>
    <w:p>
      <w:pPr>
        <w:ind w:right="20" w:firstLine="510"/>
        <w:spacing w:after="0" w:line="268" w:lineRule="auto"/>
        <w:rPr>
          <w:sz w:val="20"/>
          <w:szCs w:val="20"/>
          <w:color w:val="auto"/>
        </w:rPr>
      </w:pPr>
      <w:r>
        <w:rPr>
          <w:rFonts w:ascii="Times New Roman" w:cs="Times New Roman" w:eastAsia="Times New Roman" w:hAnsi="Times New Roman"/>
          <w:sz w:val="17"/>
          <w:szCs w:val="17"/>
          <w:color w:val="auto"/>
        </w:rPr>
        <w:t>To date, there have been several recent U.S. congressional inquiries and proposed and enacted state and federal legislation and regulation designed to, among other things, bring more transparency to drug pricing, review the relationship between pricing and manufacturer patient support programs, reduce the costs of drugs under Medicare and reform government program reimbursement methodologies for drug products. For example, included in the Consolidated Appropriations Act, 2021 were several drug price reporting and transparency measures, such as a new requirement for certain Medicare plans to develop tools to display Medicare Part D prescription drug benefit information in real time and for group and health insurance issuers to report information on pharmacy benefit and drug costs to the Secretaries of the Departments of Health and Human Services, Labor and the Treasury. Additionally, both Congress and the Biden administration have each indicated that it will continue to seek new legislative and/or administrative measures to address prescription drug costs. For example, in response to a July 9, 2021 Executive Order from the Biden administration that announced the administration’s intent to “support aggressive legislative reforms that would lower prescription drug prices,” on September 9, 2021, the Department of Health and Human Services issued a Comprehensive Plan for Addressing High Drug Prices that identified potential legislative policies and administrative tools that Congress and the agency can pursue in order to make drug prices more affordable and equitable, improve and promote competition throughout the prescription drug industry, and foster scientific innovation. Additionally, on February 2, 2022, the Biden administration signaled its continued commitment to the Cancer Moonshot initiative, which was initially launched in 2016. In its announcement, the administration noted that its new goals under the initiative include addressing inequities in order to ensure broader access to cutting-edge cancer therapeutics and investing in a robust pipeline for new treatments. Most recently, on May 10, 2022, the Biden administration announced a plan to combat inflation that included a call to Congress to lower prescription drug costs and health premiums by allowing Medicare to negotiate drug prices, penalizing drug companies that raise prices faster than inflation and making other needed reforms to lower drug prices. Congress has also continued to conduct inquiries into the prescription drug industry’s pricing practices.</w:t>
      </w:r>
    </w:p>
    <w:p>
      <w:pPr>
        <w:spacing w:after="0" w:line="287"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79"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from the sales of drugs, if any.</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an HTA to assess the cost-effectiveness of the product (in the UK that HTA assessment is conducted by the National Institute for Health and Care Excellence which may significantly impact effective access to the market. If reimbursement of our drugs is unavailable or limited in scope or amount, or if pricing is set at unsatisfactory levels, our business could be materially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Employees, Managing our Growth and Other Legal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may adversely affect our business and the market price of our common stock.</w:t>
      </w:r>
    </w:p>
    <w:p>
      <w:pPr>
        <w:spacing w:after="0" w:line="121" w:lineRule="exact"/>
        <w:rPr>
          <w:sz w:val="20"/>
          <w:szCs w:val="20"/>
          <w:color w:val="auto"/>
        </w:rPr>
      </w:pPr>
    </w:p>
    <w:p>
      <w:pPr>
        <w:ind w:right="20" w:firstLine="510"/>
        <w:spacing w:after="0" w:line="251" w:lineRule="auto"/>
        <w:rPr>
          <w:sz w:val="20"/>
          <w:szCs w:val="20"/>
          <w:color w:val="auto"/>
        </w:rPr>
      </w:pPr>
      <w:r>
        <w:rPr>
          <w:rFonts w:ascii="Times New Roman" w:cs="Times New Roman" w:eastAsia="Times New Roman" w:hAnsi="Times New Roman"/>
          <w:sz w:val="18"/>
          <w:szCs w:val="18"/>
          <w:color w:val="auto"/>
        </w:rPr>
        <w:t>The ongoing global pandemic of COVID-19 is impacting worldwide economic activity and poses the risk that we or our employees, contractors, suppliers, and other partners may be prevented from conducting business activities for an indefinite period of time, including due to shutdowns that may be requested or mandated by governmental authorities. Although it is not possible at this time to estimate the impact that COVID-19 could have on our business, the continued spread of COVID-19 and the measures taken by the governments of countries affected could disrupt the supply chain and the manufacture or shipment of both drug substance and finished drug product for our drug candidates for preclinical testing and clinical trials, cause diversion of healthcare resources away from the conduct of preclinical and clinical trial matters to focus on pandemic concerns, limit travel in a manner that interrupts key trial activities, such as trial site initiations and monitoring, delay regulatory filings with regulatory agencies in affected areas or adversely affect our ability to obtain regulatory approvals. Additionally, disruptions at the FDA, the EMA and other regulators, caused by global health concerns, including the COVID-19 pandemic, including delays in inspections of clinical trial or manufacturing sites required as part of the drug application review process, could result in delays of reviews and approvals of our drug candidates or our proposed clinical trials. For example, in response to the COVID-19 pandemic, on March 10, 2020, the FDA announced its intention to postpone most inspections of foreign manufacturing facilities and products inspections of domestic manufacturing facilities through April 2020. On March 18, 2020, the FDA announced its intention to temporarily postpone routine surveillance inspections of domestic manufacturing facilities and provided guidance regarding the conduct of clinical trials. On July 10, 2020, the FDA announced that it is working toward the goal of restarting on-site inspections it deems to be “mission critical.” On August 19, 2020, the FDA published guidance clarifying how it intends to conduct inspections during the COVID-19 pandemic, including how it plans to determine which inspections are “mission critical,” and published an updated form of this guidance on May 17, 2021. Additionally, on April 14,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still be appropriate. The FDA has since adjusted its inspection activities in response to the ongoing COVID-19 pandemic. On December 29, 2021, the FDA implemented temporary changes to its inspectional activities to ensure the safety of its employees and regulated firms. On February 2, 2022, the FDA announced that it would resume domestic surveillance inspections across all product areas on February 7, 2022. We cannot predict whether, and when, the FDA will decide to pause or resume inspections due to the COVID-19 pandemic. Moreover, it is unclear how the FDA’s policies and guidance will impact any inspections of our facilities, including our clinical trial sites. Regulatory authorities outside the United States may adopt similar restrictions or other policy measures in response to the COVID-19 pandemic.</w:t>
      </w:r>
    </w:p>
    <w:p>
      <w:pPr>
        <w:spacing w:after="0" w:line="96"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The COVID-19 pandemic and mitigation measures also may have an adverse impact on global economic conditions, which could adversely impact our business, financial condition or results of operations. Additionally, the COVID-19 pandemic has resulted in significant financial market volatility and uncertainty. A continuation or worsening of the levels of market disruption and volatility seen in the recent past as a result of the COVID-19 pandemic could have an adverse effect on our ability to access capital and on the market price of our common stock. It is currently not possible to predict how long the COVID-19 pandemic will last or the time that it will take for economic activity to return to prior levels. The extent to which the COVID-19 pandemic impacts our results will depend on future developments that are highly uncertain and cannot be predicted, including new information that may emerge concerning the severity of the virus and the actions taken to contain its impact. See also the section titled “—Risks Related to Dependence on Third Parties.”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9" w:name="page70"/>
    <w:bookmarkEnd w:id="69"/>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Our ability to compete in the highly competitive 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our Chief Scientific Officer, Gwenn Hansen, Ph.D., and our Chief Operating Officer and Executive Vice President of Product Development, Stefani A. Wolff. The loss of the services of Drs. Sands and Hansen or Ms. Wolff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80"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w:t>
      </w:r>
    </w:p>
    <w:p>
      <w:pPr>
        <w:spacing w:after="0" w:line="72"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81"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our organization, and we may experience difficulties in managing this growth, which could disrupt our operations.</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in December 2020 and currently have four drug candidates in ongoing Phase 1 trials.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w:t>
      </w:r>
    </w:p>
    <w:p>
      <w:pPr>
        <w:spacing w:after="0" w:line="18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51"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vendors, principal investigators, CROs and consultants may engage in fraudulent conduct or other illegal activity. Misconduct by these parties could include:</w:t>
      </w:r>
    </w:p>
    <w:p>
      <w:pPr>
        <w:spacing w:after="0" w:line="54" w:lineRule="exact"/>
        <w:rPr>
          <w:sz w:val="20"/>
          <w:szCs w:val="20"/>
          <w:color w:val="auto"/>
        </w:rPr>
      </w:pPr>
    </w:p>
    <w:p>
      <w:pPr>
        <w:ind w:left="1000" w:right="440" w:hanging="493"/>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reckless or negligent conduct or disclosure to us of unauthorized activities that violate the regulations of the FDA or similar foreign regulatory authorities;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fraud and abuse in violation of U.S. and foreign laws and regulations;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U.S. federal securities laws relating to trading in our common stock;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report financial information or data accurately.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70" w:name="page71"/>
    <w:bookmarkEnd w:id="70"/>
    <w:p>
      <w:pPr>
        <w:ind w:firstLine="510"/>
        <w:spacing w:after="0" w:line="254"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diminished profits and future earnings, any of which could adversely affect our ability to operate our business or cause reputational harm.</w:t>
      </w:r>
    </w:p>
    <w:p>
      <w:pPr>
        <w:spacing w:after="0" w:line="18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pacing w:after="0" w:line="72"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infrastructure and data to operate our business. In the ordinary course of our business, we collect, store and transmit large amounts of confidential information, including but not limited to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w:t>
      </w:r>
    </w:p>
    <w:p>
      <w:pPr>
        <w:spacing w:after="0" w:line="84"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technology systems and infrastructure, and those of our current and any future collaborators, contractors and consultants and other third parties on which we rely, are vulnerable to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our system infrastructure, or that of our third-party vendors and other contractors and consultants or lead to data leakage.</w:t>
      </w:r>
    </w:p>
    <w:p>
      <w:pPr>
        <w:spacing w:after="0" w:line="81"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that access confidential information increases the risk of data security breaches, which could lead to the loss of confidential information or other intellectual property.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drug candidates could be delayed. The costs to us to mitigate network security problems, bugs, viruses, worms, malicious software programs and security vulnerabilities could be material, and although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1" w:name="page72"/>
    <w:bookmarkEnd w:id="71"/>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If any such event, including a computer security breach, results in the unauthorized access, use or release of personally identifiable information, our reputation could be materially damaged. In addition, such a breach may require notification to governmental agencies, the media or individuals pursuant to various federal and state privacy and security laws (and other similar non-U.S. laws), subject us to mandatory corrective action, and otherwise subject us to liability under laws and regulations that protect the privacy and security of personal information. For example, data breaches frequently result in regulatory actions and commercial and class action litigation based on a variety of laws and legal duties, such as the California Consumer Privacy Act (CCPA), which provides for a private right of action in the event of certain data security breaches. Such actions could result in significant legal and financial exposure and reputational damages that could have a material adverse effect on our business, results of operations, prospects and financial condition.</w:t>
      </w:r>
    </w:p>
    <w:p>
      <w:pPr>
        <w:spacing w:after="0" w:line="18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or may become subject to a variety of stringent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w:t>
      </w:r>
    </w:p>
    <w:p>
      <w:pPr>
        <w:spacing w:after="0" w:line="6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preclinical and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84" w:lineRule="exact"/>
        <w:rPr>
          <w:sz w:val="20"/>
          <w:szCs w:val="20"/>
          <w:color w:val="auto"/>
        </w:rPr>
      </w:pPr>
    </w:p>
    <w:p>
      <w:pPr>
        <w:ind w:right="80" w:firstLine="510"/>
        <w:spacing w:after="0" w:line="252" w:lineRule="auto"/>
        <w:rPr>
          <w:sz w:val="20"/>
          <w:szCs w:val="20"/>
          <w:color w:val="auto"/>
        </w:rPr>
      </w:pPr>
      <w:r>
        <w:rPr>
          <w:rFonts w:ascii="Times New Roman" w:cs="Times New Roman" w:eastAsia="Times New Roman" w:hAnsi="Times New Roman"/>
          <w:sz w:val="18"/>
          <w:szCs w:val="18"/>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In particular, laws and regulations governing the privacy of health information, such as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The U.S. Department of Health and Human Services (HHS) has enforcement discretion, and any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2" w:name="page73"/>
    <w:bookmarkEnd w:id="72"/>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Data privacy remains an evolving landscape at both the domestic and international level, with new regulations coming into effect. For example, the CCPA, which came into effect on January 1, 2020, and became enforceable by the California Attorney General on July 1, 2020, along with related regulations which came into force on August 14, 2020. Additionally, although not effective until January 1, 2023, the California Privacy Rights Act (CPRA), which expands upon the CCPA, was passed in the November 2020 election.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Additionally, the CCPA requires companies that process personal information of California residents to make disclosures to consumers about their data collection, use and sharing practices, allow consumers to opt out of certain data sharing with third parties and provide a private right of action for data breaches, as described above. Although the CCPA includes limited exceptions, including exceptions for personal health information collected by covered entities or business associates subject to HIPAA, among others, the CCPA may regulate or impact our processing of personal information depending on the context. Additionally, the CPRA expands on the requirements of the CCPA by granting California residents expanded privacy rights and additional requirements for businesses. The CCPA and CPRA may increase our compliance costs and potential liability, particularly in the event of a data breach, and could have a material adverse effect on our business, including how we use personal information, financial condition, results of operations or prospects.</w:t>
      </w:r>
    </w:p>
    <w:p>
      <w:pPr>
        <w:spacing w:after="0" w:line="7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CCPA has prompted a number of proposals for new federal and state-level privacy legislation. Additional states have passed privacy laws, such as the Virginia Consumer Data Protection Act, the Colorado Privacy Act, the Utah Consumer Privacy Act and the Connecticut Personal Data Privacy and Online Monitoring Act, all of which are similar to the CCPA. Such new privacy laws add additional complexity, requirements, restrictions and potential legal risk, require additional investment in resources for compliance programs, and could impact business strategies and the availability of previously useful data. The interplay of federal and state laws (e.g., in addition to California, Massachusetts and Nevada have adopted laws requiring the implementation of certain security measures to protect personal information, and all 50 states and the District of Columbia, Puerto Rico, the U.S. Virgin Islands and Guam have adopted breach notification laws) may be subject to varying interpretations by courts and government agencies, creating complex compliance issues for us and our customers and potentially exposing us to additional expense, adverse publicity and liability. Further, as regulatory focus on privacy, security and data use issues in the U.S. continues to increase and laws and regulations concerning the protection of personal information expand and become more complex, these potential risks to products and services could intensify.</w:t>
      </w:r>
    </w:p>
    <w:p>
      <w:pPr>
        <w:spacing w:after="0" w:line="86" w:lineRule="exact"/>
        <w:rPr>
          <w:sz w:val="20"/>
          <w:szCs w:val="20"/>
          <w:color w:val="auto"/>
        </w:rPr>
      </w:pPr>
    </w:p>
    <w:p>
      <w:pPr>
        <w:ind w:right="20" w:firstLine="510"/>
        <w:spacing w:after="0" w:line="251" w:lineRule="auto"/>
        <w:rPr>
          <w:sz w:val="20"/>
          <w:szCs w:val="20"/>
          <w:color w:val="auto"/>
        </w:rPr>
      </w:pPr>
      <w:r>
        <w:rPr>
          <w:rFonts w:ascii="Times New Roman" w:cs="Times New Roman" w:eastAsia="Times New Roman" w:hAnsi="Times New Roman"/>
          <w:sz w:val="18"/>
          <w:szCs w:val="18"/>
          <w:color w:val="auto"/>
        </w:rPr>
        <w:t xml:space="preserve">In addition, in May 2018, the EU General Data Protection Regulation (EU GDPR) took effect in the EEA. The EU GDPR governs the collection, use, disclosure, transfer or other processing of personal data, replacing data protection laws issued by each EU member state based on the Directive 95/46/EC (Directive). The EU GDPR imposes additional compliance burdens, including by mandating burdensome documentation requirements and granting certain privacy rights to individuals to control how companies collect, use, disclose, retain and otherwise process information about them as well as changes to informed consent practices, the obligation to appoint data protection officers in certain circumstances, the obligation to notify relevant data supervisory authorities of personal data breaches without undue delay (and no later than 72 hours) after becoming aware of the personal data breach, and the requirement for more detailed notices for clinical trial subjects and investigators. In addition, the EU GDPR increases the scrutiny of transfers of personal data from clinical trial sites and other third parties (e.g. CROs) located in the EEA to the United States and other jurisdictions that the European Commission does not recognize as having “adequate” data protection laws. In particular, on July 16, 2020, the Court of Justice of the EU (Court of Justice) in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xml:space="preserve"> invalidated the European Union-United States (EU-U.S.) Privacy Shield on the grounds that the EU-U.S. Privacy Shield failed to offer adequate protections to EU personal information transferred to the United States. While the Court of Justice upheld the use of other data transfer mechanisms, such as the Standard Contractual Clauses, the decision has led to some uncertainty regarding the use of such mechanisms for data transfers to the United States, and the Court of Justice made clear that reliance on Standard Contractual Clauses alone may not necessarily be sufficient in all circumstances. The use of Standard Contractual Clauses for the transfer of personal information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international transfers which may require us to implement additional safeguards to further enhance the security of data transferred out of the EEA, which could increase our compliance costs, expose us to further regulatory scrutiny and liability, and adversely affect our business. In March 2022, U.S. and EU authorities announced a new Trans-Atlantic Data Privacy Framework to replace the invalidated Privacy Shield, but it is not clear what the ultimate requirements will be, or when it will be available for participation. In the meantime, the European Commission published new versions of the Standard Contractual Clauses in June 2021 which place onerous obligations on the parties. The EU GDPR imposes substantial fines for breaches and violations (up to the greater of €20 million or 4% of our global turnover). The EU GDPR allows data subjects and consumer associations to lodge complaints with supervisory authorities, seek judicial remedies and obtain compensation for damages resulting from violations of the EU GDPR.</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3" w:name="page74"/>
    <w:bookmarkEnd w:id="73"/>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 xml:space="preserve">Further, following the end of the Brexit Transition Period (on December 31, 2020) the EU GDPR has been implemented in the UK (as the UK GDPR)—non-compliance with which may lead to similar compliance and operational costs as the EU GDPR with potential fines of up to £17 million or 4% of global turnover. The UK GDPR sits alongside the UK Data Protection Act 2018 which implements certain derogations in the EU GDPR into UK law. Under the UK GDPR, companies not established in the UK but who process personal information in relation to the offering of goods or services to individuals in the UK, or to monitor their behavior will be subject to the UK GDPR – the requirements of which are (at this time) largely aligned with those under the EU GDPR. Further, on August 11, 2020, the UK Information Commissioner’s Office (ICO) published its proposed draft International Transfer Risk Assessment and tool (TRA) which is the UK equivalent of the EDPB Recommendations and provides for general advice on how to satisfy the </w:t>
      </w:r>
      <w:r>
        <w:rPr>
          <w:rFonts w:ascii="Times New Roman" w:cs="Times New Roman" w:eastAsia="Times New Roman" w:hAnsi="Times New Roman"/>
          <w:sz w:val="18"/>
          <w:szCs w:val="18"/>
          <w:i w:val="1"/>
          <w:iCs w:val="1"/>
          <w:color w:val="auto"/>
        </w:rPr>
        <w:t xml:space="preserve">Schrems II </w:t>
      </w:r>
      <w:r>
        <w:rPr>
          <w:rFonts w:ascii="Times New Roman" w:cs="Times New Roman" w:eastAsia="Times New Roman" w:hAnsi="Times New Roman"/>
          <w:sz w:val="18"/>
          <w:szCs w:val="18"/>
          <w:color w:val="auto"/>
        </w:rPr>
        <w:t>requirement to carry out a legal assessment for transfers of personal data subject to the UK GDPR. It is expected that the final version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 will be published in early 2022. The UK’s ICO has also recently published: (i) its International Data Transfer Agreement to replace the old Standard Contractual Clauses for transfers to outside the UK; and (ii) a “UK addendum” to the new EU Standard Contractual Clauses which amends the relevant provisions of such clauses to work in a UK context.</w:t>
      </w:r>
    </w:p>
    <w:p>
      <w:pPr>
        <w:spacing w:after="0" w:line="84" w:lineRule="exact"/>
        <w:rPr>
          <w:sz w:val="20"/>
          <w:szCs w:val="20"/>
          <w:color w:val="auto"/>
        </w:rPr>
      </w:pPr>
    </w:p>
    <w:p>
      <w:pPr>
        <w:jc w:val="both"/>
        <w:ind w:right="60" w:firstLine="510"/>
        <w:spacing w:after="0" w:line="261" w:lineRule="auto"/>
        <w:rPr>
          <w:sz w:val="20"/>
          <w:szCs w:val="20"/>
          <w:color w:val="auto"/>
        </w:rPr>
      </w:pPr>
      <w:r>
        <w:rPr>
          <w:rFonts w:ascii="Times New Roman" w:cs="Times New Roman" w:eastAsia="Times New Roman" w:hAnsi="Times New Roman"/>
          <w:sz w:val="18"/>
          <w:szCs w:val="18"/>
          <w:color w:val="auto"/>
        </w:rPr>
        <w:t>Some countries also are considering or have passed legislation requiring local storage and processing of data, or similar requirements, which could increase the cost and complexity for conducting preclinical testing and clinical trials or delivering our future products, if any. Additionally, other countries (e.g., Australia and Japan) have adopted certain legal requirements for cross-border transfers of personal information. These obligations may be interpreted and applied in a manner that is inconsistent from one jurisdiction to another and may conflict with other requirements or our practices.</w:t>
      </w:r>
    </w:p>
    <w:p>
      <w:pPr>
        <w:spacing w:after="0" w:line="72"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for ensuring compliance with the new data protection rules. If we or our third-party vendors, collaborators, contractors and consultants fail to comply with any such laws or regulations, we may face regulatory investigations, significant fines and penalties, reputational damage or be required to change our business practices, all of which could adversely affect our business, financial condition and results of operations.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regulators and customers and have a material and adverse impact on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reform and changes in other tax laws could adversely affect us.</w:t>
      </w:r>
    </w:p>
    <w:p>
      <w:pPr>
        <w:spacing w:after="0" w:line="121" w:lineRule="exact"/>
        <w:rPr>
          <w:sz w:val="20"/>
          <w:szCs w:val="20"/>
          <w:color w:val="auto"/>
        </w:rPr>
      </w:pPr>
    </w:p>
    <w:p>
      <w:pPr>
        <w:jc w:val="both"/>
        <w:ind w:right="60" w:firstLine="510"/>
        <w:spacing w:after="0" w:line="261" w:lineRule="auto"/>
        <w:rPr>
          <w:sz w:val="20"/>
          <w:szCs w:val="20"/>
          <w:color w:val="auto"/>
        </w:rPr>
      </w:pPr>
      <w:r>
        <w:rPr>
          <w:rFonts w:ascii="Times New Roman" w:cs="Times New Roman" w:eastAsia="Times New Roman" w:hAnsi="Times New Roman"/>
          <w:sz w:val="18"/>
          <w:szCs w:val="18"/>
          <w:color w:val="auto"/>
        </w:rPr>
        <w:t>In December 2017, U.S. federal tax legislation commonly referred to as the TCJA was signed into law, significantly reforming the Internal Revenue Code of 1986, as amended (Code). The TCJA, among other things, includes changes to U.S. federal tax rates, imposes significant additional limitations on the deductibility of business interest, allows for the expensing of capital expenditures, puts into effect the migration from a “worldwide” system of taxation to a partial “territorial” system, and modifies or repeals many business deductions and credits.</w:t>
      </w:r>
    </w:p>
    <w:p>
      <w:pPr>
        <w:spacing w:after="0" w:line="72"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In March 2020, U.S. federal tax legislation named the CARES Act, was signed into law. Such legislation modified the TCJA by, among other things, eliminating the limitation on the deduction of NOLs to 80% of current year taxable income for tax years beginning before January 1, 2021, and increasing the amount of interest expense that may be deducted from 30% to 50% of adjusted taxable income for tax years beginning in 2019 or 2020.</w:t>
      </w:r>
    </w:p>
    <w:p>
      <w:pPr>
        <w:spacing w:after="0" w:line="68" w:lineRule="exact"/>
        <w:rPr>
          <w:sz w:val="20"/>
          <w:szCs w:val="20"/>
          <w:color w:val="auto"/>
        </w:rPr>
      </w:pPr>
    </w:p>
    <w:p>
      <w:pPr>
        <w:ind w:right="80" w:firstLine="510"/>
        <w:spacing w:after="0" w:line="274" w:lineRule="auto"/>
        <w:rPr>
          <w:sz w:val="20"/>
          <w:szCs w:val="20"/>
          <w:color w:val="auto"/>
        </w:rPr>
      </w:pPr>
      <w:r>
        <w:rPr>
          <w:rFonts w:ascii="Times New Roman" w:cs="Times New Roman" w:eastAsia="Times New Roman" w:hAnsi="Times New Roman"/>
          <w:sz w:val="17"/>
          <w:szCs w:val="17"/>
          <w:color w:val="auto"/>
        </w:rPr>
        <w:t>The TCJA is a far-reaching and complex revision to the U.S. federal income tax laws with disparate and, in some cases, countervailing impacts on different categories of taxpayers and industries. The long-term impact of the TCJA, as modified by the CARES Act, on the overall economy, the industries in which we operate and our and our partners’ businesses still cannot be reliably predicted. There can be no assurance that the TCJA, as modified by the CARES Act, will not negatively impact our future operating results. The estimated impact of the TCJA, as modified by the CARES Act, is based on our management’s current knowledge and assumptions, following consultation with our tax advisors. Because of our valuation allowance in the United States, ongoing tax effects of the TCJA, as modified by the CARES Act, are not expected to materially change our effective tax rate in future periods.</w:t>
      </w:r>
    </w:p>
    <w:p>
      <w:pPr>
        <w:spacing w:after="0" w:line="65" w:lineRule="exact"/>
        <w:rPr>
          <w:sz w:val="20"/>
          <w:szCs w:val="20"/>
          <w:color w:val="auto"/>
        </w:rPr>
      </w:pPr>
    </w:p>
    <w:p>
      <w:pPr>
        <w:jc w:val="both"/>
        <w:ind w:right="80" w:firstLine="510"/>
        <w:spacing w:after="0" w:line="261" w:lineRule="auto"/>
        <w:rPr>
          <w:sz w:val="20"/>
          <w:szCs w:val="20"/>
          <w:color w:val="auto"/>
        </w:rPr>
      </w:pPr>
      <w:r>
        <w:rPr>
          <w:rFonts w:ascii="Times New Roman" w:cs="Times New Roman" w:eastAsia="Times New Roman" w:hAnsi="Times New Roman"/>
          <w:sz w:val="18"/>
          <w:szCs w:val="18"/>
          <w:color w:val="auto"/>
        </w:rPr>
        <w:t>In addition, new legislation or regulations that could affect our tax burden could be enacted by any governmental authority. We cannot predict the timing or extent of such tax-related developments that could negatively impact our financial results. Additionally,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may be subject to limitations.</w:t>
      </w:r>
    </w:p>
    <w:p>
      <w:pPr>
        <w:spacing w:after="0" w:line="121"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We have incurred substantial losses during our history, do not expect to become profitable in the near future and may never achieve profitability. As of November 30, 2021, we had federal and state net operating loss (NOL) carryforwards of approximately $116.4 million and $192.1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the TCJA, as modified by the CARES Act, NOLs arising in tax years beginning on or before December 31, 2017 may be carried back two tax years, NOLs arising in tax years beginning after December 31, 2017 and before January 1, 2021 may be carried back five tax years and NOLs arising in tax years beginning after December 31, 2020 may not be carried back. In 2020, we filed a refund claim of $15.7 million to carryback our NOLs generated in the fiscal year ended November 30, 2018, and we filed a refund claim to carryback our NOLs generated in the fiscal year ended November 30, 2019 to recover an additional $3.9 million of income tax. NOLs arising in tax years beginning after December 31, 2017 and before January 1, 2021 may be carried forward indefinitely but are limited to 80% of our taxable income in tax years beginning after December 31, 2020. State NOLs can be carried forward 20 years and begin expiring in 2029.</w:t>
      </w:r>
    </w:p>
    <w:p>
      <w:pPr>
        <w:spacing w:after="0" w:line="84"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have identified two ownership changes since our inception that have triggered a limitation on pre-change NOLs under Section 382.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subsequent shifts in our stock ownership, some of which are outside our control. As a result, if we earn net taxable income, our ability to use our pre-change NOLs to offset U.S. federal taxable income may be subject to limitations that potentially could result in increased future tax liability to us. In addition, at the state level, there may be periods during which the use of NOLs is suspended or otherwise limited, which could accelerate or permanently increase state taxes owed.</w:t>
      </w:r>
    </w:p>
    <w:p>
      <w:pPr>
        <w:spacing w:after="0" w:line="1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joint ventures, spin outs or strategic alliances or transactions could disrupt our business and harm our financial condition and results of operations.</w:t>
      </w:r>
    </w:p>
    <w:p>
      <w:pPr>
        <w:spacing w:after="0" w:line="5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w:t>
      </w:r>
    </w:p>
    <w:p>
      <w:pPr>
        <w:spacing w:after="0" w:line="79" w:lineRule="exact"/>
        <w:rPr>
          <w:sz w:val="20"/>
          <w:szCs w:val="20"/>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17" w:lineRule="exact"/>
        <w:rPr>
          <w:rFonts w:ascii="Times New Roman" w:cs="Times New Roman" w:eastAsia="Times New Roman" w:hAnsi="Times New Roman"/>
          <w:sz w:val="18"/>
          <w:szCs w:val="18"/>
          <w:color w:val="auto"/>
        </w:rPr>
      </w:pPr>
    </w:p>
    <w:p>
      <w:pPr>
        <w:ind w:left="1000" w:right="320" w:hanging="493"/>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53" w:lineRule="exact"/>
        <w:rPr>
          <w:rFonts w:ascii="Times New Roman" w:cs="Times New Roman" w:eastAsia="Times New Roman" w:hAnsi="Times New Roman"/>
          <w:sz w:val="18"/>
          <w:szCs w:val="18"/>
          <w:color w:val="auto"/>
        </w:rPr>
      </w:pPr>
    </w:p>
    <w:p>
      <w:pPr>
        <w:ind w:left="1000" w:right="180" w:hanging="493"/>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117"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5" w:name="page76"/>
    <w:bookmarkEnd w:id="75"/>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 Additionally, we may not realize the expected value of out-licensing, joint ventures, spin outs or other strategic transactions.</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w:t>
      </w:r>
    </w:p>
    <w:p>
      <w:pPr>
        <w:spacing w:after="0" w:line="67"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Foreign Corrupt Practices Act (FCPA), the UK Bribery Act 2010 (Bribery Act) and other anticorruption laws that apply in countries where we do business and may do business in the future. The FCPA, the Bribery Act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84"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We also are subject to other laws and regulations governing our international operations, including regulations administered by the governments of the United States, UK and authorities in the EU, including applicable export control regulations, economic sanctions on countries and persons, customs requirements and currency exchange regulations, which we collectively refer to as Trade Control Laws.</w:t>
      </w:r>
    </w:p>
    <w:p>
      <w:pPr>
        <w:spacing w:after="0" w:line="6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1"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has caused significant instability and disruptions in the capital and credit markets and, in recent months, the global economy has been impacted by increasing interest rates and inflation. Likewise, the capital and credit markets may be adversely affected by the recent conflict between Russia and Ukraine, and the possibility of a wider European or global conflict, and global sanctions imposed in response thereto. A severe or prolonged economic downturn, such as the global financial crisis, could result in a variety of risks to our business, including a decrease in the demand for our drug candidates and in our ability to raise additional capital when needed on acceptable terms, if at all. A weak or declining economy also could strain our suppliers, possibly resulting in supply disruption, or cause our customers to delay making payments for our services.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190" w:lineRule="exact"/>
        <w:rPr>
          <w:sz w:val="20"/>
          <w:szCs w:val="20"/>
          <w:color w:val="auto"/>
        </w:rPr>
      </w:pPr>
    </w:p>
    <w:p>
      <w:pPr>
        <w:ind w:right="9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current operations are in the San Francisco Bay Area, and we or the third parties upon whom we depend may be adversely affected by earthquakes or other natural disasters as to which our business continuity and disaster recovery plans may not be adequate to protect us.</w:t>
      </w:r>
    </w:p>
    <w:p>
      <w:pPr>
        <w:spacing w:after="0" w:line="28"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4" w:lineRule="exact"/>
        <w:rPr>
          <w:sz w:val="20"/>
          <w:szCs w:val="20"/>
          <w:color w:val="auto"/>
        </w:rPr>
      </w:pPr>
    </w:p>
    <w:p>
      <w:pPr>
        <w:ind w:left="1000" w:right="880" w:hanging="493"/>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drug candidates, DELigase platform, DeTIL or future development programs;</w:t>
      </w:r>
    </w:p>
    <w:p>
      <w:pPr>
        <w:spacing w:after="0" w:line="53" w:lineRule="exact"/>
        <w:rPr>
          <w:rFonts w:ascii="Times New Roman" w:cs="Times New Roman" w:eastAsia="Times New Roman" w:hAnsi="Times New Roman"/>
          <w:sz w:val="18"/>
          <w:szCs w:val="18"/>
          <w:color w:val="auto"/>
        </w:rPr>
      </w:pPr>
    </w:p>
    <w:p>
      <w:pPr>
        <w:ind w:left="1000" w:right="580" w:hanging="493"/>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and clinical trials, or the addition or termination of clinical trials or funding support by us or by existing or future collaborators or licensing partners;</w:t>
      </w:r>
    </w:p>
    <w:p>
      <w:pPr>
        <w:spacing w:after="0" w:line="53" w:lineRule="exact"/>
        <w:rPr>
          <w:rFonts w:ascii="Times New Roman" w:cs="Times New Roman" w:eastAsia="Times New Roman" w:hAnsi="Times New Roman"/>
          <w:sz w:val="18"/>
          <w:szCs w:val="18"/>
          <w:color w:val="auto"/>
        </w:rPr>
      </w:pPr>
    </w:p>
    <w:p>
      <w:pPr>
        <w:ind w:left="1000" w:right="180" w:hanging="493"/>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7" w:name="page78"/>
    <w:bookmarkEnd w:id="77"/>
    <w:p>
      <w:pPr>
        <w:ind w:left="1000" w:right="180" w:hanging="493"/>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1000" w:right="380" w:hanging="493"/>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drug candidates receives regulatory approval, the terms of such approval and market acceptance and demand for such drug candidates;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drug candidates or those of our competitors;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including increasing interest rates and inflation.</w:t>
      </w:r>
    </w:p>
    <w:p>
      <w:pPr>
        <w:spacing w:after="0" w:line="117"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could lose all or part of your investment.</w:t>
      </w:r>
    </w:p>
    <w:p>
      <w:pPr>
        <w:spacing w:after="0" w:line="12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section and the following:</w:t>
      </w:r>
    </w:p>
    <w:p>
      <w:pPr>
        <w:spacing w:after="0" w:line="68" w:lineRule="exact"/>
        <w:rPr>
          <w:sz w:val="20"/>
          <w:szCs w:val="20"/>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drug candidates, or those of our competitors or our existing or future collaborators;</w:t>
      </w:r>
    </w:p>
    <w:p>
      <w:pPr>
        <w:spacing w:after="0" w:line="117" w:lineRule="exact"/>
        <w:rPr>
          <w:rFonts w:ascii="Times New Roman" w:cs="Times New Roman" w:eastAsia="Times New Roman" w:hAnsi="Times New Roman"/>
          <w:sz w:val="18"/>
          <w:szCs w:val="18"/>
          <w:color w:val="auto"/>
        </w:rPr>
      </w:pPr>
    </w:p>
    <w:p>
      <w:pPr>
        <w:ind w:left="1000" w:right="240" w:hanging="493"/>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drug candidates;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collaboration partners,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1000" w:right="400" w:hanging="493"/>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drug candidates, clinical studies, manufacturing process or sales and marketing terms;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in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drug candidates;</w:t>
      </w:r>
    </w:p>
    <w:p>
      <w:pPr>
        <w:spacing w:after="0" w:line="117" w:lineRule="exact"/>
        <w:rPr>
          <w:rFonts w:ascii="Times New Roman" w:cs="Times New Roman" w:eastAsia="Times New Roman" w:hAnsi="Times New Roman"/>
          <w:sz w:val="18"/>
          <w:szCs w:val="18"/>
          <w:color w:val="auto"/>
        </w:rPr>
      </w:pPr>
    </w:p>
    <w:p>
      <w:pPr>
        <w:ind w:left="1000" w:right="200" w:hanging="493"/>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current or future collaborations, including but not limited to those with our sources of manufacturing supply and our commercialization partners;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7"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drug candidates and products;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00" w:right="80" w:hanging="493"/>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provide to the market;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78" w:name="page79"/>
    <w:bookmarkEnd w:id="78"/>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 including the increasingly volatile global economic conditions resulting from the conflict in Ukraine;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pandemics and epidemics, such as COVID-19;</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increasing interest rates and inflation.</w:t>
      </w:r>
    </w:p>
    <w:p>
      <w:pPr>
        <w:spacing w:after="0" w:line="117"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price of our common stock to decline.</w:t>
      </w:r>
    </w:p>
    <w:p>
      <w:pPr>
        <w:spacing w:after="0" w:line="12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68"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68"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sale and issuance of equity or of debt securities that are convertible into equity will dilute our share capital.</w:t>
      </w:r>
    </w:p>
    <w:p>
      <w:pPr>
        <w:spacing w:after="0" w:line="12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may choose to raise additional capital in the future, depending on market conditions, strategic considerations and operational requirements. For example, in March 2021, we sold an additional 5,175,000 shares of our common stock in a follow-on public offering. In addition, we currently have on file with the SEC a shelf registration statement on Form S-3 which allows us to offer and sell registered common stock, preferred stock, debt securities, warrants, subscriptions rights and or units from time to time pursuant to one or more offerings at prices and terms to be determined at the time of sale. In August 2021, we entered into an Equity Distribution Agreement with Piper Sandler &amp; Co. (Piper Sandler) pursuant to which, from time to time, we may offer and sell through Piper Sandler up to $150.0 million of the common stock registered under the shelf registration statement pursuant to one or more “at the market” offerings. In June 2022, we issued and sold 2,000,000 shares of common stock under the Equity Distribution Agreement to Piper Sandler for net proceeds of approximately $19.3 million, after deducting offering commissions and expenses paid by us. As of June 30, 2022, we had $130.0 million of common stock remaining available for sale pursuant to the Equity Distribution Agreement. Sales of our common stock under the Equity Distribution Agreement with Piper Sandler could be subject to business, economic or competitive uncertainties and contingencies, many of which may be beyond our control, and which could cause actual results from the sale of our common stock to differ materially from expectations.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192"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w:t>
      </w:r>
    </w:p>
    <w:p>
      <w:pPr>
        <w:spacing w:after="0" w:line="68" w:lineRule="exact"/>
        <w:rPr>
          <w:sz w:val="20"/>
          <w:szCs w:val="20"/>
          <w:color w:val="auto"/>
        </w:rPr>
      </w:pPr>
    </w:p>
    <w:p>
      <w:pPr>
        <w:ind w:left="1000" w:hanging="49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our board of directors to establish the number of directors and fill vacancies on our board;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1000" w:right="720" w:hanging="493"/>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 unless such amendments are approved by two-thirds of our board of directors, in which case stockholders can approve by a simple majority;</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7" w:lineRule="exact"/>
        <w:rPr>
          <w:rFonts w:ascii="Times New Roman" w:cs="Times New Roman" w:eastAsia="Times New Roman" w:hAnsi="Times New Roman"/>
          <w:sz w:val="18"/>
          <w:szCs w:val="18"/>
          <w:color w:val="auto"/>
        </w:rPr>
      </w:pPr>
    </w:p>
    <w:p>
      <w:pPr>
        <w:ind w:left="1000" w:right="800" w:hanging="493"/>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54" w:lineRule="exact"/>
        <w:rPr>
          <w:sz w:val="20"/>
          <w:szCs w:val="20"/>
          <w:color w:val="auto"/>
        </w:rPr>
      </w:pPr>
    </w:p>
    <w:p>
      <w:pPr>
        <w:jc w:val="both"/>
        <w:ind w:right="80" w:firstLine="510"/>
        <w:spacing w:after="0" w:line="26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172"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and our restated bylaws contain exclusive forum provisions for certain claims, which could limit our stockholders’ ability to obtain a favorable judicial forum for disputes with us or our directors, officers or employees.</w:t>
      </w:r>
    </w:p>
    <w:p>
      <w:pPr>
        <w:spacing w:after="0" w:line="51"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80" w:name="page81"/>
    <w:bookmarkEnd w:id="80"/>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and our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82"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restated bylaws to be inapplicable or unenforceable in an action, we may incur additional costs associated with resolving such action in other jurisdictions, which could harm our business, operating results and financial condition.</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As a public company, we incur and, particularly now that we no longer are an emerging growth company, will further incur significant legal, accounting and other expenses that we did not incur as a private company. The Sarbanes-Oxley Act, the Dodd-Frank Wall Street Reform and Consumer Protection Act, the listing requirements of the Nasdaq Global Market (Nasdaq) and other applicable securities rules and regulations impose various requirements on public companies, including establishment and maintenance of effective disclosure and financial controls and corporate governance practices. Moreover, since we ceased to be an “emerging growth company” on November 30, 2021, we may no longer take advantage of certain exemptions from various reporting requirements that are applicable to public companies. This increase in reporting requirements will further increase our compliance burden.</w:t>
      </w:r>
    </w:p>
    <w:p>
      <w:pPr>
        <w:spacing w:after="0" w:line="8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Our management and other personnel are required to devote a substantial amount of time to these compliance initiatives. Moreover, these rules and regulations have increased our legal and financial compliance costs and have made some activities more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Pursuant to the rules and regulations of the SEC, we are required to furnish a report by our management on, among other things, our internal control over financial reporting. To achieve compliance with these rules and regulations, we engage in a process to document and evaluate our internal control over financial reporting, which is both costly and time consuming. Effective internal control over financial reporting is necessary for us to provide reliable financial reporting and, together with adequate disclosure controls and procedures, are designed to prevent material misstatements due to fraud or error. Any failure to design new or improved internal controls necessary to address risks of material misstatement in our interim or annual financial statements, or difficulties encountered in their implementation or operation, could cause us to fail to meet our reporting obligations. Ineffective internal control over financial reporting could also cause investors to lose confidence in our reported financial information, which could have a negative effect on the trading price of our common stock.</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1" w:name="page82"/>
    <w:bookmarkEnd w:id="81"/>
    <w:p>
      <w:pPr>
        <w:ind w:firstLine="510"/>
        <w:spacing w:after="0" w:line="254" w:lineRule="auto"/>
        <w:rPr>
          <w:sz w:val="20"/>
          <w:szCs w:val="20"/>
          <w:color w:val="auto"/>
        </w:rPr>
      </w:pPr>
      <w:r>
        <w:rPr>
          <w:rFonts w:ascii="Times New Roman" w:cs="Times New Roman" w:eastAsia="Times New Roman" w:hAnsi="Times New Roman"/>
          <w:sz w:val="18"/>
          <w:szCs w:val="18"/>
          <w:color w:val="auto"/>
        </w:rPr>
        <w:t>The reporting on our assessment of the effectiveness of our internal control over financial reporting needs to include disclosure of any material weaknesses identified in our internal control over financial reporting, as well as a statement that our independent registered public accounting firm has audited the effectiveness of our internal control over financial reporting. Because we are no longer an emerging growth company, our independent registered public accounting firm is required to annually audit the effectiveness of our internal control over financial reporting, which has, and will continue to, require increased costs, expenses, and management resources. Undetected material weaknesses in our internal control over financial reporting could lead to financial statement restatements and require us to incur the expense of remediation. We are also required to disclose changes made in our internal control over financial reporting that have materially affected, or are reasonably likely to materially affect, internal control over financial reporting on a quarterly basis. To comply with the requirements of being a public company, we have undertaken, and may need to further undertake in the future, various actions, such as implementing new internal controls and procedures and hiring additional accounting staff.</w:t>
      </w:r>
    </w:p>
    <w:p>
      <w:pPr>
        <w:spacing w:after="0" w:line="80"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As discussed in Part I, Item 4 of this Quarterly Report on Form 10-Q, we have identified material weaknesses in our internal control over financial reporting related to controls over segregation of duties in our journal entry and account reconciliation processes, and certain information technology general controls.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As a result of the identified material weaknesses, our management concluded that our internal control over financial reporting was not effective as of November 30, 2021, which was previously reported in Part II, Item 9A of our Annual Report on Form 10-K for the fiscal year ended November 30, 2021. As of May 31, 2022, these material weaknesses have not been remediated. The material weaknesses identified in Part I, Item 4 of this Quarterly Report on Form 10-Q did not result in any misstatement of our financial statements. We have designed and have begun implementing a remediation plan for these material weaknesses. However, our remediation efforts may be inadequate, or we may in the future discover material weaknesses in other areas of our internal control over financial reporting that require remediation.</w:t>
      </w:r>
    </w:p>
    <w:p>
      <w:pPr>
        <w:spacing w:after="0" w:line="86" w:lineRule="exact"/>
        <w:rPr>
          <w:sz w:val="20"/>
          <w:szCs w:val="20"/>
          <w:color w:val="auto"/>
        </w:rPr>
      </w:pPr>
    </w:p>
    <w:p>
      <w:pPr>
        <w:ind w:right="260" w:firstLine="510"/>
        <w:spacing w:after="0" w:line="254" w:lineRule="auto"/>
        <w:rPr>
          <w:sz w:val="20"/>
          <w:szCs w:val="20"/>
          <w:color w:val="auto"/>
        </w:rPr>
      </w:pPr>
      <w:r>
        <w:rPr>
          <w:rFonts w:ascii="Times New Roman" w:cs="Times New Roman" w:eastAsia="Times New Roman" w:hAnsi="Times New Roman"/>
          <w:sz w:val="18"/>
          <w:szCs w:val="18"/>
          <w:color w:val="auto"/>
        </w:rPr>
        <w:t>We cannot assure you that the measures we have taken to date, and actions we may take in the future, will be sufficient to remediate the control deficiencies that led to the material weaknesses in our internal control over financial reporting or that they will prevent or avoid potential future material weaknesses. Moreover, our current controls and any new controls that we develop may become inadequate because of changes in conditions in our business. Further, material weaknesses in our disclosure controls and procedures and internal control over financial reporting may be discovered in the future. Any failure to develop or maintain effective internal control over financial reporting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Beginning with this Quarterly Report on Form 10-Q, we have requalified as a “smaller reporting company,” meaning that the market value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held by non-affiliates is less than $560.0 million as of May 31, 2022, and our annual revenue is less than $100.0 million during the most recently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completed fiscal year. We will continue to be a smaller reporting company if either (i) the market value of our stock held by non-affiliates is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 million as of the prior May 31 or (ii) our annual revenue is less than $100.0 million during the most recently completed fiscal year and the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our stock held by non-affiliates is less than $700.0 million as of the prior May 31. As a smaller reporting company, we may take advantage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of the same exemptions from disclosure requirements as an emerging growth company, including reduced disclosure obligations regarding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in our periodic reports and proxy statements. We cannot predict if investors will find our common stock less attractive because we may rely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these exemptions. If some investors find our common stock less attractive as a result, there may be a less active trading market for our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our stock price may be more volatile.</w:t>
      </w:r>
    </w:p>
    <w:p>
      <w:pPr>
        <w:spacing w:after="0" w:line="20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right="260" w:firstLine="674"/>
        <w:spacing w:after="0" w:line="282" w:lineRule="auto"/>
        <w:rPr>
          <w:sz w:val="20"/>
          <w:szCs w:val="20"/>
          <w:color w:val="auto"/>
        </w:rPr>
      </w:pPr>
      <w:r>
        <w:rPr>
          <w:rFonts w:ascii="Times New Roman" w:cs="Times New Roman" w:eastAsia="Times New Roman" w:hAnsi="Times New Roman"/>
          <w:sz w:val="18"/>
          <w:szCs w:val="18"/>
          <w:color w:val="auto"/>
        </w:rPr>
        <w:t>On July 23, 2020, our registration statement on Form S-1, as amended (File No. 333-239651), was declared effective by the SEC in connection with the IPO of our common stock.</w:t>
      </w:r>
    </w:p>
    <w:p>
      <w:pPr>
        <w:spacing w:after="0" w:line="54" w:lineRule="exact"/>
        <w:rPr>
          <w:sz w:val="20"/>
          <w:szCs w:val="20"/>
          <w:color w:val="auto"/>
        </w:rPr>
      </w:pPr>
    </w:p>
    <w:p>
      <w:pPr>
        <w:ind w:firstLine="674"/>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the prospectus filed with the SEC pursuant to Rule 424(b)(4) under the Securities Act on July 24,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Issuers and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140"/>
          </w:cols>
          <w:pgMar w:left="320" w:top="333" w:right="439" w:bottom="1440" w:gutter="0" w:footer="0" w:header="0"/>
        </w:sect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31"/>
        </w:trPr>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720" w:type="dxa"/>
            <w:vAlign w:val="bottom"/>
            <w:gridSpan w:val="8"/>
            <w:vMerge w:val="restart"/>
          </w:tcPr>
          <w:p>
            <w:pPr>
              <w:ind w:left="2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5720" w:type="dxa"/>
            <w:vAlign w:val="bottom"/>
            <w:tcBorders>
              <w:bottom w:val="single" w:sz="8" w:color="auto"/>
            </w:tcBorders>
            <w:gridSpan w:val="8"/>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55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and</w:t>
            </w:r>
          </w:p>
        </w:tc>
        <w:tc>
          <w:tcPr>
            <w:tcW w:w="22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15d-14(a) under the Securities Exchange Act of 1934, as Adopted Pursuant to</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230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57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15d-14(a) under the Securities Exchange Act of 1934, as Adopted Pursuant to</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230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57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and Principal Financial and</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Accounting Officer Pursuant to 18 U.S.C. Section 1350, as Adopted Pursuant</w:t>
            </w: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to Section 906 of the Sarbanes-Oxley Act of 2002</w:t>
            </w:r>
          </w:p>
        </w:tc>
        <w:tc>
          <w:tcPr>
            <w:tcW w:w="1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0" w:type="dxa"/>
            <w:vAlign w:val="bottom"/>
          </w:tcPr>
          <w:p>
            <w:pPr>
              <w:spacing w:after="0"/>
              <w:rPr>
                <w:sz w:val="24"/>
                <w:szCs w:val="24"/>
                <w:color w:val="auto"/>
              </w:rPr>
            </w:pPr>
          </w:p>
        </w:tc>
        <w:tc>
          <w:tcPr>
            <w:tcW w:w="57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0" w:type="dxa"/>
            <w:vAlign w:val="bottom"/>
          </w:tcPr>
          <w:p>
            <w:pPr>
              <w:spacing w:after="0"/>
              <w:rPr>
                <w:sz w:val="24"/>
                <w:szCs w:val="24"/>
                <w:color w:val="auto"/>
              </w:rPr>
            </w:pPr>
          </w:p>
        </w:tc>
        <w:tc>
          <w:tcPr>
            <w:tcW w:w="57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0" w:type="dxa"/>
            <w:vAlign w:val="bottom"/>
          </w:tcPr>
          <w:p>
            <w:pPr>
              <w:spacing w:after="0"/>
              <w:rPr>
                <w:sz w:val="24"/>
                <w:szCs w:val="24"/>
                <w:color w:val="auto"/>
              </w:rPr>
            </w:pPr>
          </w:p>
        </w:tc>
        <w:tc>
          <w:tcPr>
            <w:tcW w:w="57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0" w:type="dxa"/>
            <w:vAlign w:val="bottom"/>
          </w:tcPr>
          <w:p>
            <w:pPr>
              <w:spacing w:after="0"/>
              <w:rPr>
                <w:sz w:val="24"/>
                <w:szCs w:val="24"/>
                <w:color w:val="auto"/>
              </w:rPr>
            </w:pPr>
          </w:p>
        </w:tc>
        <w:tc>
          <w:tcPr>
            <w:tcW w:w="57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0" w:type="dxa"/>
            <w:vAlign w:val="bottom"/>
          </w:tcPr>
          <w:p>
            <w:pPr>
              <w:spacing w:after="0"/>
              <w:rPr>
                <w:sz w:val="24"/>
                <w:szCs w:val="24"/>
                <w:color w:val="auto"/>
              </w:rPr>
            </w:pPr>
          </w:p>
        </w:tc>
        <w:tc>
          <w:tcPr>
            <w:tcW w:w="57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0" w:type="dxa"/>
            <w:vAlign w:val="bottom"/>
          </w:tcPr>
          <w:p>
            <w:pPr>
              <w:spacing w:after="0"/>
              <w:rPr>
                <w:sz w:val="24"/>
                <w:szCs w:val="24"/>
                <w:color w:val="auto"/>
              </w:rPr>
            </w:pPr>
          </w:p>
        </w:tc>
        <w:tc>
          <w:tcPr>
            <w:tcW w:w="57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880" w:right="4040" w:hanging="872"/>
        <w:spacing w:after="0" w:line="282" w:lineRule="auto"/>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9512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 or</w:t>
      </w:r>
    </w:p>
    <w:p>
      <w:pPr>
        <w:spacing w:after="0" w:line="6" w:lineRule="exact"/>
        <w:rPr>
          <w:sz w:val="20"/>
          <w:szCs w:val="20"/>
          <w:color w:val="auto"/>
        </w:rPr>
      </w:pPr>
    </w:p>
    <w:p>
      <w:pPr>
        <w:ind w:left="20" w:hanging="29"/>
        <w:spacing w:after="0" w:line="239" w:lineRule="auto"/>
        <w:rPr>
          <w:sz w:val="20"/>
          <w:szCs w:val="20"/>
          <w:color w:val="auto"/>
        </w:rPr>
      </w:pPr>
      <w:r>
        <w:rPr>
          <w:rFonts w:ascii="Times New Roman" w:cs="Times New Roman" w:eastAsia="Times New Roman" w:hAnsi="Times New Roman"/>
          <w:sz w:val="14"/>
          <w:szCs w:val="14"/>
          <w:b w:val="1"/>
          <w:bCs w:val="1"/>
          <w:color w:val="auto"/>
        </w:rPr>
        <w:t>Furnished Herewith</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X</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X</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X</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X</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X</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X</w:t>
      </w:r>
    </w:p>
    <w:p>
      <w:pPr>
        <w:spacing w:after="0" w:line="425" w:lineRule="exact"/>
        <w:rPr>
          <w:sz w:val="20"/>
          <w:szCs w:val="20"/>
          <w:color w:val="auto"/>
        </w:rPr>
      </w:pPr>
    </w:p>
    <w:p>
      <w:pPr>
        <w:sectPr>
          <w:pgSz w:w="11900" w:h="16838" w:orient="portrait"/>
          <w:cols w:equalWidth="0" w:num="2">
            <w:col w:w="10420" w:space="100"/>
            <w:col w:w="620"/>
          </w:cols>
          <w:pgMar w:left="320" w:top="333" w:right="439" w:bottom="1440" w:gutter="0" w:footer="0" w:header="0"/>
          <w:type w:val="continuous"/>
        </w:sectPr>
      </w:pPr>
    </w:p>
    <w:p>
      <w:pPr>
        <w:ind w:left="500" w:right="40" w:hanging="492"/>
        <w:spacing w:after="0" w:line="267" w:lineRule="auto"/>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certifications furnished in Exhibit 32.1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w:t>
      </w:r>
    </w:p>
    <w:p>
      <w:pPr>
        <w:spacing w:after="0" w:line="1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NURIX THERAPEUTICS, INC.</w:t>
            </w:r>
          </w:p>
        </w:tc>
      </w:tr>
      <w:tr>
        <w:trPr>
          <w:trHeight w:val="37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July 7, 2022</w:t>
            </w:r>
          </w:p>
        </w:tc>
        <w:tc>
          <w:tcPr>
            <w:tcW w:w="26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rthur</w:t>
            </w:r>
            <w:r>
              <w:rPr>
                <w:rFonts w:ascii="Times New Roman" w:cs="Times New Roman" w:eastAsia="Times New Roman" w:hAnsi="Times New Roman"/>
                <w:sz w:val="18"/>
                <w:szCs w:val="18"/>
                <w:color w:val="auto"/>
              </w:rPr>
              <w:t xml:space="preserve"> T. S</w:t>
            </w:r>
            <w:r>
              <w:rPr>
                <w:rFonts w:ascii="Times New Roman" w:cs="Times New Roman" w:eastAsia="Times New Roman" w:hAnsi="Times New Roman"/>
                <w:sz w:val="12"/>
                <w:szCs w:val="12"/>
                <w:color w:val="auto"/>
              </w:rPr>
              <w:t>ands</w:t>
            </w:r>
          </w:p>
        </w:tc>
      </w:tr>
      <w:tr>
        <w:trPr>
          <w:trHeight w:val="218"/>
        </w:trPr>
        <w:tc>
          <w:tcPr>
            <w:tcW w:w="3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Arthur T. Sands, M.D., Ph.D.</w:t>
            </w:r>
          </w:p>
        </w:tc>
      </w:tr>
      <w:tr>
        <w:trPr>
          <w:trHeight w:val="214"/>
        </w:trPr>
        <w:tc>
          <w:tcPr>
            <w:tcW w:w="3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6"/>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59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July 7, 2022</w:t>
            </w:r>
          </w:p>
        </w:tc>
        <w:tc>
          <w:tcPr>
            <w:tcW w:w="26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w:t>
            </w:r>
            <w:r>
              <w:rPr>
                <w:rFonts w:ascii="Times New Roman" w:cs="Times New Roman" w:eastAsia="Times New Roman" w:hAnsi="Times New Roman"/>
                <w:sz w:val="12"/>
                <w:szCs w:val="12"/>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oute</w:t>
            </w:r>
          </w:p>
        </w:tc>
      </w:tr>
      <w:tr>
        <w:trPr>
          <w:trHeight w:val="228"/>
        </w:trPr>
        <w:tc>
          <w:tcPr>
            <w:tcW w:w="35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Hans van Houte</w:t>
            </w:r>
          </w:p>
        </w:tc>
      </w:tr>
    </w:tbl>
    <w:p>
      <w:pPr>
        <w:jc w:val="cente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549"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Arthur T. Sands, certify that:</w:t>
      </w:r>
    </w:p>
    <w:p>
      <w:pPr>
        <w:spacing w:after="0" w:line="117" w:lineRule="exact"/>
        <w:rPr>
          <w:sz w:val="20"/>
          <w:szCs w:val="20"/>
          <w:color w:val="auto"/>
        </w:rPr>
      </w:pPr>
    </w:p>
    <w:p>
      <w:pPr>
        <w:ind w:left="440" w:hanging="432"/>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Nurix Therapeutics, Inc.;</w:t>
      </w:r>
    </w:p>
    <w:p>
      <w:pPr>
        <w:spacing w:after="0" w:line="117"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7020"/>
        <w:spacing w:after="0"/>
        <w:tabs>
          <w:tab w:leader="none" w:pos="7460" w:val="left"/>
        </w:tabs>
        <w:rPr>
          <w:sz w:val="20"/>
          <w:szCs w:val="20"/>
          <w:color w:val="auto"/>
        </w:rPr>
      </w:pPr>
      <w:r>
        <w:rPr>
          <w:rFonts w:ascii="Times New Roman" w:cs="Times New Roman" w:eastAsia="Times New Roman" w:hAnsi="Times New Roman"/>
          <w:sz w:val="18"/>
          <w:szCs w:val="18"/>
          <w:color w:val="auto"/>
        </w:rPr>
        <w:t>By:</w:t>
        <w:tab/>
        <w:t>/s/ A</w:t>
      </w:r>
      <w:r>
        <w:rPr>
          <w:rFonts w:ascii="Times New Roman" w:cs="Times New Roman" w:eastAsia="Times New Roman" w:hAnsi="Times New Roman"/>
          <w:sz w:val="12"/>
          <w:szCs w:val="12"/>
          <w:color w:val="auto"/>
        </w:rPr>
        <w:t>rthur</w:t>
      </w:r>
      <w:r>
        <w:rPr>
          <w:rFonts w:ascii="Times New Roman" w:cs="Times New Roman" w:eastAsia="Times New Roman" w:hAnsi="Times New Roman"/>
          <w:sz w:val="18"/>
          <w:szCs w:val="18"/>
          <w:color w:val="auto"/>
        </w:rPr>
        <w:t xml:space="preserve"> T. S</w:t>
      </w:r>
      <w:r>
        <w:rPr>
          <w:rFonts w:ascii="Times New Roman" w:cs="Times New Roman" w:eastAsia="Times New Roman" w:hAnsi="Times New Roman"/>
          <w:sz w:val="12"/>
          <w:szCs w:val="12"/>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17145</wp:posOffset>
            </wp:positionV>
            <wp:extent cx="239141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Arthur T. Sands, M.D., Ph.D.</w:t>
      </w:r>
    </w:p>
    <w:p>
      <w:pPr>
        <w:spacing w:after="0" w:line="2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7, 2022</w:t>
      </w:r>
    </w:p>
    <w:p>
      <w:pPr>
        <w:sectPr>
          <w:pgSz w:w="11900" w:h="16838" w:orient="portrait"/>
          <w:cols w:equalWidth="0" w:num="1">
            <w:col w:w="11240"/>
          </w:cols>
          <w:pgMar w:left="320" w:top="104"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AND ACCOUNTING OFFICER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Hans van Houte, certify that:</w:t>
      </w:r>
    </w:p>
    <w:p>
      <w:pPr>
        <w:spacing w:after="0" w:line="117" w:lineRule="exact"/>
        <w:rPr>
          <w:sz w:val="20"/>
          <w:szCs w:val="20"/>
          <w:color w:val="auto"/>
        </w:rPr>
      </w:pPr>
    </w:p>
    <w:p>
      <w:pPr>
        <w:ind w:left="440" w:hanging="432"/>
        <w:spacing w:after="0"/>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Nurix Therapeutics, Inc.;</w:t>
      </w:r>
    </w:p>
    <w:p>
      <w:pPr>
        <w:spacing w:after="0" w:line="117"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7020"/>
        <w:spacing w:after="0"/>
        <w:tabs>
          <w:tab w:leader="none" w:pos="7460" w:val="left"/>
        </w:tabs>
        <w:rPr>
          <w:sz w:val="20"/>
          <w:szCs w:val="20"/>
          <w:color w:val="auto"/>
        </w:rPr>
      </w:pPr>
      <w:r>
        <w:rPr>
          <w:rFonts w:ascii="Times New Roman" w:cs="Times New Roman" w:eastAsia="Times New Roman" w:hAnsi="Times New Roman"/>
          <w:sz w:val="18"/>
          <w:szCs w:val="18"/>
          <w:color w:val="auto"/>
        </w:rPr>
        <w:t>By:</w:t>
        <w:tab/>
        <w:t>/s/ H</w:t>
      </w:r>
      <w:r>
        <w:rPr>
          <w:rFonts w:ascii="Times New Roman" w:cs="Times New Roman" w:eastAsia="Times New Roman" w:hAnsi="Times New Roman"/>
          <w:sz w:val="12"/>
          <w:szCs w:val="12"/>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17145</wp:posOffset>
            </wp:positionV>
            <wp:extent cx="239141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Hans van Houte</w:t>
      </w:r>
    </w:p>
    <w:p>
      <w:pPr>
        <w:spacing w:after="0" w:line="2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7, 2022</w:t>
      </w:r>
    </w:p>
    <w:p>
      <w:pPr>
        <w:sectPr>
          <w:pgSz w:w="11900" w:h="16838" w:orient="portrait"/>
          <w:cols w:equalWidth="0" w:num="1">
            <w:col w:w="11240"/>
          </w:cols>
          <w:pgMar w:left="320" w:top="104"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officers of Nurix Therapeutics, Inc. (the Company) certifies, pursuant to 18 U.S.C. § 1350, as adopted pursuant to §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w:t>
      </w:r>
    </w:p>
    <w:p>
      <w:pPr>
        <w:spacing w:after="0" w:line="207" w:lineRule="exact"/>
        <w:rPr>
          <w:sz w:val="20"/>
          <w:szCs w:val="20"/>
          <w:color w:val="auto"/>
        </w:rPr>
      </w:pPr>
    </w:p>
    <w:p>
      <w:pPr>
        <w:ind w:left="440" w:right="20" w:hanging="432"/>
        <w:spacing w:after="0" w:line="282" w:lineRule="auto"/>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May 31, 2022 (the Quarterly Report), as filed with the Securities and Exchange Commission,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440" w:right="20" w:hanging="432"/>
        <w:spacing w:after="0" w:line="282" w:lineRule="auto"/>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fairly presents, in all material respects, the financial condition and results of operations of the Company.</w:t>
      </w:r>
    </w:p>
    <w:p>
      <w:pPr>
        <w:spacing w:after="0" w:line="18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rthur</w:t>
            </w:r>
            <w:r>
              <w:rPr>
                <w:rFonts w:ascii="Times New Roman" w:cs="Times New Roman" w:eastAsia="Times New Roman" w:hAnsi="Times New Roman"/>
                <w:sz w:val="18"/>
                <w:szCs w:val="18"/>
                <w:color w:val="auto"/>
              </w:rPr>
              <w:t xml:space="preserve"> T. S</w:t>
            </w:r>
            <w:r>
              <w:rPr>
                <w:rFonts w:ascii="Times New Roman" w:cs="Times New Roman" w:eastAsia="Times New Roman" w:hAnsi="Times New Roman"/>
                <w:sz w:val="12"/>
                <w:szCs w:val="12"/>
                <w:color w:val="auto"/>
              </w:rPr>
              <w:t>ands</w:t>
            </w:r>
          </w:p>
        </w:tc>
      </w:tr>
      <w:tr>
        <w:trPr>
          <w:trHeight w:val="191"/>
        </w:trPr>
        <w:tc>
          <w:tcPr>
            <w:tcW w:w="60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Arthur T. Sands, M.D., Ph.D.</w:t>
            </w:r>
          </w:p>
        </w:tc>
      </w:tr>
      <w:tr>
        <w:trPr>
          <w:trHeight w:val="216"/>
        </w:trPr>
        <w:tc>
          <w:tcPr>
            <w:tcW w:w="6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6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w:t>
            </w:r>
            <w:r>
              <w:rPr>
                <w:rFonts w:ascii="Times New Roman" w:cs="Times New Roman" w:eastAsia="Times New Roman" w:hAnsi="Times New Roman"/>
                <w:sz w:val="12"/>
                <w:szCs w:val="12"/>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oute</w:t>
            </w:r>
          </w:p>
        </w:tc>
      </w:tr>
      <w:tr>
        <w:trPr>
          <w:trHeight w:val="191"/>
        </w:trPr>
        <w:tc>
          <w:tcPr>
            <w:tcW w:w="60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Hans van Houte</w:t>
            </w:r>
          </w:p>
        </w:tc>
      </w:tr>
      <w:tr>
        <w:trPr>
          <w:trHeight w:val="216"/>
        </w:trPr>
        <w:tc>
          <w:tcPr>
            <w:tcW w:w="6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7, 2022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2"/>
    </w:lvl>
  </w:abstractNum>
  <w:abstractNum w:abstractNumId="4">
    <w:nsid w:val="71F32454"/>
    <w:multiLevelType w:val="hybridMultilevel"/>
    <w:lvl w:ilvl="0">
      <w:lvlJc w:val="left"/>
      <w:lvlText w:val="(%1)"/>
      <w:numFmt w:val="lowerRoman"/>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104"/>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2022-07-07T15:22:54Z</dcterms:created>
  <dcterms:modified xsi:type="dcterms:W3CDTF">2022-07-07T15:22:54Z</dcterms:modified>
</cp:coreProperties>
</file>