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3, 2026</w:t>
      </w:r>
    </w:p>
    <w:p>
      <w:pPr>
        <w:spacing w:after="0" w:line="3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NURIX THERAPEUTICS, INC.</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116"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60" w:type="dxa"/>
            <w:vAlign w:val="bottom"/>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001-39398</w:t>
            </w:r>
          </w:p>
        </w:tc>
        <w:tc>
          <w:tcPr>
            <w:tcW w:w="16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27-0838048</w:t>
            </w:r>
          </w:p>
        </w:tc>
      </w:tr>
      <w:tr>
        <w:trPr>
          <w:trHeight w:val="205"/>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16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416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1600 Sierra Point Parkway,</w:t>
            </w:r>
          </w:p>
        </w:tc>
        <w:tc>
          <w:tcPr>
            <w:tcW w:w="4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8"/>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4160" w:type="dxa"/>
            <w:vAlign w:val="bottom"/>
          </w:tcPr>
          <w:p>
            <w:pPr>
              <w:spacing w:after="0"/>
              <w:rPr>
                <w:sz w:val="20"/>
                <w:szCs w:val="20"/>
                <w:color w:val="auto"/>
              </w:rPr>
            </w:pPr>
          </w:p>
        </w:tc>
        <w:tc>
          <w:tcPr>
            <w:tcW w:w="16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220"/>
        </w:trPr>
        <w:tc>
          <w:tcPr>
            <w:tcW w:w="2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60" w:type="dxa"/>
            <w:vAlign w:val="bottom"/>
          </w:tcPr>
          <w:p>
            <w:pPr>
              <w:spacing w:after="0"/>
              <w:rPr>
                <w:sz w:val="19"/>
                <w:szCs w:val="19"/>
                <w:color w:val="auto"/>
              </w:rPr>
            </w:pPr>
          </w:p>
        </w:tc>
        <w:tc>
          <w:tcPr>
            <w:tcW w:w="168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7"/>
        </w:trPr>
        <w:tc>
          <w:tcPr>
            <w:tcW w:w="2660" w:type="dxa"/>
            <w:vAlign w:val="bottom"/>
          </w:tcPr>
          <w:p>
            <w:pPr>
              <w:spacing w:after="0"/>
              <w:rPr>
                <w:sz w:val="24"/>
                <w:szCs w:val="24"/>
                <w:color w:val="auto"/>
              </w:rPr>
            </w:pPr>
          </w:p>
        </w:tc>
        <w:tc>
          <w:tcPr>
            <w:tcW w:w="416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(415) 660-5320</w:t>
            </w:r>
          </w:p>
        </w:tc>
        <w:tc>
          <w:tcPr>
            <w:tcW w:w="1680" w:type="dxa"/>
            <w:vAlign w:val="bottom"/>
          </w:tcPr>
          <w:p>
            <w:pPr>
              <w:spacing w:after="0"/>
              <w:rPr>
                <w:sz w:val="24"/>
                <w:szCs w:val="24"/>
                <w:color w:val="auto"/>
              </w:rPr>
            </w:pPr>
          </w:p>
        </w:tc>
      </w:tr>
      <w:tr>
        <w:trPr>
          <w:trHeight w:val="190"/>
        </w:trPr>
        <w:tc>
          <w:tcPr>
            <w:tcW w:w="2660" w:type="dxa"/>
            <w:vAlign w:val="bottom"/>
          </w:tcPr>
          <w:p>
            <w:pPr>
              <w:spacing w:after="0"/>
              <w:rPr>
                <w:sz w:val="16"/>
                <w:szCs w:val="16"/>
                <w:color w:val="auto"/>
              </w:rPr>
            </w:pPr>
          </w:p>
        </w:tc>
        <w:tc>
          <w:tcPr>
            <w:tcW w:w="4160" w:type="dxa"/>
            <w:vAlign w:val="bottom"/>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bl>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90"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360" w:type="dxa"/>
            <w:vAlign w:val="bottom"/>
            <w:tcBorders>
              <w:bottom w:val="single" w:sz="8" w:color="auto"/>
              <w:right w:val="single" w:sz="8" w:color="auto"/>
            </w:tcBorders>
          </w:tcPr>
          <w:p>
            <w:pPr>
              <w:spacing w:after="0"/>
              <w:rPr>
                <w:sz w:val="3"/>
                <w:szCs w:val="3"/>
                <w:color w:val="auto"/>
              </w:rPr>
            </w:pPr>
          </w:p>
        </w:tc>
      </w:tr>
      <w:tr>
        <w:trPr>
          <w:trHeight w:val="237"/>
        </w:trPr>
        <w:tc>
          <w:tcPr>
            <w:tcW w:w="4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NRIX</w:t>
            </w: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1D1E"/>
        </w:rPr>
        <w:t xml:space="preserve">Emerging growth company </w:t>
      </w:r>
      <w:r>
        <w:rPr>
          <w:rFonts w:ascii="Wingdings" w:cs="Wingdings" w:eastAsia="Wingdings" w:hAnsi="Wingdings"/>
          <w:sz w:val="18"/>
          <w:szCs w:val="18"/>
          <w:b w:val="1"/>
          <w:bCs w:val="1"/>
          <w:color w:val="211D1E"/>
        </w:rPr>
        <w:t>o</w:t>
      </w:r>
    </w:p>
    <w:p>
      <w:pPr>
        <w:spacing w:after="0" w:line="104"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211D1E"/>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1280" w:right="31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7"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On November 3, 2026, Nurix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announced that collaboration partner Sanofi S.A. (“</w:t>
      </w:r>
      <w:r>
        <w:rPr>
          <w:rFonts w:ascii="Times New Roman" w:cs="Times New Roman" w:eastAsia="Times New Roman" w:hAnsi="Times New Roman"/>
          <w:sz w:val="18"/>
          <w:szCs w:val="18"/>
          <w:i w:val="1"/>
          <w:iCs w:val="1"/>
          <w:color w:val="auto"/>
        </w:rPr>
        <w:t>Sanofi</w:t>
      </w:r>
      <w:r>
        <w:rPr>
          <w:rFonts w:ascii="Times New Roman" w:cs="Times New Roman" w:eastAsia="Times New Roman" w:hAnsi="Times New Roman"/>
          <w:sz w:val="18"/>
          <w:szCs w:val="18"/>
          <w:color w:val="auto"/>
        </w:rPr>
        <w:t>”) had notified the Company of its decision to discontinue the Phase 1 first-in-human clinical trial of SAR448272, an oral STAT6 degrader, and to terminate the SAR448272 program.</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Sanofi’s decision, the Company does not expect to receive any of the future development, regulatory and commercial milestone payments or royalties for which it was eligible under the Company’s collaboration with Sanofi (the “</w:t>
      </w:r>
      <w:r>
        <w:rPr>
          <w:rFonts w:ascii="Times New Roman" w:cs="Times New Roman" w:eastAsia="Times New Roman" w:hAnsi="Times New Roman"/>
          <w:sz w:val="18"/>
          <w:szCs w:val="18"/>
          <w:i w:val="1"/>
          <w:iCs w:val="1"/>
          <w:color w:val="auto"/>
        </w:rPr>
        <w:t>Sanofi Collaboration</w:t>
      </w:r>
      <w:r>
        <w:rPr>
          <w:rFonts w:ascii="Times New Roman" w:cs="Times New Roman" w:eastAsia="Times New Roman" w:hAnsi="Times New Roman"/>
          <w:sz w:val="18"/>
          <w:szCs w:val="18"/>
          <w:color w:val="auto"/>
        </w:rPr>
        <w:t>”) with respect to the SAR448272 program. The Company remains eligible to receive milestone payments and royalties with respect to its other previously announced licensed programs developed under the Sanofi Collaboration that Sanofi may at its discretion develop further into clinical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0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These statements are based on the Company’s current expectations and are subject to risks and uncertainties that could cause actual results to differ materially. Those risks include the risk that Sanofi may choose not to advance other licensed programs under the Sanofi Collaboration, the risk that the Company’s collaborators may discontinue or delay the development of partnered programs, and the other risks described under the heading “Risk Factors” in the Company’s Quarterly Report on Form 10-Q for the fiscal quarter ended August 31, 2026, and other filings with the Securities and Exchange Commission. These forward-looking statements speak only as of the date of this report, and the Company undertakes no obligation to update them,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216" w:lineRule="exact"/>
        <w:rPr>
          <w:sz w:val="20"/>
          <w:szCs w:val="20"/>
          <w:color w:val="auto"/>
        </w:rPr>
      </w:pPr>
    </w:p>
    <w:p>
      <w:pPr>
        <w:ind w:left="20"/>
        <w:spacing w:after="0"/>
        <w:tabs>
          <w:tab w:leader="none" w:pos="5240" w:val="left"/>
          <w:tab w:leader="none" w:pos="568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tab/>
        <w:t>/s/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34290</wp:posOffset>
            </wp:positionV>
            <wp:extent cx="3522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Christine Ring, Ph.D., J.D.</w:t>
      </w:r>
    </w:p>
    <w:p>
      <w:pPr>
        <w:spacing w:after="0" w:line="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0940"/>
      </w:cols>
      <w:pgMar w:left="320" w:top="1143"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2026-11-03T15:14:18Z</dcterms:created>
  <dcterms:modified xsi:type="dcterms:W3CDTF">2026-11-03T15:14:18Z</dcterms:modified>
</cp:coreProperties>
</file>