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2"/>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64770</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36" w:lineRule="exact"/>
        <w:rPr>
          <w:sz w:val="24"/>
          <w:szCs w:val="24"/>
          <w:color w:val="auto"/>
        </w:rPr>
      </w:pPr>
    </w:p>
    <w:p>
      <w:pPr>
        <w:jc w:val="center"/>
        <w:ind w:right="12"/>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67945</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49"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468" w:hanging="468"/>
        <w:spacing w:after="0"/>
        <w:tabs>
          <w:tab w:leader="none" w:pos="468"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QUARTERLY REPORT PURSUANT TO SECTION 13 OR 15(d) OF THE SECURITIES EXCHANGE ACT OF 1934</w:t>
      </w:r>
    </w:p>
    <w:p>
      <w:pPr>
        <w:spacing w:after="0" w:line="200" w:lineRule="exact"/>
        <w:rPr>
          <w:sz w:val="24"/>
          <w:szCs w:val="24"/>
          <w:color w:val="auto"/>
        </w:rPr>
      </w:pPr>
    </w:p>
    <w:p>
      <w:pPr>
        <w:spacing w:after="0" w:line="300" w:lineRule="exact"/>
        <w:rPr>
          <w:sz w:val="24"/>
          <w:szCs w:val="24"/>
          <w:color w:val="auto"/>
        </w:rPr>
      </w:pPr>
    </w:p>
    <w:p>
      <w:pPr>
        <w:ind w:left="468" w:hanging="468"/>
        <w:spacing w:after="0"/>
        <w:tabs>
          <w:tab w:leader="none" w:pos="468"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11308"/>
          </w:cols>
          <w:pgMar w:left="292" w:top="418" w:right="299" w:bottom="1440" w:gutter="0" w:footer="0" w:header="0"/>
        </w:sectPr>
      </w:pPr>
    </w:p>
    <w:p>
      <w:pPr>
        <w:spacing w:after="0" w:line="78" w:lineRule="exact"/>
        <w:rPr>
          <w:sz w:val="24"/>
          <w:szCs w:val="24"/>
          <w:color w:val="auto"/>
        </w:rPr>
      </w:pPr>
    </w:p>
    <w:p>
      <w:pPr>
        <w:ind w:left="4188"/>
        <w:spacing w:after="0"/>
        <w:tabs>
          <w:tab w:leader="none" w:pos="6268"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78" w:lineRule="exact"/>
        <w:rPr>
          <w:sz w:val="24"/>
          <w:szCs w:val="24"/>
          <w:color w:val="auto"/>
        </w:rPr>
      </w:pPr>
    </w:p>
    <w:p>
      <w:pPr>
        <w:ind w:left="4708"/>
        <w:spacing w:after="0"/>
        <w:rPr>
          <w:sz w:val="20"/>
          <w:szCs w:val="20"/>
          <w:color w:val="auto"/>
        </w:rPr>
      </w:pPr>
      <w:r>
        <w:rPr>
          <w:rFonts w:ascii="Arial" w:cs="Arial" w:eastAsia="Arial" w:hAnsi="Arial"/>
          <w:sz w:val="10"/>
          <w:szCs w:val="10"/>
          <w:b w:val="1"/>
          <w:bCs w:val="1"/>
          <w:color w:val="auto"/>
        </w:rPr>
        <w:t>Commission File Number: 001-39398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83820</wp:posOffset>
            </wp:positionV>
            <wp:extent cx="1440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ectPr>
          <w:pgSz w:w="11900" w:h="16838" w:orient="portrait"/>
          <w:cols w:equalWidth="0" w:num="1">
            <w:col w:w="11308"/>
          </w:cols>
          <w:pgMar w:left="292" w:top="418" w:right="299" w:bottom="1440" w:gutter="0" w:footer="0" w:header="0"/>
          <w:type w:val="continuous"/>
        </w:sectPr>
      </w:pPr>
    </w:p>
    <w:p>
      <w:pPr>
        <w:spacing w:after="0" w:line="185" w:lineRule="exact"/>
        <w:rPr>
          <w:sz w:val="24"/>
          <w:szCs w:val="24"/>
          <w:color w:val="auto"/>
        </w:rPr>
      </w:pPr>
    </w:p>
    <w:tbl>
      <w:tblPr>
        <w:tblLayout w:type="fixed"/>
        <w:tblInd w:w="8" w:type="dxa"/>
        <w:tblCellMar>
          <w:top w:w="0" w:type="dxa"/>
          <w:left w:w="0" w:type="dxa"/>
          <w:bottom w:w="0" w:type="dxa"/>
          <w:right w:w="0" w:type="dxa"/>
        </w:tblCellMar>
      </w:tblPr>
      <w:tr>
        <w:trPr>
          <w:trHeight w:val="348"/>
        </w:trPr>
        <w:tc>
          <w:tcPr>
            <w:tcW w:w="3540" w:type="dxa"/>
            <w:vAlign w:val="bottom"/>
          </w:tcPr>
          <w:p>
            <w:pPr>
              <w:spacing w:after="0"/>
              <w:rPr>
                <w:sz w:val="24"/>
                <w:szCs w:val="24"/>
                <w:color w:val="auto"/>
              </w:rPr>
            </w:pPr>
          </w:p>
        </w:tc>
        <w:tc>
          <w:tcPr>
            <w:tcW w:w="4220" w:type="dxa"/>
            <w:vAlign w:val="bottom"/>
            <w:gridSpan w:val="7"/>
          </w:tcPr>
          <w:p>
            <w:pPr>
              <w:jc w:val="center"/>
              <w:ind w:right="20"/>
              <w:spacing w:after="0"/>
              <w:rPr>
                <w:sz w:val="20"/>
                <w:szCs w:val="20"/>
                <w:color w:val="auto"/>
              </w:rPr>
            </w:pPr>
            <w:r>
              <w:rPr>
                <w:rFonts w:ascii="Arial" w:cs="Arial" w:eastAsia="Arial" w:hAnsi="Arial"/>
                <w:sz w:val="29"/>
                <w:szCs w:val="29"/>
                <w:b w:val="1"/>
                <w:bCs w:val="1"/>
                <w:color w:val="auto"/>
              </w:rPr>
              <w:t>NURIX THERAPEUTICS, INC.</w:t>
            </w:r>
          </w:p>
        </w:tc>
        <w:tc>
          <w:tcPr>
            <w:tcW w:w="3540" w:type="dxa"/>
            <w:vAlign w:val="bottom"/>
          </w:tcPr>
          <w:p>
            <w:pPr>
              <w:spacing w:after="0"/>
              <w:rPr>
                <w:sz w:val="24"/>
                <w:szCs w:val="24"/>
                <w:color w:val="auto"/>
              </w:rPr>
            </w:pPr>
          </w:p>
        </w:tc>
      </w:tr>
      <w:tr>
        <w:trPr>
          <w:trHeight w:val="157"/>
        </w:trPr>
        <w:tc>
          <w:tcPr>
            <w:tcW w:w="3540" w:type="dxa"/>
            <w:vAlign w:val="bottom"/>
          </w:tcPr>
          <w:p>
            <w:pPr>
              <w:spacing w:after="0"/>
              <w:rPr>
                <w:sz w:val="13"/>
                <w:szCs w:val="13"/>
                <w:color w:val="auto"/>
              </w:rPr>
            </w:pPr>
          </w:p>
        </w:tc>
        <w:tc>
          <w:tcPr>
            <w:tcW w:w="4220" w:type="dxa"/>
            <w:vAlign w:val="bottom"/>
            <w:gridSpan w:val="7"/>
          </w:tcPr>
          <w:p>
            <w:pPr>
              <w:jc w:val="center"/>
              <w:ind w:right="20"/>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c>
          <w:tcPr>
            <w:tcW w:w="3540" w:type="dxa"/>
            <w:vAlign w:val="bottom"/>
          </w:tcPr>
          <w:p>
            <w:pPr>
              <w:spacing w:after="0"/>
              <w:rPr>
                <w:sz w:val="13"/>
                <w:szCs w:val="13"/>
                <w:color w:val="auto"/>
              </w:rPr>
            </w:pPr>
          </w:p>
        </w:tc>
      </w:tr>
      <w:tr>
        <w:trPr>
          <w:trHeight w:val="178"/>
        </w:trPr>
        <w:tc>
          <w:tcPr>
            <w:tcW w:w="3540" w:type="dxa"/>
            <w:vAlign w:val="bottom"/>
          </w:tcPr>
          <w:p>
            <w:pPr>
              <w:jc w:val="center"/>
              <w:ind w:left="1989"/>
              <w:spacing w:after="0"/>
              <w:rPr>
                <w:sz w:val="20"/>
                <w:szCs w:val="20"/>
                <w:color w:val="auto"/>
              </w:rPr>
            </w:pPr>
            <w:r>
              <w:rPr>
                <w:rFonts w:ascii="Arial" w:cs="Arial" w:eastAsia="Arial" w:hAnsi="Arial"/>
                <w:sz w:val="10"/>
                <w:szCs w:val="10"/>
                <w:b w:val="1"/>
                <w:bCs w:val="1"/>
                <w:color w:val="auto"/>
                <w:w w:val="95"/>
              </w:rPr>
              <w:t>Delaware</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540" w:type="dxa"/>
            <w:vAlign w:val="bottom"/>
          </w:tcPr>
          <w:p>
            <w:pPr>
              <w:jc w:val="right"/>
              <w:ind w:right="2509"/>
              <w:spacing w:after="0"/>
              <w:rPr>
                <w:sz w:val="20"/>
                <w:szCs w:val="20"/>
                <w:color w:val="auto"/>
              </w:rPr>
            </w:pPr>
            <w:r>
              <w:rPr>
                <w:rFonts w:ascii="Arial" w:cs="Arial" w:eastAsia="Arial" w:hAnsi="Arial"/>
                <w:sz w:val="10"/>
                <w:szCs w:val="10"/>
                <w:b w:val="1"/>
                <w:bCs w:val="1"/>
                <w:color w:val="auto"/>
              </w:rPr>
              <w:t>27-0838048</w:t>
            </w:r>
          </w:p>
        </w:tc>
      </w:tr>
      <w:tr>
        <w:trPr>
          <w:trHeight w:val="108"/>
        </w:trPr>
        <w:tc>
          <w:tcPr>
            <w:tcW w:w="3540" w:type="dxa"/>
            <w:vAlign w:val="bottom"/>
          </w:tcPr>
          <w:p>
            <w:pPr>
              <w:jc w:val="center"/>
              <w:ind w:left="1989"/>
              <w:spacing w:after="0" w:line="108" w:lineRule="exact"/>
              <w:rPr>
                <w:sz w:val="20"/>
                <w:szCs w:val="20"/>
                <w:color w:val="auto"/>
              </w:rPr>
            </w:pPr>
            <w:r>
              <w:rPr>
                <w:rFonts w:ascii="Arial" w:cs="Arial" w:eastAsia="Arial" w:hAnsi="Arial"/>
                <w:sz w:val="10"/>
                <w:szCs w:val="10"/>
                <w:b w:val="1"/>
                <w:bCs w:val="1"/>
                <w:color w:val="auto"/>
                <w:w w:val="91"/>
              </w:rPr>
              <w:t>(State or other jurisdiction of</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540" w:type="dxa"/>
            <w:vAlign w:val="bottom"/>
          </w:tcPr>
          <w:p>
            <w:pPr>
              <w:jc w:val="center"/>
              <w:ind w:right="2009"/>
              <w:spacing w:after="0" w:line="108" w:lineRule="exact"/>
              <w:rPr>
                <w:sz w:val="20"/>
                <w:szCs w:val="20"/>
                <w:color w:val="auto"/>
              </w:rPr>
            </w:pPr>
            <w:r>
              <w:rPr>
                <w:rFonts w:ascii="Arial" w:cs="Arial" w:eastAsia="Arial" w:hAnsi="Arial"/>
                <w:sz w:val="10"/>
                <w:szCs w:val="10"/>
                <w:b w:val="1"/>
                <w:bCs w:val="1"/>
                <w:color w:val="auto"/>
                <w:w w:val="93"/>
              </w:rPr>
              <w:t>(I.R.S. Employer</w:t>
            </w:r>
          </w:p>
        </w:tc>
      </w:tr>
      <w:tr>
        <w:trPr>
          <w:trHeight w:val="108"/>
        </w:trPr>
        <w:tc>
          <w:tcPr>
            <w:tcW w:w="3540" w:type="dxa"/>
            <w:vAlign w:val="bottom"/>
          </w:tcPr>
          <w:p>
            <w:pPr>
              <w:jc w:val="center"/>
              <w:ind w:left="1989"/>
              <w:spacing w:after="0" w:line="108" w:lineRule="exact"/>
              <w:rPr>
                <w:sz w:val="20"/>
                <w:szCs w:val="20"/>
                <w:color w:val="auto"/>
              </w:rPr>
            </w:pPr>
            <w:r>
              <w:rPr>
                <w:rFonts w:ascii="Arial" w:cs="Arial" w:eastAsia="Arial" w:hAnsi="Arial"/>
                <w:sz w:val="10"/>
                <w:szCs w:val="10"/>
                <w:b w:val="1"/>
                <w:bCs w:val="1"/>
                <w:color w:val="auto"/>
                <w:w w:val="93"/>
              </w:rPr>
              <w:t>incorporation or organization)</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540" w:type="dxa"/>
            <w:vAlign w:val="bottom"/>
          </w:tcPr>
          <w:p>
            <w:pPr>
              <w:jc w:val="center"/>
              <w:ind w:right="2009"/>
              <w:spacing w:after="0" w:line="108" w:lineRule="exact"/>
              <w:rPr>
                <w:sz w:val="20"/>
                <w:szCs w:val="20"/>
                <w:color w:val="auto"/>
              </w:rPr>
            </w:pPr>
            <w:r>
              <w:rPr>
                <w:rFonts w:ascii="Arial" w:cs="Arial" w:eastAsia="Arial" w:hAnsi="Arial"/>
                <w:sz w:val="10"/>
                <w:szCs w:val="10"/>
                <w:b w:val="1"/>
                <w:bCs w:val="1"/>
                <w:color w:val="auto"/>
                <w:w w:val="94"/>
              </w:rPr>
              <w:t>Identification No.)</w:t>
            </w:r>
          </w:p>
        </w:tc>
      </w:tr>
      <w:tr>
        <w:trPr>
          <w:trHeight w:val="108"/>
        </w:trPr>
        <w:tc>
          <w:tcPr>
            <w:tcW w:w="3540" w:type="dxa"/>
            <w:vAlign w:val="bottom"/>
          </w:tcPr>
          <w:p>
            <w:pPr>
              <w:jc w:val="center"/>
              <w:ind w:left="1989"/>
              <w:spacing w:after="0" w:line="108" w:lineRule="exact"/>
              <w:rPr>
                <w:sz w:val="20"/>
                <w:szCs w:val="20"/>
                <w:color w:val="auto"/>
              </w:rPr>
            </w:pPr>
            <w:r>
              <w:rPr>
                <w:rFonts w:ascii="Arial" w:cs="Arial" w:eastAsia="Arial" w:hAnsi="Arial"/>
                <w:sz w:val="10"/>
                <w:szCs w:val="10"/>
                <w:b w:val="1"/>
                <w:bCs w:val="1"/>
                <w:color w:val="auto"/>
                <w:w w:val="91"/>
              </w:rPr>
              <w:t>1700 Owens Street, Suite 205</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540" w:type="dxa"/>
            <w:vAlign w:val="bottom"/>
          </w:tcPr>
          <w:p>
            <w:pPr>
              <w:spacing w:after="0"/>
              <w:rPr>
                <w:sz w:val="9"/>
                <w:szCs w:val="9"/>
                <w:color w:val="auto"/>
              </w:rPr>
            </w:pPr>
          </w:p>
        </w:tc>
      </w:tr>
      <w:tr>
        <w:trPr>
          <w:trHeight w:val="108"/>
        </w:trPr>
        <w:tc>
          <w:tcPr>
            <w:tcW w:w="3540" w:type="dxa"/>
            <w:vAlign w:val="bottom"/>
          </w:tcPr>
          <w:p>
            <w:pPr>
              <w:jc w:val="center"/>
              <w:ind w:left="1989"/>
              <w:spacing w:after="0" w:line="108" w:lineRule="exact"/>
              <w:rPr>
                <w:sz w:val="20"/>
                <w:szCs w:val="20"/>
                <w:color w:val="auto"/>
              </w:rPr>
            </w:pPr>
            <w:r>
              <w:rPr>
                <w:rFonts w:ascii="Arial" w:cs="Arial" w:eastAsia="Arial" w:hAnsi="Arial"/>
                <w:sz w:val="10"/>
                <w:szCs w:val="10"/>
                <w:b w:val="1"/>
                <w:bCs w:val="1"/>
                <w:color w:val="auto"/>
                <w:w w:val="92"/>
              </w:rPr>
              <w:t>San Francisco, CA</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540" w:type="dxa"/>
            <w:vAlign w:val="bottom"/>
          </w:tcPr>
          <w:p>
            <w:pPr>
              <w:jc w:val="right"/>
              <w:ind w:right="2629"/>
              <w:spacing w:after="0" w:line="108" w:lineRule="exact"/>
              <w:rPr>
                <w:sz w:val="20"/>
                <w:szCs w:val="20"/>
                <w:color w:val="auto"/>
              </w:rPr>
            </w:pPr>
            <w:r>
              <w:rPr>
                <w:rFonts w:ascii="Arial" w:cs="Arial" w:eastAsia="Arial" w:hAnsi="Arial"/>
                <w:sz w:val="10"/>
                <w:szCs w:val="10"/>
                <w:b w:val="1"/>
                <w:bCs w:val="1"/>
                <w:color w:val="auto"/>
              </w:rPr>
              <w:t>94158</w:t>
            </w:r>
          </w:p>
        </w:tc>
      </w:tr>
      <w:tr>
        <w:trPr>
          <w:trHeight w:val="131"/>
        </w:trPr>
        <w:tc>
          <w:tcPr>
            <w:tcW w:w="7760" w:type="dxa"/>
            <w:vAlign w:val="bottom"/>
            <w:gridSpan w:val="8"/>
          </w:tcPr>
          <w:p>
            <w:pPr>
              <w:jc w:val="center"/>
              <w:ind w:right="2180"/>
              <w:spacing w:after="0"/>
              <w:rPr>
                <w:sz w:val="20"/>
                <w:szCs w:val="20"/>
                <w:color w:val="auto"/>
              </w:rPr>
            </w:pPr>
            <w:r>
              <w:rPr>
                <w:rFonts w:ascii="Arial" w:cs="Arial" w:eastAsia="Arial" w:hAnsi="Arial"/>
                <w:sz w:val="10"/>
                <w:szCs w:val="10"/>
                <w:b w:val="1"/>
                <w:bCs w:val="1"/>
                <w:color w:val="auto"/>
                <w:w w:val="91"/>
              </w:rPr>
              <w:t>(Address of principal executive offices)</w:t>
            </w:r>
          </w:p>
        </w:tc>
        <w:tc>
          <w:tcPr>
            <w:tcW w:w="3540" w:type="dxa"/>
            <w:vAlign w:val="bottom"/>
          </w:tcPr>
          <w:p>
            <w:pPr>
              <w:jc w:val="center"/>
              <w:ind w:right="2009"/>
              <w:spacing w:after="0"/>
              <w:rPr>
                <w:sz w:val="20"/>
                <w:szCs w:val="20"/>
                <w:color w:val="auto"/>
              </w:rPr>
            </w:pPr>
            <w:r>
              <w:rPr>
                <w:rFonts w:ascii="Arial" w:cs="Arial" w:eastAsia="Arial" w:hAnsi="Arial"/>
                <w:sz w:val="10"/>
                <w:szCs w:val="10"/>
                <w:b w:val="1"/>
                <w:bCs w:val="1"/>
                <w:color w:val="auto"/>
                <w:w w:val="96"/>
              </w:rPr>
              <w:t>(Zip Code)</w:t>
            </w:r>
          </w:p>
        </w:tc>
      </w:tr>
      <w:tr>
        <w:trPr>
          <w:trHeight w:val="204"/>
        </w:trPr>
        <w:tc>
          <w:tcPr>
            <w:tcW w:w="3540" w:type="dxa"/>
            <w:vAlign w:val="bottom"/>
          </w:tcPr>
          <w:p>
            <w:pPr>
              <w:spacing w:after="0"/>
              <w:rPr>
                <w:sz w:val="17"/>
                <w:szCs w:val="17"/>
                <w:color w:val="auto"/>
              </w:rPr>
            </w:pPr>
          </w:p>
        </w:tc>
        <w:tc>
          <w:tcPr>
            <w:tcW w:w="4220" w:type="dxa"/>
            <w:vAlign w:val="bottom"/>
            <w:gridSpan w:val="7"/>
          </w:tcPr>
          <w:p>
            <w:pPr>
              <w:jc w:val="center"/>
              <w:ind w:right="20"/>
              <w:spacing w:after="0"/>
              <w:rPr>
                <w:sz w:val="20"/>
                <w:szCs w:val="20"/>
                <w:color w:val="auto"/>
              </w:rPr>
            </w:pPr>
            <w:r>
              <w:rPr>
                <w:rFonts w:ascii="Arial" w:cs="Arial" w:eastAsia="Arial" w:hAnsi="Arial"/>
                <w:sz w:val="12"/>
                <w:szCs w:val="12"/>
                <w:b w:val="1"/>
                <w:bCs w:val="1"/>
                <w:color w:val="auto"/>
                <w:w w:val="89"/>
              </w:rPr>
              <w:t>Registrant’s telephone number, including area code: (415) 660-5320</w:t>
            </w:r>
          </w:p>
        </w:tc>
        <w:tc>
          <w:tcPr>
            <w:tcW w:w="3540" w:type="dxa"/>
            <w:vAlign w:val="bottom"/>
          </w:tcPr>
          <w:p>
            <w:pPr>
              <w:spacing w:after="0"/>
              <w:rPr>
                <w:sz w:val="17"/>
                <w:szCs w:val="17"/>
                <w:color w:val="auto"/>
              </w:rPr>
            </w:pPr>
          </w:p>
        </w:tc>
      </w:tr>
      <w:tr>
        <w:trPr>
          <w:trHeight w:val="99"/>
        </w:trPr>
        <w:tc>
          <w:tcPr>
            <w:tcW w:w="3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3540" w:type="dxa"/>
            <w:vAlign w:val="bottom"/>
          </w:tcPr>
          <w:p>
            <w:pPr>
              <w:spacing w:after="0"/>
              <w:rPr>
                <w:sz w:val="8"/>
                <w:szCs w:val="8"/>
                <w:color w:val="auto"/>
              </w:rPr>
            </w:pPr>
          </w:p>
        </w:tc>
      </w:tr>
      <w:tr>
        <w:trPr>
          <w:trHeight w:val="165"/>
        </w:trPr>
        <w:tc>
          <w:tcPr>
            <w:tcW w:w="3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4"/>
          </w:tcPr>
          <w:p>
            <w:pPr>
              <w:ind w:left="160"/>
              <w:spacing w:after="0"/>
              <w:rPr>
                <w:sz w:val="20"/>
                <w:szCs w:val="20"/>
                <w:color w:val="auto"/>
              </w:rPr>
            </w:pPr>
            <w:r>
              <w:rPr>
                <w:rFonts w:ascii="Arial" w:cs="Arial" w:eastAsia="Arial" w:hAnsi="Arial"/>
                <w:sz w:val="11"/>
                <w:szCs w:val="11"/>
                <w:color w:val="auto"/>
              </w:rPr>
              <w:t>Securities registered pursuant to Section 12(b) of the Act:</w:t>
            </w:r>
          </w:p>
        </w:tc>
        <w:tc>
          <w:tcPr>
            <w:tcW w:w="3540" w:type="dxa"/>
            <w:vAlign w:val="bottom"/>
          </w:tcPr>
          <w:p>
            <w:pPr>
              <w:spacing w:after="0"/>
              <w:rPr>
                <w:sz w:val="14"/>
                <w:szCs w:val="14"/>
                <w:color w:val="auto"/>
              </w:rPr>
            </w:pPr>
          </w:p>
        </w:tc>
      </w:tr>
      <w:tr>
        <w:trPr>
          <w:trHeight w:val="143"/>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60" w:type="dxa"/>
            <w:vAlign w:val="bottom"/>
            <w:gridSpan w:val="4"/>
          </w:tcPr>
          <w:p>
            <w:pPr>
              <w:jc w:val="center"/>
              <w:ind w:right="1740"/>
              <w:spacing w:after="0"/>
              <w:rPr>
                <w:sz w:val="20"/>
                <w:szCs w:val="20"/>
                <w:color w:val="auto"/>
              </w:rPr>
            </w:pPr>
            <w:r>
              <w:rPr>
                <w:rFonts w:ascii="Arial" w:cs="Arial" w:eastAsia="Arial" w:hAnsi="Arial"/>
                <w:sz w:val="10"/>
                <w:szCs w:val="10"/>
                <w:b w:val="1"/>
                <w:bCs w:val="1"/>
                <w:color w:val="auto"/>
                <w:w w:val="87"/>
              </w:rPr>
              <w:t>Trading</w:t>
            </w:r>
          </w:p>
        </w:tc>
        <w:tc>
          <w:tcPr>
            <w:tcW w:w="3540" w:type="dxa"/>
            <w:vAlign w:val="bottom"/>
          </w:tcPr>
          <w:p>
            <w:pPr>
              <w:spacing w:after="0"/>
              <w:rPr>
                <w:sz w:val="12"/>
                <w:szCs w:val="12"/>
                <w:color w:val="auto"/>
              </w:rPr>
            </w:pPr>
          </w:p>
        </w:tc>
      </w:tr>
      <w:tr>
        <w:trPr>
          <w:trHeight w:val="113"/>
        </w:trPr>
        <w:tc>
          <w:tcPr>
            <w:tcW w:w="3540" w:type="dxa"/>
            <w:vAlign w:val="bottom"/>
          </w:tcPr>
          <w:p>
            <w:pPr>
              <w:jc w:val="center"/>
              <w:ind w:left="689"/>
              <w:spacing w:after="0" w:line="114" w:lineRule="exact"/>
              <w:rPr>
                <w:sz w:val="20"/>
                <w:szCs w:val="20"/>
                <w:color w:val="auto"/>
              </w:rPr>
            </w:pPr>
            <w:r>
              <w:rPr>
                <w:rFonts w:ascii="Arial" w:cs="Arial" w:eastAsia="Arial" w:hAnsi="Arial"/>
                <w:sz w:val="10"/>
                <w:szCs w:val="10"/>
                <w:b w:val="1"/>
                <w:bCs w:val="1"/>
                <w:color w:val="auto"/>
                <w:w w:val="83"/>
              </w:rPr>
              <w:t>Title of each class</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60" w:type="dxa"/>
            <w:vAlign w:val="bottom"/>
            <w:gridSpan w:val="4"/>
          </w:tcPr>
          <w:p>
            <w:pPr>
              <w:jc w:val="center"/>
              <w:ind w:right="1740"/>
              <w:spacing w:after="0" w:line="114" w:lineRule="exact"/>
              <w:rPr>
                <w:sz w:val="20"/>
                <w:szCs w:val="20"/>
                <w:color w:val="auto"/>
              </w:rPr>
            </w:pPr>
            <w:r>
              <w:rPr>
                <w:rFonts w:ascii="Arial" w:cs="Arial" w:eastAsia="Arial" w:hAnsi="Arial"/>
                <w:sz w:val="10"/>
                <w:szCs w:val="10"/>
                <w:b w:val="1"/>
                <w:bCs w:val="1"/>
                <w:color w:val="auto"/>
                <w:w w:val="82"/>
              </w:rPr>
              <w:t>Symbol(s)</w:t>
            </w:r>
          </w:p>
        </w:tc>
        <w:tc>
          <w:tcPr>
            <w:tcW w:w="3540" w:type="dxa"/>
            <w:vAlign w:val="bottom"/>
          </w:tcPr>
          <w:p>
            <w:pPr>
              <w:jc w:val="center"/>
              <w:ind w:right="1509"/>
              <w:spacing w:after="0" w:line="114" w:lineRule="exact"/>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25"/>
        </w:trPr>
        <w:tc>
          <w:tcPr>
            <w:tcW w:w="3540" w:type="dxa"/>
            <w:vAlign w:val="bottom"/>
            <w:tcBorders>
              <w:top w:val="single" w:sz="8" w:color="auto"/>
            </w:tcBorders>
          </w:tcPr>
          <w:p>
            <w:pPr>
              <w:jc w:val="center"/>
              <w:ind w:left="689"/>
              <w:spacing w:after="0" w:line="125" w:lineRule="exact"/>
              <w:rPr>
                <w:sz w:val="20"/>
                <w:szCs w:val="20"/>
                <w:color w:val="auto"/>
              </w:rPr>
            </w:pPr>
            <w:r>
              <w:rPr>
                <w:rFonts w:ascii="Arial" w:cs="Arial" w:eastAsia="Arial" w:hAnsi="Arial"/>
                <w:sz w:val="11"/>
                <w:szCs w:val="11"/>
                <w:color w:val="auto"/>
                <w:w w:val="88"/>
              </w:rPr>
              <w:t>Common Stock, par value $0.001 per share</w:t>
            </w: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center"/>
              <w:ind w:right="49"/>
              <w:spacing w:after="0" w:line="125" w:lineRule="exact"/>
              <w:rPr>
                <w:sz w:val="20"/>
                <w:szCs w:val="20"/>
                <w:color w:val="auto"/>
              </w:rPr>
            </w:pPr>
            <w:r>
              <w:rPr>
                <w:rFonts w:ascii="Arial" w:cs="Arial" w:eastAsia="Arial" w:hAnsi="Arial"/>
                <w:sz w:val="11"/>
                <w:szCs w:val="11"/>
                <w:color w:val="auto"/>
                <w:w w:val="98"/>
              </w:rPr>
              <w:t>NRIX</w:t>
            </w:r>
          </w:p>
        </w:tc>
        <w:tc>
          <w:tcPr>
            <w:tcW w:w="120" w:type="dxa"/>
            <w:vAlign w:val="bottom"/>
          </w:tcPr>
          <w:p>
            <w:pPr>
              <w:spacing w:after="0"/>
              <w:rPr>
                <w:sz w:val="10"/>
                <w:szCs w:val="10"/>
                <w:color w:val="auto"/>
              </w:rPr>
            </w:pPr>
          </w:p>
        </w:tc>
        <w:tc>
          <w:tcPr>
            <w:tcW w:w="1540" w:type="dxa"/>
            <w:vAlign w:val="bottom"/>
            <w:tcBorders>
              <w:top w:val="single" w:sz="8" w:color="auto"/>
            </w:tcBorders>
            <w:gridSpan w:val="2"/>
          </w:tcPr>
          <w:p>
            <w:pPr>
              <w:spacing w:after="0"/>
              <w:rPr>
                <w:sz w:val="10"/>
                <w:szCs w:val="10"/>
                <w:color w:val="auto"/>
              </w:rPr>
            </w:pPr>
          </w:p>
        </w:tc>
        <w:tc>
          <w:tcPr>
            <w:tcW w:w="3540" w:type="dxa"/>
            <w:vAlign w:val="bottom"/>
            <w:tcBorders>
              <w:top w:val="single" w:sz="8" w:color="auto"/>
            </w:tcBorders>
          </w:tcPr>
          <w:p>
            <w:pPr>
              <w:jc w:val="center"/>
              <w:ind w:right="1509"/>
              <w:spacing w:after="0" w:line="125" w:lineRule="exact"/>
              <w:rPr>
                <w:sz w:val="20"/>
                <w:szCs w:val="20"/>
                <w:color w:val="auto"/>
              </w:rPr>
            </w:pPr>
            <w:r>
              <w:rPr>
                <w:rFonts w:ascii="Arial" w:cs="Arial" w:eastAsia="Arial" w:hAnsi="Arial"/>
                <w:sz w:val="11"/>
                <w:szCs w:val="11"/>
                <w:color w:val="auto"/>
                <w:w w:val="89"/>
              </w:rPr>
              <w:t>Nasdaq Global Market</w:t>
            </w:r>
          </w:p>
        </w:tc>
      </w:tr>
    </w:tbl>
    <w:p>
      <w:pPr>
        <w:spacing w:after="0" w:line="66" w:lineRule="exact"/>
        <w:rPr>
          <w:sz w:val="24"/>
          <w:szCs w:val="24"/>
          <w:color w:val="auto"/>
        </w:rPr>
      </w:pPr>
    </w:p>
    <w:p>
      <w:pPr>
        <w:ind w:left="8" w:right="120" w:firstLine="513"/>
        <w:spacing w:after="0" w:line="14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0" w:lineRule="exact"/>
        <w:rPr>
          <w:sz w:val="24"/>
          <w:szCs w:val="24"/>
          <w:color w:val="auto"/>
        </w:rPr>
      </w:pPr>
    </w:p>
    <w:p>
      <w:pPr>
        <w:ind w:left="8" w:right="140" w:firstLine="513"/>
        <w:spacing w:after="0" w:line="14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0" w:lineRule="exact"/>
        <w:rPr>
          <w:sz w:val="24"/>
          <w:szCs w:val="24"/>
          <w:color w:val="auto"/>
        </w:rPr>
      </w:pPr>
    </w:p>
    <w:p>
      <w:pPr>
        <w:ind w:left="8" w:right="200" w:firstLine="513"/>
        <w:spacing w:after="0" w:line="27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8" w:type="dxa"/>
        <w:tblCellMar>
          <w:top w:w="0" w:type="dxa"/>
          <w:left w:w="0" w:type="dxa"/>
          <w:bottom w:w="0" w:type="dxa"/>
          <w:right w:w="0" w:type="dxa"/>
        </w:tblCellMar>
      </w:tblPr>
      <w:tr>
        <w:trPr>
          <w:trHeight w:val="168"/>
        </w:trPr>
        <w:tc>
          <w:tcPr>
            <w:tcW w:w="17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0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4"/>
        </w:trPr>
        <w:tc>
          <w:tcPr>
            <w:tcW w:w="1720" w:type="dxa"/>
            <w:vAlign w:val="bottom"/>
          </w:tcPr>
          <w:p>
            <w:pPr>
              <w:spacing w:after="0"/>
              <w:rPr>
                <w:sz w:val="20"/>
                <w:szCs w:val="20"/>
                <w:color w:val="auto"/>
              </w:rPr>
            </w:pPr>
            <w:r>
              <w:rPr>
                <w:rFonts w:ascii="Arial" w:cs="Arial" w:eastAsia="Arial" w:hAnsi="Arial"/>
                <w:sz w:val="11"/>
                <w:szCs w:val="11"/>
                <w:color w:val="auto"/>
              </w:rPr>
              <w:t>Non-accelerated filer</w:t>
            </w:r>
          </w:p>
        </w:tc>
        <w:tc>
          <w:tcPr>
            <w:tcW w:w="380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172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80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1" w:lineRule="exact"/>
        <w:rPr>
          <w:sz w:val="24"/>
          <w:szCs w:val="24"/>
          <w:color w:val="auto"/>
        </w:rPr>
      </w:pPr>
    </w:p>
    <w:p>
      <w:pPr>
        <w:ind w:left="508"/>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33"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Act. </w:t>
      </w:r>
      <w:r>
        <w:rPr>
          <w:rFonts w:ascii="MS PGothic" w:cs="MS PGothic" w:eastAsia="MS PGothic" w:hAnsi="MS PGothic"/>
          <w:sz w:val="11"/>
          <w:szCs w:val="11"/>
          <w:color w:val="auto"/>
        </w:rPr>
        <w:t>☐</w:t>
      </w:r>
    </w:p>
    <w:p>
      <w:pPr>
        <w:spacing w:after="0" w:line="59" w:lineRule="exact"/>
        <w:rPr>
          <w:sz w:val="24"/>
          <w:szCs w:val="24"/>
          <w:color w:val="auto"/>
        </w:rPr>
      </w:pPr>
    </w:p>
    <w:p>
      <w:pPr>
        <w:ind w:left="508" w:right="5040"/>
        <w:spacing w:after="0" w:line="182"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As of July 9, 2021, the Registrant had 44,426,856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76835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298450</wp:posOffset>
            </wp:positionV>
            <wp:extent cx="72148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418" w:right="2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4"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50" w:lineRule="exact"/>
        <w:rPr>
          <w:sz w:val="20"/>
          <w:szCs w:val="20"/>
          <w:color w:val="auto"/>
        </w:rPr>
      </w:pPr>
    </w:p>
    <w:p>
      <w:pPr>
        <w:ind w:right="200" w:firstLine="513"/>
        <w:spacing w:after="0" w:line="323" w:lineRule="auto"/>
        <w:rPr>
          <w:sz w:val="20"/>
          <w:szCs w:val="20"/>
          <w:color w:val="auto"/>
        </w:rPr>
      </w:pPr>
      <w:r>
        <w:rPr>
          <w:rFonts w:ascii="Arial" w:cs="Arial" w:eastAsia="Arial" w:hAnsi="Arial"/>
          <w:sz w:val="11"/>
          <w:szCs w:val="11"/>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20" w:lineRule="exact"/>
        <w:rPr>
          <w:sz w:val="20"/>
          <w:szCs w:val="20"/>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of our planned investigational new drug application (IND) submissions for our lead drug candidates and other drug candidates;</w:t>
      </w:r>
    </w:p>
    <w:p>
      <w:pPr>
        <w:spacing w:after="0" w:line="78" w:lineRule="exact"/>
        <w:rPr>
          <w:rFonts w:ascii="Arial" w:cs="Arial" w:eastAsia="Arial" w:hAnsi="Arial"/>
          <w:sz w:val="12"/>
          <w:szCs w:val="12"/>
          <w:color w:val="auto"/>
        </w:rPr>
      </w:pPr>
    </w:p>
    <w:p>
      <w:pPr>
        <w:ind w:left="740" w:right="260" w:hanging="379"/>
        <w:spacing w:after="0" w:line="276" w:lineRule="auto"/>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and conduct of our clinical trial programs for our lead drug candidates NX-2127, NX-1607, NX-5948, DeTIL-0255 and other drug candidates, including statements regarding the timing of initiation of the clinical trials;</w:t>
      </w:r>
    </w:p>
    <w:p>
      <w:pPr>
        <w:spacing w:after="0" w:line="42"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of, and our ability to obtain, marketing approvals for our lead drug candidates NX-2127, NX-1607, NX-5948, DeTIL-0255 and other drug candidates;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plans to pursue research and development of other drug candidates;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advantages of our DELigase platform and our drug candidates;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extent to which our scientific approach and DELigase platform may potentially address a broad range of diseases;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benefits of our arrangements with Sanofi S.A. and Gilead Sciences, Inc.;</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of and our ability to obtain and maintain regulatory approvals for our drug candidates;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receipt of revenue from future sales of our drug candidates;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rate and degree of market acceptance and clinical utility of our drug candidates;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estimates regarding the potential market opportunity for our drug candidates;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sales, marketing and distribution capabilities and strategy;</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establish and maintain arrangements for the manufacturing of our drug candidates;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the ongoing coronavirus (COVID-19) pandemic on our business, clinical trials, financial condition, liquidity and results of operations;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achievement of milestones and receipt of royalty payments under our collaborations;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enter into additional collaborations with third parties;</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intellectual property position;</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estimates regarding expenses, future revenues, capital requirements and needs for additional financing;</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government laws and regulations; and</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competitive position.</w:t>
      </w:r>
    </w:p>
    <w:p>
      <w:pPr>
        <w:spacing w:after="0" w:line="78" w:lineRule="exact"/>
        <w:rPr>
          <w:sz w:val="20"/>
          <w:szCs w:val="20"/>
          <w:color w:val="auto"/>
        </w:rPr>
      </w:pPr>
    </w:p>
    <w:p>
      <w:pPr>
        <w:ind w:firstLine="513"/>
        <w:spacing w:after="0" w:line="320" w:lineRule="auto"/>
        <w:rPr>
          <w:sz w:val="20"/>
          <w:szCs w:val="20"/>
          <w:color w:val="auto"/>
        </w:rPr>
      </w:pPr>
      <w:r>
        <w:rPr>
          <w:rFonts w:ascii="Arial" w:cs="Arial" w:eastAsia="Arial" w:hAnsi="Arial"/>
          <w:sz w:val="10"/>
          <w:szCs w:val="10"/>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283210</wp:posOffset>
            </wp:positionV>
            <wp:extent cx="721487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7"/>
        </w:trPr>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160" w:type="dxa"/>
            <w:vAlign w:val="bottom"/>
            <w:gridSpan w:val="3"/>
          </w:tcPr>
          <w:p>
            <w:pPr>
              <w:ind w:left="480"/>
              <w:spacing w:after="0"/>
              <w:rPr>
                <w:sz w:val="20"/>
                <w:szCs w:val="20"/>
                <w:color w:val="auto"/>
              </w:rPr>
            </w:pPr>
            <w:r>
              <w:rPr>
                <w:rFonts w:ascii="Arial" w:cs="Arial" w:eastAsia="Arial" w:hAnsi="Arial"/>
                <w:sz w:val="12"/>
                <w:szCs w:val="12"/>
                <w:b w:val="1"/>
                <w:bCs w:val="1"/>
                <w:color w:val="auto"/>
              </w:rPr>
              <w:t>TABLE OF CONTENTS</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0"/>
        </w:trPr>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Page</w:t>
            </w:r>
          </w:p>
        </w:tc>
        <w:tc>
          <w:tcPr>
            <w:tcW w:w="20" w:type="dxa"/>
            <w:vAlign w:val="bottom"/>
          </w:tcPr>
          <w:p>
            <w:pPr>
              <w:spacing w:after="0"/>
              <w:rPr>
                <w:sz w:val="23"/>
                <w:szCs w:val="23"/>
                <w:color w:val="auto"/>
              </w:rPr>
            </w:pPr>
          </w:p>
        </w:tc>
      </w:tr>
      <w:tr>
        <w:trPr>
          <w:trHeight w:val="187"/>
        </w:trPr>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PART I.</w:t>
            </w:r>
          </w:p>
        </w:tc>
        <w:tc>
          <w:tcPr>
            <w:tcW w:w="1500" w:type="dxa"/>
            <w:vAlign w:val="bottom"/>
            <w:tcBorders>
              <w:bottom w:val="single" w:sz="8" w:color="0000EE"/>
            </w:tcBorders>
            <w:gridSpan w:val="8"/>
          </w:tcPr>
          <w:p>
            <w:pPr>
              <w:spacing w:after="0"/>
              <w:rPr>
                <w:rFonts w:ascii="Arial" w:cs="Arial" w:eastAsia="Arial" w:hAnsi="Arial"/>
                <w:sz w:val="12"/>
                <w:szCs w:val="12"/>
                <w:color w:val="0000EE"/>
                <w:w w:val="98"/>
              </w:rPr>
            </w:pPr>
            <w:hyperlink w:anchor="page4">
              <w:r>
                <w:rPr>
                  <w:rFonts w:ascii="Arial" w:cs="Arial" w:eastAsia="Arial" w:hAnsi="Arial"/>
                  <w:sz w:val="12"/>
                  <w:szCs w:val="12"/>
                  <w:color w:val="0000EE"/>
                  <w:w w:val="98"/>
                </w:rPr>
                <w:t>FINANCIAL INFORMATION</w:t>
              </w:r>
            </w:hyperlink>
          </w:p>
        </w:tc>
        <w:tc>
          <w:tcPr>
            <w:tcW w:w="8040" w:type="dxa"/>
            <w:vAlign w:val="bottom"/>
            <w:gridSpan w:val="11"/>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6"/>
                <w:szCs w:val="16"/>
                <w:color w:val="auto"/>
              </w:rPr>
            </w:pPr>
          </w:p>
        </w:tc>
      </w:tr>
      <w:tr>
        <w:trPr>
          <w:trHeight w:val="205"/>
        </w:trPr>
        <w:tc>
          <w:tcPr>
            <w:tcW w:w="1140" w:type="dxa"/>
            <w:vAlign w:val="bottom"/>
            <w:gridSpan w:val="2"/>
          </w:tcPr>
          <w:p>
            <w:pPr>
              <w:spacing w:after="0"/>
              <w:rPr>
                <w:sz w:val="20"/>
                <w:szCs w:val="20"/>
                <w:color w:val="auto"/>
              </w:rPr>
            </w:pPr>
            <w:r>
              <w:rPr>
                <w:rFonts w:ascii="Arial" w:cs="Arial" w:eastAsia="Arial" w:hAnsi="Arial"/>
                <w:sz w:val="12"/>
                <w:szCs w:val="12"/>
                <w:color w:val="auto"/>
              </w:rPr>
              <w:t>Item 1.</w:t>
            </w:r>
          </w:p>
        </w:tc>
        <w:tc>
          <w:tcPr>
            <w:tcW w:w="9540" w:type="dxa"/>
            <w:vAlign w:val="bottom"/>
            <w:gridSpan w:val="19"/>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Financial Statements (Unaudited)</w:t>
              </w:r>
            </w:hyperlink>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tcBorders>
              <w:bottom w:val="single" w:sz="8" w:color="0000EE"/>
            </w:tcBorders>
            <w:gridSpan w:val="10"/>
          </w:tcPr>
          <w:p>
            <w:pPr>
              <w:spacing w:after="0" w:line="133" w:lineRule="exact"/>
              <w:rPr>
                <w:rFonts w:ascii="Arial" w:cs="Arial" w:eastAsia="Arial" w:hAnsi="Arial"/>
                <w:sz w:val="12"/>
                <w:szCs w:val="12"/>
                <w:color w:val="0000EE"/>
                <w:w w:val="87"/>
              </w:rPr>
            </w:pPr>
            <w:hyperlink w:anchor="page4">
              <w:r>
                <w:rPr>
                  <w:rFonts w:ascii="Arial" w:cs="Arial" w:eastAsia="Arial" w:hAnsi="Arial"/>
                  <w:sz w:val="12"/>
                  <w:szCs w:val="12"/>
                  <w:color w:val="0000EE"/>
                  <w:w w:val="87"/>
                </w:rPr>
                <w:t>Condensed Consolidated Balance Sheets</w:t>
              </w:r>
            </w:hyperlink>
          </w:p>
        </w:tc>
        <w:tc>
          <w:tcPr>
            <w:tcW w:w="7580" w:type="dxa"/>
            <w:vAlign w:val="bottom"/>
            <w:gridSpan w:val="9"/>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1</w:t>
            </w:r>
          </w:p>
        </w:tc>
        <w:tc>
          <w:tcPr>
            <w:tcW w:w="2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Borders>
              <w:bottom w:val="single" w:sz="8" w:color="0000EE"/>
            </w:tcBorders>
            <w:gridSpan w:val="11"/>
          </w:tcPr>
          <w:p>
            <w:pPr>
              <w:spacing w:after="0" w:line="133" w:lineRule="exact"/>
              <w:rPr>
                <w:rFonts w:ascii="Arial" w:cs="Arial" w:eastAsia="Arial" w:hAnsi="Arial"/>
                <w:sz w:val="12"/>
                <w:szCs w:val="12"/>
                <w:color w:val="0000EE"/>
                <w:w w:val="88"/>
              </w:rPr>
            </w:pPr>
            <w:hyperlink w:anchor="page5">
              <w:r>
                <w:rPr>
                  <w:rFonts w:ascii="Arial" w:cs="Arial" w:eastAsia="Arial" w:hAnsi="Arial"/>
                  <w:sz w:val="12"/>
                  <w:szCs w:val="12"/>
                  <w:color w:val="0000EE"/>
                  <w:w w:val="88"/>
                </w:rPr>
                <w:t>Condensed Consolidated Statements of Operations</w:t>
              </w:r>
            </w:hyperlink>
          </w:p>
        </w:tc>
        <w:tc>
          <w:tcPr>
            <w:tcW w:w="7100" w:type="dxa"/>
            <w:vAlign w:val="bottom"/>
            <w:gridSpan w:val="8"/>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2</w:t>
            </w:r>
          </w:p>
        </w:tc>
        <w:tc>
          <w:tcPr>
            <w:tcW w:w="2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540" w:type="dxa"/>
            <w:vAlign w:val="bottom"/>
            <w:gridSpan w:val="19"/>
          </w:tcPr>
          <w:p>
            <w:pPr>
              <w:spacing w:after="0" w:line="133" w:lineRule="exact"/>
              <w:rPr>
                <w:rFonts w:ascii="Arial" w:cs="Arial" w:eastAsia="Arial" w:hAnsi="Arial"/>
                <w:sz w:val="12"/>
                <w:szCs w:val="12"/>
                <w:color w:val="0000EE"/>
              </w:rPr>
            </w:pPr>
            <w:hyperlink w:anchor="page6">
              <w:r>
                <w:rPr>
                  <w:rFonts w:ascii="Arial" w:cs="Arial" w:eastAsia="Arial" w:hAnsi="Arial"/>
                  <w:sz w:val="12"/>
                  <w:szCs w:val="12"/>
                  <w:color w:val="0000EE"/>
                </w:rPr>
                <w:t>Condensed Consolidated Statements of Comprehensive (Income) Loss</w:t>
              </w:r>
            </w:hyperlink>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3</w:t>
            </w:r>
          </w:p>
        </w:tc>
        <w:tc>
          <w:tcPr>
            <w:tcW w:w="2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540" w:type="dxa"/>
            <w:vAlign w:val="bottom"/>
            <w:gridSpan w:val="19"/>
          </w:tcPr>
          <w:p>
            <w:pPr>
              <w:spacing w:after="0" w:line="133" w:lineRule="exact"/>
              <w:rPr>
                <w:rFonts w:ascii="Arial" w:cs="Arial" w:eastAsia="Arial" w:hAnsi="Arial"/>
                <w:sz w:val="12"/>
                <w:szCs w:val="12"/>
                <w:color w:val="0000EE"/>
              </w:rPr>
            </w:pPr>
            <w:hyperlink w:anchor="page7">
              <w:r>
                <w:rPr>
                  <w:rFonts w:ascii="Arial" w:cs="Arial" w:eastAsia="Arial" w:hAnsi="Arial"/>
                  <w:sz w:val="12"/>
                  <w:szCs w:val="12"/>
                  <w:color w:val="0000EE"/>
                </w:rPr>
                <w:t>Condensed Consolidated Statements of Redeemable Convertible Preferred Stock and Stockholders’ Equity (Deficit)</w:t>
              </w:r>
            </w:hyperlink>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c>
          <w:tcPr>
            <w:tcW w:w="2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80" w:type="dxa"/>
            <w:vAlign w:val="bottom"/>
            <w:tcBorders>
              <w:top w:val="single" w:sz="8" w:color="0000EE"/>
              <w:bottom w:val="single" w:sz="8" w:color="0000EE"/>
            </w:tcBorders>
            <w:gridSpan w:val="12"/>
          </w:tcPr>
          <w:p>
            <w:pPr>
              <w:spacing w:after="0" w:line="133" w:lineRule="exact"/>
              <w:rPr>
                <w:rFonts w:ascii="Arial" w:cs="Arial" w:eastAsia="Arial" w:hAnsi="Arial"/>
                <w:sz w:val="12"/>
                <w:szCs w:val="12"/>
                <w:color w:val="0000EE"/>
                <w:w w:val="88"/>
              </w:rPr>
            </w:pPr>
            <w:hyperlink w:anchor="page9">
              <w:r>
                <w:rPr>
                  <w:rFonts w:ascii="Arial" w:cs="Arial" w:eastAsia="Arial" w:hAnsi="Arial"/>
                  <w:sz w:val="12"/>
                  <w:szCs w:val="12"/>
                  <w:color w:val="0000EE"/>
                  <w:w w:val="88"/>
                </w:rPr>
                <w:t>Condensed Consolidated Statements of Cash Flows</w:t>
              </w:r>
            </w:hyperlink>
          </w:p>
        </w:tc>
        <w:tc>
          <w:tcPr>
            <w:tcW w:w="3080" w:type="dxa"/>
            <w:vAlign w:val="bottom"/>
            <w:tcBorders>
              <w:top w:val="single" w:sz="8" w:color="0000EE"/>
            </w:tcBorders>
            <w:gridSpan w:val="6"/>
          </w:tcPr>
          <w:p>
            <w:pPr>
              <w:spacing w:after="0"/>
              <w:rPr>
                <w:sz w:val="11"/>
                <w:szCs w:val="11"/>
                <w:color w:val="auto"/>
              </w:rPr>
            </w:pPr>
          </w:p>
        </w:tc>
        <w:tc>
          <w:tcPr>
            <w:tcW w:w="398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6</w:t>
            </w:r>
          </w:p>
        </w:tc>
        <w:tc>
          <w:tcPr>
            <w:tcW w:w="2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60" w:type="dxa"/>
            <w:vAlign w:val="bottom"/>
            <w:tcBorders>
              <w:bottom w:val="single" w:sz="8" w:color="0000EE"/>
            </w:tcBorders>
            <w:gridSpan w:val="13"/>
          </w:tcPr>
          <w:p>
            <w:pPr>
              <w:spacing w:after="0" w:line="133" w:lineRule="exact"/>
              <w:rPr>
                <w:rFonts w:ascii="Arial" w:cs="Arial" w:eastAsia="Arial" w:hAnsi="Arial"/>
                <w:sz w:val="12"/>
                <w:szCs w:val="12"/>
                <w:color w:val="0000EE"/>
                <w:w w:val="88"/>
              </w:rPr>
            </w:pPr>
            <w:hyperlink w:anchor="page10">
              <w:r>
                <w:rPr>
                  <w:rFonts w:ascii="Arial" w:cs="Arial" w:eastAsia="Arial" w:hAnsi="Arial"/>
                  <w:sz w:val="12"/>
                  <w:szCs w:val="12"/>
                  <w:color w:val="0000EE"/>
                  <w:w w:val="88"/>
                </w:rPr>
                <w:t>Notes to Condensed Consolidated Financial Statements</w:t>
              </w:r>
            </w:hyperlink>
          </w:p>
        </w:tc>
        <w:tc>
          <w:tcPr>
            <w:tcW w:w="6880" w:type="dxa"/>
            <w:vAlign w:val="bottom"/>
            <w:gridSpan w:val="6"/>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7</w:t>
            </w:r>
          </w:p>
        </w:tc>
        <w:tc>
          <w:tcPr>
            <w:tcW w:w="20" w:type="dxa"/>
            <w:vAlign w:val="bottom"/>
          </w:tcPr>
          <w:p>
            <w:pPr>
              <w:spacing w:after="0"/>
              <w:rPr>
                <w:sz w:val="11"/>
                <w:szCs w:val="1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2.</w:t>
            </w:r>
          </w:p>
        </w:tc>
        <w:tc>
          <w:tcPr>
            <w:tcW w:w="4300" w:type="dxa"/>
            <w:vAlign w:val="bottom"/>
            <w:tcBorders>
              <w:bottom w:val="single" w:sz="8" w:color="0000EE"/>
            </w:tcBorders>
            <w:gridSpan w:val="17"/>
          </w:tcPr>
          <w:p>
            <w:pPr>
              <w:spacing w:after="0" w:line="133" w:lineRule="exact"/>
              <w:rPr>
                <w:rFonts w:ascii="Arial" w:cs="Arial" w:eastAsia="Arial" w:hAnsi="Arial"/>
                <w:sz w:val="12"/>
                <w:szCs w:val="12"/>
                <w:color w:val="0000EE"/>
                <w:w w:val="90"/>
              </w:rPr>
            </w:pPr>
            <w:hyperlink w:anchor="page25">
              <w:r>
                <w:rPr>
                  <w:rFonts w:ascii="Arial" w:cs="Arial" w:eastAsia="Arial" w:hAnsi="Arial"/>
                  <w:sz w:val="12"/>
                  <w:szCs w:val="12"/>
                  <w:color w:val="0000EE"/>
                  <w:w w:val="90"/>
                </w:rPr>
                <w:t>Management’s Discussion and Analysis of Financial Condition and Results of Operations</w:t>
              </w:r>
            </w:hyperlink>
          </w:p>
        </w:tc>
        <w:tc>
          <w:tcPr>
            <w:tcW w:w="5240" w:type="dxa"/>
            <w:vAlign w:val="bottom"/>
            <w:gridSpan w:val="2"/>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22</w:t>
            </w:r>
          </w:p>
        </w:tc>
        <w:tc>
          <w:tcPr>
            <w:tcW w:w="20" w:type="dxa"/>
            <w:vAlign w:val="bottom"/>
          </w:tcPr>
          <w:p>
            <w:pPr>
              <w:spacing w:after="0"/>
              <w:rPr>
                <w:sz w:val="11"/>
                <w:szCs w:val="1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3.</w:t>
            </w:r>
          </w:p>
        </w:tc>
        <w:tc>
          <w:tcPr>
            <w:tcW w:w="2920" w:type="dxa"/>
            <w:vAlign w:val="bottom"/>
            <w:tcBorders>
              <w:bottom w:val="single" w:sz="8" w:color="0000EE"/>
            </w:tcBorders>
            <w:gridSpan w:val="15"/>
          </w:tcPr>
          <w:p>
            <w:pPr>
              <w:spacing w:after="0" w:line="133" w:lineRule="exact"/>
              <w:rPr>
                <w:rFonts w:ascii="Arial" w:cs="Arial" w:eastAsia="Arial" w:hAnsi="Arial"/>
                <w:sz w:val="12"/>
                <w:szCs w:val="12"/>
                <w:color w:val="0000EE"/>
                <w:w w:val="92"/>
              </w:rPr>
            </w:pPr>
            <w:hyperlink w:anchor="page33">
              <w:r>
                <w:rPr>
                  <w:rFonts w:ascii="Arial" w:cs="Arial" w:eastAsia="Arial" w:hAnsi="Arial"/>
                  <w:sz w:val="12"/>
                  <w:szCs w:val="12"/>
                  <w:color w:val="0000EE"/>
                  <w:w w:val="92"/>
                </w:rPr>
                <w:t>Quantitative and Qualitative Disclosures About Market Risk</w:t>
              </w:r>
            </w:hyperlink>
          </w:p>
        </w:tc>
        <w:tc>
          <w:tcPr>
            <w:tcW w:w="6620" w:type="dxa"/>
            <w:vAlign w:val="bottom"/>
            <w:gridSpan w:val="4"/>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30</w:t>
            </w:r>
          </w:p>
        </w:tc>
        <w:tc>
          <w:tcPr>
            <w:tcW w:w="20" w:type="dxa"/>
            <w:vAlign w:val="bottom"/>
          </w:tcPr>
          <w:p>
            <w:pPr>
              <w:spacing w:after="0"/>
              <w:rPr>
                <w:sz w:val="11"/>
                <w:szCs w:val="1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4.</w:t>
            </w:r>
          </w:p>
        </w:tc>
        <w:tc>
          <w:tcPr>
            <w:tcW w:w="1200" w:type="dxa"/>
            <w:vAlign w:val="bottom"/>
            <w:tcBorders>
              <w:bottom w:val="single" w:sz="8" w:color="0000EE"/>
            </w:tcBorders>
            <w:gridSpan w:val="6"/>
          </w:tcPr>
          <w:p>
            <w:pPr>
              <w:spacing w:after="0" w:line="133" w:lineRule="exact"/>
              <w:rPr>
                <w:rFonts w:ascii="Arial" w:cs="Arial" w:eastAsia="Arial" w:hAnsi="Arial"/>
                <w:sz w:val="12"/>
                <w:szCs w:val="12"/>
                <w:color w:val="0000EE"/>
                <w:w w:val="88"/>
              </w:rPr>
            </w:pPr>
            <w:hyperlink w:anchor="page34">
              <w:r>
                <w:rPr>
                  <w:rFonts w:ascii="Arial" w:cs="Arial" w:eastAsia="Arial" w:hAnsi="Arial"/>
                  <w:sz w:val="12"/>
                  <w:szCs w:val="12"/>
                  <w:color w:val="0000EE"/>
                  <w:w w:val="88"/>
                </w:rPr>
                <w:t>Controls and Procedures</w:t>
              </w:r>
            </w:hyperlink>
          </w:p>
        </w:tc>
        <w:tc>
          <w:tcPr>
            <w:tcW w:w="8340" w:type="dxa"/>
            <w:vAlign w:val="bottom"/>
            <w:gridSpan w:val="13"/>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31</w:t>
            </w:r>
          </w:p>
        </w:tc>
        <w:tc>
          <w:tcPr>
            <w:tcW w:w="20" w:type="dxa"/>
            <w:vAlign w:val="bottom"/>
          </w:tcPr>
          <w:p>
            <w:pPr>
              <w:spacing w:after="0"/>
              <w:rPr>
                <w:sz w:val="11"/>
                <w:szCs w:val="11"/>
                <w:color w:val="auto"/>
              </w:rPr>
            </w:pPr>
          </w:p>
        </w:tc>
      </w:tr>
      <w:tr>
        <w:trPr>
          <w:trHeight w:val="205"/>
        </w:trPr>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PART II.</w:t>
            </w:r>
          </w:p>
        </w:tc>
        <w:tc>
          <w:tcPr>
            <w:tcW w:w="1260" w:type="dxa"/>
            <w:vAlign w:val="bottom"/>
            <w:tcBorders>
              <w:bottom w:val="single" w:sz="8" w:color="0000EE"/>
            </w:tcBorders>
            <w:gridSpan w:val="7"/>
          </w:tcPr>
          <w:p>
            <w:pPr>
              <w:spacing w:after="0"/>
              <w:rPr>
                <w:rFonts w:ascii="Arial" w:cs="Arial" w:eastAsia="Arial" w:hAnsi="Arial"/>
                <w:sz w:val="12"/>
                <w:szCs w:val="12"/>
                <w:color w:val="0000EE"/>
                <w:w w:val="95"/>
              </w:rPr>
            </w:pPr>
            <w:hyperlink w:anchor="page35">
              <w:r>
                <w:rPr>
                  <w:rFonts w:ascii="Arial" w:cs="Arial" w:eastAsia="Arial" w:hAnsi="Arial"/>
                  <w:sz w:val="12"/>
                  <w:szCs w:val="12"/>
                  <w:color w:val="0000EE"/>
                  <w:w w:val="95"/>
                </w:rPr>
                <w:t>OTHER INFORMATION</w:t>
              </w:r>
            </w:hyperlink>
          </w:p>
        </w:tc>
        <w:tc>
          <w:tcPr>
            <w:tcW w:w="8280" w:type="dxa"/>
            <w:vAlign w:val="bottom"/>
            <w:gridSpan w:val="12"/>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w:t>
            </w:r>
          </w:p>
        </w:tc>
        <w:tc>
          <w:tcPr>
            <w:tcW w:w="20" w:type="dxa"/>
            <w:vAlign w:val="bottom"/>
          </w:tcPr>
          <w:p>
            <w:pPr>
              <w:spacing w:after="0"/>
              <w:rPr>
                <w:sz w:val="17"/>
                <w:szCs w:val="17"/>
                <w:color w:val="auto"/>
              </w:rPr>
            </w:pPr>
          </w:p>
        </w:tc>
      </w:tr>
      <w:tr>
        <w:trPr>
          <w:trHeight w:val="205"/>
        </w:trPr>
        <w:tc>
          <w:tcPr>
            <w:tcW w:w="1140" w:type="dxa"/>
            <w:vAlign w:val="bottom"/>
            <w:gridSpan w:val="2"/>
          </w:tcPr>
          <w:p>
            <w:pPr>
              <w:spacing w:after="0"/>
              <w:rPr>
                <w:sz w:val="20"/>
                <w:szCs w:val="20"/>
                <w:color w:val="auto"/>
              </w:rPr>
            </w:pPr>
            <w:r>
              <w:rPr>
                <w:rFonts w:ascii="Arial" w:cs="Arial" w:eastAsia="Arial" w:hAnsi="Arial"/>
                <w:sz w:val="12"/>
                <w:szCs w:val="12"/>
                <w:color w:val="auto"/>
              </w:rPr>
              <w:t>Item 1.</w:t>
            </w:r>
          </w:p>
        </w:tc>
        <w:tc>
          <w:tcPr>
            <w:tcW w:w="900" w:type="dxa"/>
            <w:vAlign w:val="bottom"/>
            <w:tcBorders>
              <w:bottom w:val="single" w:sz="8" w:color="0000EE"/>
            </w:tcBorders>
            <w:gridSpan w:val="4"/>
          </w:tcPr>
          <w:p>
            <w:pPr>
              <w:spacing w:after="0"/>
              <w:rPr>
                <w:rFonts w:ascii="Arial" w:cs="Arial" w:eastAsia="Arial" w:hAnsi="Arial"/>
                <w:sz w:val="12"/>
                <w:szCs w:val="12"/>
                <w:color w:val="0000EE"/>
                <w:w w:val="88"/>
              </w:rPr>
            </w:pPr>
            <w:hyperlink w:anchor="page35">
              <w:r>
                <w:rPr>
                  <w:rFonts w:ascii="Arial" w:cs="Arial" w:eastAsia="Arial" w:hAnsi="Arial"/>
                  <w:sz w:val="12"/>
                  <w:szCs w:val="12"/>
                  <w:color w:val="0000EE"/>
                  <w:w w:val="88"/>
                </w:rPr>
                <w:t>Legal Proceedings</w:t>
              </w:r>
            </w:hyperlink>
          </w:p>
        </w:tc>
        <w:tc>
          <w:tcPr>
            <w:tcW w:w="8640" w:type="dxa"/>
            <w:vAlign w:val="bottom"/>
            <w:gridSpan w:val="15"/>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w:t>
            </w:r>
          </w:p>
        </w:tc>
        <w:tc>
          <w:tcPr>
            <w:tcW w:w="20" w:type="dxa"/>
            <w:vAlign w:val="bottom"/>
          </w:tcPr>
          <w:p>
            <w:pPr>
              <w:spacing w:after="0"/>
              <w:rPr>
                <w:sz w:val="17"/>
                <w:szCs w:val="17"/>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1A.</w:t>
            </w:r>
          </w:p>
        </w:tc>
        <w:tc>
          <w:tcPr>
            <w:tcW w:w="600" w:type="dxa"/>
            <w:vAlign w:val="bottom"/>
            <w:tcBorders>
              <w:bottom w:val="single" w:sz="8" w:color="0000EE"/>
            </w:tcBorders>
            <w:gridSpan w:val="2"/>
          </w:tcPr>
          <w:p>
            <w:pPr>
              <w:spacing w:after="0" w:line="133" w:lineRule="exact"/>
              <w:rPr>
                <w:rFonts w:ascii="Arial" w:cs="Arial" w:eastAsia="Arial" w:hAnsi="Arial"/>
                <w:sz w:val="12"/>
                <w:szCs w:val="12"/>
                <w:color w:val="0000EE"/>
                <w:w w:val="86"/>
              </w:rPr>
            </w:pPr>
            <w:hyperlink w:anchor="page35">
              <w:r>
                <w:rPr>
                  <w:rFonts w:ascii="Arial" w:cs="Arial" w:eastAsia="Arial" w:hAnsi="Arial"/>
                  <w:sz w:val="12"/>
                  <w:szCs w:val="12"/>
                  <w:color w:val="0000EE"/>
                  <w:w w:val="86"/>
                </w:rPr>
                <w:t>Risk Factors</w:t>
              </w:r>
            </w:hyperlink>
          </w:p>
        </w:tc>
        <w:tc>
          <w:tcPr>
            <w:tcW w:w="8940" w:type="dxa"/>
            <w:vAlign w:val="bottom"/>
            <w:gridSpan w:val="17"/>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32</w:t>
            </w:r>
          </w:p>
        </w:tc>
        <w:tc>
          <w:tcPr>
            <w:tcW w:w="20" w:type="dxa"/>
            <w:vAlign w:val="bottom"/>
          </w:tcPr>
          <w:p>
            <w:pPr>
              <w:spacing w:after="0"/>
              <w:rPr>
                <w:sz w:val="11"/>
                <w:szCs w:val="1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2.</w:t>
            </w:r>
          </w:p>
        </w:tc>
        <w:tc>
          <w:tcPr>
            <w:tcW w:w="2900" w:type="dxa"/>
            <w:vAlign w:val="bottom"/>
            <w:tcBorders>
              <w:bottom w:val="single" w:sz="8" w:color="0000EE"/>
            </w:tcBorders>
            <w:gridSpan w:val="14"/>
          </w:tcPr>
          <w:p>
            <w:pPr>
              <w:spacing w:after="0" w:line="133" w:lineRule="exact"/>
              <w:rPr>
                <w:rFonts w:ascii="Arial" w:cs="Arial" w:eastAsia="Arial" w:hAnsi="Arial"/>
                <w:sz w:val="12"/>
                <w:szCs w:val="12"/>
                <w:color w:val="0000EE"/>
                <w:w w:val="89"/>
              </w:rPr>
            </w:pPr>
            <w:hyperlink w:anchor="page83">
              <w:r>
                <w:rPr>
                  <w:rFonts w:ascii="Arial" w:cs="Arial" w:eastAsia="Arial" w:hAnsi="Arial"/>
                  <w:sz w:val="12"/>
                  <w:szCs w:val="12"/>
                  <w:color w:val="0000EE"/>
                  <w:w w:val="89"/>
                </w:rPr>
                <w:t>Unregistered Sales of Equity Securities and Use of Proceeds</w:t>
              </w:r>
            </w:hyperlink>
          </w:p>
        </w:tc>
        <w:tc>
          <w:tcPr>
            <w:tcW w:w="6640" w:type="dxa"/>
            <w:vAlign w:val="bottom"/>
            <w:gridSpan w:val="5"/>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1"/>
                <w:szCs w:val="1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3.</w:t>
            </w:r>
          </w:p>
        </w:tc>
        <w:tc>
          <w:tcPr>
            <w:tcW w:w="9540" w:type="dxa"/>
            <w:vAlign w:val="bottom"/>
            <w:gridSpan w:val="19"/>
          </w:tcPr>
          <w:p>
            <w:pPr>
              <w:spacing w:after="0" w:line="133" w:lineRule="exact"/>
              <w:rPr>
                <w:rFonts w:ascii="Arial" w:cs="Arial" w:eastAsia="Arial" w:hAnsi="Arial"/>
                <w:sz w:val="12"/>
                <w:szCs w:val="12"/>
                <w:color w:val="0000EE"/>
              </w:rPr>
            </w:pPr>
            <w:hyperlink w:anchor="page83">
              <w:r>
                <w:rPr>
                  <w:rFonts w:ascii="Arial" w:cs="Arial" w:eastAsia="Arial" w:hAnsi="Arial"/>
                  <w:sz w:val="12"/>
                  <w:szCs w:val="12"/>
                  <w:color w:val="0000EE"/>
                </w:rPr>
                <w:t>Defaults Upon Senior Securities</w:t>
              </w:r>
            </w:hyperlink>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1"/>
                <w:szCs w:val="1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4.</w:t>
            </w:r>
          </w:p>
        </w:tc>
        <w:tc>
          <w:tcPr>
            <w:tcW w:w="1180" w:type="dxa"/>
            <w:vAlign w:val="bottom"/>
            <w:tcBorders>
              <w:top w:val="single" w:sz="8" w:color="0000EE"/>
              <w:bottom w:val="single" w:sz="8" w:color="0000EE"/>
            </w:tcBorders>
            <w:gridSpan w:val="5"/>
          </w:tcPr>
          <w:p>
            <w:pPr>
              <w:spacing w:after="0" w:line="133" w:lineRule="exact"/>
              <w:rPr>
                <w:rFonts w:ascii="Arial" w:cs="Arial" w:eastAsia="Arial" w:hAnsi="Arial"/>
                <w:sz w:val="12"/>
                <w:szCs w:val="12"/>
                <w:color w:val="0000EE"/>
                <w:w w:val="90"/>
              </w:rPr>
            </w:pPr>
            <w:hyperlink w:anchor="page83">
              <w:r>
                <w:rPr>
                  <w:rFonts w:ascii="Arial" w:cs="Arial" w:eastAsia="Arial" w:hAnsi="Arial"/>
                  <w:sz w:val="12"/>
                  <w:szCs w:val="12"/>
                  <w:color w:val="0000EE"/>
                  <w:w w:val="90"/>
                </w:rPr>
                <w:t>Mine Safety Disclosures</w:t>
              </w:r>
            </w:hyperlink>
          </w:p>
        </w:tc>
        <w:tc>
          <w:tcPr>
            <w:tcW w:w="420" w:type="dxa"/>
            <w:vAlign w:val="bottom"/>
            <w:tcBorders>
              <w:top w:val="single" w:sz="8" w:color="0000EE"/>
            </w:tcBorders>
            <w:gridSpan w:val="4"/>
          </w:tcPr>
          <w:p>
            <w:pPr>
              <w:spacing w:after="0"/>
              <w:rPr>
                <w:sz w:val="11"/>
                <w:szCs w:val="11"/>
                <w:color w:val="auto"/>
              </w:rPr>
            </w:pPr>
          </w:p>
        </w:tc>
        <w:tc>
          <w:tcPr>
            <w:tcW w:w="7940" w:type="dxa"/>
            <w:vAlign w:val="bottom"/>
            <w:gridSpan w:val="10"/>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1"/>
                <w:szCs w:val="1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5.</w:t>
            </w:r>
          </w:p>
        </w:tc>
        <w:tc>
          <w:tcPr>
            <w:tcW w:w="880" w:type="dxa"/>
            <w:vAlign w:val="bottom"/>
            <w:tcBorders>
              <w:bottom w:val="single" w:sz="8" w:color="0000EE"/>
            </w:tcBorders>
            <w:gridSpan w:val="3"/>
          </w:tcPr>
          <w:p>
            <w:pPr>
              <w:spacing w:after="0" w:line="133" w:lineRule="exact"/>
              <w:rPr>
                <w:rFonts w:ascii="Arial" w:cs="Arial" w:eastAsia="Arial" w:hAnsi="Arial"/>
                <w:sz w:val="12"/>
                <w:szCs w:val="12"/>
                <w:color w:val="0000EE"/>
                <w:w w:val="92"/>
              </w:rPr>
            </w:pPr>
            <w:hyperlink w:anchor="page83">
              <w:r>
                <w:rPr>
                  <w:rFonts w:ascii="Arial" w:cs="Arial" w:eastAsia="Arial" w:hAnsi="Arial"/>
                  <w:sz w:val="12"/>
                  <w:szCs w:val="12"/>
                  <w:color w:val="0000EE"/>
                  <w:w w:val="92"/>
                </w:rPr>
                <w:t>Other Information</w:t>
              </w:r>
            </w:hyperlink>
          </w:p>
        </w:tc>
        <w:tc>
          <w:tcPr>
            <w:tcW w:w="8660" w:type="dxa"/>
            <w:vAlign w:val="bottom"/>
            <w:gridSpan w:val="16"/>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1"/>
                <w:szCs w:val="1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Item 6.</w:t>
            </w:r>
          </w:p>
        </w:tc>
        <w:tc>
          <w:tcPr>
            <w:tcW w:w="9540" w:type="dxa"/>
            <w:vAlign w:val="bottom"/>
            <w:gridSpan w:val="19"/>
          </w:tcPr>
          <w:p>
            <w:pPr>
              <w:spacing w:after="0" w:line="133" w:lineRule="exact"/>
              <w:rPr>
                <w:rFonts w:ascii="Arial" w:cs="Arial" w:eastAsia="Arial" w:hAnsi="Arial"/>
                <w:sz w:val="12"/>
                <w:szCs w:val="12"/>
                <w:color w:val="0000EE"/>
              </w:rPr>
            </w:pPr>
            <w:hyperlink w:anchor="page84">
              <w:r>
                <w:rPr>
                  <w:rFonts w:ascii="Arial" w:cs="Arial" w:eastAsia="Arial" w:hAnsi="Arial"/>
                  <w:sz w:val="12"/>
                  <w:szCs w:val="12"/>
                  <w:color w:val="0000EE"/>
                </w:rPr>
                <w:t>Exhibits</w:t>
              </w:r>
            </w:hyperlink>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81</w:t>
            </w:r>
          </w:p>
        </w:tc>
        <w:tc>
          <w:tcPr>
            <w:tcW w:w="20" w:type="dxa"/>
            <w:vAlign w:val="bottom"/>
          </w:tcPr>
          <w:p>
            <w:pPr>
              <w:spacing w:after="0"/>
              <w:rPr>
                <w:sz w:val="11"/>
                <w:szCs w:val="11"/>
                <w:color w:val="auto"/>
              </w:rPr>
            </w:pPr>
          </w:p>
        </w:tc>
      </w:tr>
      <w:tr>
        <w:trPr>
          <w:trHeight w:val="205"/>
        </w:trPr>
        <w:tc>
          <w:tcPr>
            <w:tcW w:w="1140" w:type="dxa"/>
            <w:vAlign w:val="bottom"/>
            <w:gridSpan w:val="2"/>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SIGNATURES</w:t>
              </w:r>
            </w:hyperlink>
          </w:p>
        </w:tc>
        <w:tc>
          <w:tcPr>
            <w:tcW w:w="4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82</w:t>
            </w:r>
          </w:p>
        </w:tc>
        <w:tc>
          <w:tcPr>
            <w:tcW w:w="20" w:type="dxa"/>
            <w:vAlign w:val="bottom"/>
          </w:tcPr>
          <w:p>
            <w:pPr>
              <w:spacing w:after="0"/>
              <w:rPr>
                <w:sz w:val="17"/>
                <w:szCs w:val="17"/>
                <w:color w:val="auto"/>
              </w:rPr>
            </w:pPr>
          </w:p>
        </w:tc>
      </w:tr>
      <w:tr>
        <w:trPr>
          <w:trHeight w:val="655"/>
        </w:trPr>
        <w:tc>
          <w:tcPr>
            <w:tcW w:w="720" w:type="dxa"/>
            <w:vAlign w:val="bottom"/>
            <w:tcBorders>
              <w:top w:val="single" w:sz="8" w:color="0000EE"/>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415" w:right="279" w:bottom="1440" w:gutter="0" w:footer="0" w:header="0"/>
        </w:sectPr>
      </w:pPr>
    </w:p>
    <w:bookmarkStart w:id="3" w:name="page4"/>
    <w:bookmarkEnd w:id="3"/>
    <w:p>
      <w:pPr>
        <w:ind w:left="4600"/>
        <w:spacing w:after="0"/>
        <w:rPr>
          <w:sz w:val="20"/>
          <w:szCs w:val="20"/>
          <w:color w:val="auto"/>
        </w:rPr>
      </w:pPr>
      <w:r>
        <w:rPr>
          <w:rFonts w:ascii="Arial" w:cs="Arial" w:eastAsia="Arial" w:hAnsi="Arial"/>
          <w:sz w:val="12"/>
          <w:szCs w:val="12"/>
          <w:b w:val="1"/>
          <w:bCs w:val="1"/>
          <w:color w:val="auto"/>
        </w:rPr>
        <w:t>PART I – FINANCIAL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50" w:lineRule="exact"/>
        <w:rPr>
          <w:sz w:val="20"/>
          <w:szCs w:val="20"/>
          <w:color w:val="auto"/>
        </w:rPr>
      </w:pPr>
    </w:p>
    <w:p>
      <w:pPr>
        <w:jc w:val="center"/>
        <w:ind w:right="-559"/>
        <w:spacing w:after="0"/>
        <w:rPr>
          <w:sz w:val="20"/>
          <w:szCs w:val="20"/>
          <w:color w:val="auto"/>
        </w:rPr>
      </w:pPr>
      <w:r>
        <w:rPr>
          <w:rFonts w:ascii="Arial" w:cs="Arial" w:eastAsia="Arial" w:hAnsi="Arial"/>
          <w:sz w:val="12"/>
          <w:szCs w:val="12"/>
          <w:b w:val="1"/>
          <w:bCs w:val="1"/>
          <w:color w:val="auto"/>
        </w:rPr>
        <w:t>NURIX THERAPEUTICS, INC.</w:t>
      </w:r>
    </w:p>
    <w:p>
      <w:pPr>
        <w:spacing w:after="0" w:line="19" w:lineRule="exact"/>
        <w:rPr>
          <w:sz w:val="20"/>
          <w:szCs w:val="20"/>
          <w:color w:val="auto"/>
        </w:rPr>
      </w:pPr>
    </w:p>
    <w:p>
      <w:pPr>
        <w:jc w:val="center"/>
        <w:ind w:right="-559"/>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right="-559"/>
        <w:spacing w:after="0"/>
        <w:rPr>
          <w:sz w:val="20"/>
          <w:szCs w:val="20"/>
          <w:color w:val="auto"/>
        </w:rPr>
      </w:pPr>
      <w:r>
        <w:rPr>
          <w:rFonts w:ascii="Arial" w:cs="Arial" w:eastAsia="Arial" w:hAnsi="Arial"/>
          <w:sz w:val="12"/>
          <w:szCs w:val="12"/>
          <w:b w:val="1"/>
          <w:bCs w:val="1"/>
          <w:color w:val="auto"/>
        </w:rPr>
        <w:t>(in thousands, except share and per share amounts)</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(unaudited)</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6460" w:type="dxa"/>
            <w:vAlign w:val="bottom"/>
          </w:tcPr>
          <w:p>
            <w:pPr>
              <w:spacing w:after="0"/>
              <w:rPr>
                <w:sz w:val="10"/>
                <w:szCs w:val="10"/>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b w:val="1"/>
                <w:bCs w:val="1"/>
                <w:color w:val="auto"/>
              </w:rPr>
              <w:t>May 31,</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November 30,</w:t>
            </w:r>
          </w:p>
        </w:tc>
      </w:tr>
      <w:tr>
        <w:trPr>
          <w:trHeight w:val="142"/>
        </w:trPr>
        <w:tc>
          <w:tcPr>
            <w:tcW w:w="646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142"/>
        </w:trPr>
        <w:tc>
          <w:tcPr>
            <w:tcW w:w="64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Current assets:</w:t>
            </w: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64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Cash and cash equivalents</w:t>
            </w:r>
          </w:p>
        </w:tc>
        <w:tc>
          <w:tcPr>
            <w:tcW w:w="1100" w:type="dxa"/>
            <w:vAlign w:val="bottom"/>
            <w:shd w:val="clear" w:color="auto" w:fill="CFF0FC"/>
          </w:tcPr>
          <w:p>
            <w:pPr>
              <w:jc w:val="right"/>
              <w:ind w:right="99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188,207</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119,356</w:t>
            </w:r>
          </w:p>
        </w:tc>
        <w:tc>
          <w:tcPr>
            <w:tcW w:w="100" w:type="dxa"/>
            <w:vAlign w:val="bottom"/>
            <w:shd w:val="clear" w:color="auto" w:fill="CFF0FC"/>
          </w:tcPr>
          <w:p>
            <w:pPr>
              <w:spacing w:after="0"/>
              <w:rPr>
                <w:sz w:val="13"/>
                <w:szCs w:val="13"/>
                <w:color w:val="auto"/>
              </w:rPr>
            </w:pPr>
          </w:p>
        </w:tc>
      </w:tr>
      <w:tr>
        <w:trPr>
          <w:trHeight w:val="153"/>
        </w:trPr>
        <w:tc>
          <w:tcPr>
            <w:tcW w:w="6460" w:type="dxa"/>
            <w:vAlign w:val="bottom"/>
          </w:tcPr>
          <w:p>
            <w:pPr>
              <w:ind w:left="320"/>
              <w:spacing w:after="0"/>
              <w:rPr>
                <w:sz w:val="20"/>
                <w:szCs w:val="20"/>
                <w:color w:val="auto"/>
              </w:rPr>
            </w:pPr>
            <w:r>
              <w:rPr>
                <w:rFonts w:ascii="Arial" w:cs="Arial" w:eastAsia="Arial" w:hAnsi="Arial"/>
                <w:sz w:val="12"/>
                <w:szCs w:val="12"/>
                <w:color w:val="auto"/>
              </w:rPr>
              <w:t>Short-term investments</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197,814</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161,792</w:t>
            </w:r>
          </w:p>
        </w:tc>
        <w:tc>
          <w:tcPr>
            <w:tcW w:w="100" w:type="dxa"/>
            <w:vAlign w:val="bottom"/>
          </w:tcPr>
          <w:p>
            <w:pPr>
              <w:spacing w:after="0"/>
              <w:rPr>
                <w:sz w:val="13"/>
                <w:szCs w:val="13"/>
                <w:color w:val="auto"/>
              </w:rPr>
            </w:pPr>
          </w:p>
        </w:tc>
      </w:tr>
      <w:tr>
        <w:trPr>
          <w:trHeight w:val="153"/>
        </w:trPr>
        <w:tc>
          <w:tcPr>
            <w:tcW w:w="64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Accounts receivable</w:t>
            </w:r>
          </w:p>
        </w:tc>
        <w:tc>
          <w:tcPr>
            <w:tcW w:w="1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2,537</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460" w:type="dxa"/>
            <w:vAlign w:val="bottom"/>
          </w:tcPr>
          <w:p>
            <w:pPr>
              <w:ind w:left="320"/>
              <w:spacing w:after="0"/>
              <w:rPr>
                <w:sz w:val="20"/>
                <w:szCs w:val="20"/>
                <w:color w:val="auto"/>
              </w:rPr>
            </w:pPr>
            <w:r>
              <w:rPr>
                <w:rFonts w:ascii="Arial" w:cs="Arial" w:eastAsia="Arial" w:hAnsi="Arial"/>
                <w:sz w:val="12"/>
                <w:szCs w:val="12"/>
                <w:color w:val="auto"/>
              </w:rPr>
              <w:t>Contract assets</w:t>
            </w:r>
          </w:p>
        </w:tc>
        <w:tc>
          <w:tcPr>
            <w:tcW w:w="110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7,500</w:t>
            </w:r>
          </w:p>
        </w:tc>
        <w:tc>
          <w:tcPr>
            <w:tcW w:w="100" w:type="dxa"/>
            <w:vAlign w:val="bottom"/>
          </w:tcPr>
          <w:p>
            <w:pPr>
              <w:spacing w:after="0"/>
              <w:rPr>
                <w:sz w:val="13"/>
                <w:szCs w:val="13"/>
                <w:color w:val="auto"/>
              </w:rPr>
            </w:pPr>
          </w:p>
        </w:tc>
      </w:tr>
      <w:tr>
        <w:trPr>
          <w:trHeight w:val="153"/>
        </w:trPr>
        <w:tc>
          <w:tcPr>
            <w:tcW w:w="64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Income tax receivable</w:t>
            </w:r>
          </w:p>
        </w:tc>
        <w:tc>
          <w:tcPr>
            <w:tcW w:w="1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3,142</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3,846</w:t>
            </w:r>
          </w:p>
        </w:tc>
        <w:tc>
          <w:tcPr>
            <w:tcW w:w="100" w:type="dxa"/>
            <w:vAlign w:val="bottom"/>
            <w:shd w:val="clear" w:color="auto" w:fill="CFF0FC"/>
          </w:tcPr>
          <w:p>
            <w:pPr>
              <w:spacing w:after="0"/>
              <w:rPr>
                <w:sz w:val="13"/>
                <w:szCs w:val="13"/>
                <w:color w:val="auto"/>
              </w:rPr>
            </w:pPr>
          </w:p>
        </w:tc>
      </w:tr>
      <w:tr>
        <w:trPr>
          <w:trHeight w:val="153"/>
        </w:trPr>
        <w:tc>
          <w:tcPr>
            <w:tcW w:w="64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Prepaid expenses and other current assets</w:t>
            </w:r>
          </w:p>
        </w:tc>
        <w:tc>
          <w:tcPr>
            <w:tcW w:w="1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4,581</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5,940</w:t>
            </w:r>
          </w:p>
        </w:tc>
        <w:tc>
          <w:tcPr>
            <w:tcW w:w="100" w:type="dxa"/>
            <w:vAlign w:val="bottom"/>
            <w:tcBorders>
              <w:bottom w:val="single" w:sz="8" w:color="CFF0FC"/>
            </w:tcBorders>
          </w:tcPr>
          <w:p>
            <w:pPr>
              <w:spacing w:after="0"/>
              <w:rPr>
                <w:sz w:val="13"/>
                <w:szCs w:val="13"/>
                <w:color w:val="auto"/>
              </w:rPr>
            </w:pPr>
          </w:p>
        </w:tc>
      </w:tr>
      <w:tr>
        <w:trPr>
          <w:trHeight w:val="142"/>
        </w:trPr>
        <w:tc>
          <w:tcPr>
            <w:tcW w:w="6460" w:type="dxa"/>
            <w:vAlign w:val="bottom"/>
            <w:shd w:val="clear" w:color="auto" w:fill="CFF0FC"/>
          </w:tcPr>
          <w:p>
            <w:pPr>
              <w:ind w:left="500"/>
              <w:spacing w:after="0"/>
              <w:rPr>
                <w:sz w:val="20"/>
                <w:szCs w:val="20"/>
                <w:color w:val="auto"/>
              </w:rPr>
            </w:pPr>
            <w:r>
              <w:rPr>
                <w:rFonts w:ascii="Arial" w:cs="Arial" w:eastAsia="Arial" w:hAnsi="Arial"/>
                <w:sz w:val="12"/>
                <w:szCs w:val="12"/>
                <w:color w:val="auto"/>
              </w:rPr>
              <w:t>Total current assets</w:t>
            </w:r>
          </w:p>
        </w:tc>
        <w:tc>
          <w:tcPr>
            <w:tcW w:w="1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396,281</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298,434</w:t>
            </w:r>
          </w:p>
        </w:tc>
        <w:tc>
          <w:tcPr>
            <w:tcW w:w="100" w:type="dxa"/>
            <w:vAlign w:val="bottom"/>
            <w:shd w:val="clear" w:color="auto" w:fill="CFF0FC"/>
          </w:tcPr>
          <w:p>
            <w:pPr>
              <w:spacing w:after="0"/>
              <w:rPr>
                <w:sz w:val="12"/>
                <w:szCs w:val="12"/>
                <w:color w:val="auto"/>
              </w:rPr>
            </w:pPr>
          </w:p>
        </w:tc>
      </w:tr>
      <w:tr>
        <w:trPr>
          <w:trHeight w:val="142"/>
        </w:trPr>
        <w:tc>
          <w:tcPr>
            <w:tcW w:w="6460" w:type="dxa"/>
            <w:vAlign w:val="bottom"/>
          </w:tcPr>
          <w:p>
            <w:pPr>
              <w:ind w:left="160"/>
              <w:spacing w:after="0"/>
              <w:rPr>
                <w:sz w:val="20"/>
                <w:szCs w:val="20"/>
                <w:color w:val="auto"/>
              </w:rPr>
            </w:pPr>
            <w:r>
              <w:rPr>
                <w:rFonts w:ascii="Arial" w:cs="Arial" w:eastAsia="Arial" w:hAnsi="Arial"/>
                <w:sz w:val="12"/>
                <w:szCs w:val="12"/>
                <w:color w:val="auto"/>
              </w:rPr>
              <w:t>Long-term investments</w:t>
            </w:r>
          </w:p>
        </w:tc>
        <w:tc>
          <w:tcPr>
            <w:tcW w:w="1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110,440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90,890</w:t>
            </w:r>
          </w:p>
        </w:tc>
        <w:tc>
          <w:tcPr>
            <w:tcW w:w="100" w:type="dxa"/>
            <w:vAlign w:val="bottom"/>
          </w:tcPr>
          <w:p>
            <w:pPr>
              <w:spacing w:after="0"/>
              <w:rPr>
                <w:sz w:val="12"/>
                <w:szCs w:val="12"/>
                <w:color w:val="auto"/>
              </w:rPr>
            </w:pPr>
          </w:p>
        </w:tc>
      </w:tr>
      <w:tr>
        <w:trPr>
          <w:trHeight w:val="153"/>
        </w:trPr>
        <w:tc>
          <w:tcPr>
            <w:tcW w:w="6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Property and equipment, net</w:t>
            </w:r>
          </w:p>
        </w:tc>
        <w:tc>
          <w:tcPr>
            <w:tcW w:w="1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8,345</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6,672</w:t>
            </w:r>
          </w:p>
        </w:tc>
        <w:tc>
          <w:tcPr>
            <w:tcW w:w="100" w:type="dxa"/>
            <w:vAlign w:val="bottom"/>
            <w:shd w:val="clear" w:color="auto" w:fill="CFF0FC"/>
          </w:tcPr>
          <w:p>
            <w:pPr>
              <w:spacing w:after="0"/>
              <w:rPr>
                <w:sz w:val="13"/>
                <w:szCs w:val="13"/>
                <w:color w:val="auto"/>
              </w:rPr>
            </w:pP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Restricted cash</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170</w:t>
            </w:r>
          </w:p>
        </w:tc>
        <w:tc>
          <w:tcPr>
            <w:tcW w:w="100" w:type="dxa"/>
            <w:vAlign w:val="bottom"/>
          </w:tcPr>
          <w:p>
            <w:pPr>
              <w:spacing w:after="0"/>
              <w:rPr>
                <w:sz w:val="13"/>
                <w:szCs w:val="13"/>
                <w:color w:val="auto"/>
              </w:rPr>
            </w:pPr>
          </w:p>
        </w:tc>
      </w:tr>
      <w:tr>
        <w:trPr>
          <w:trHeight w:val="153"/>
        </w:trPr>
        <w:tc>
          <w:tcPr>
            <w:tcW w:w="6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11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2,745</w:t>
            </w:r>
          </w:p>
        </w:tc>
        <w:tc>
          <w:tcPr>
            <w:tcW w:w="30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FF0FC"/>
          </w:tcPr>
          <w:p>
            <w:pPr>
              <w:spacing w:after="0"/>
              <w:rPr>
                <w:sz w:val="13"/>
                <w:szCs w:val="13"/>
                <w:color w:val="auto"/>
              </w:rPr>
            </w:pPr>
          </w:p>
        </w:tc>
      </w:tr>
      <w:tr>
        <w:trPr>
          <w:trHeight w:val="149"/>
        </w:trPr>
        <w:tc>
          <w:tcPr>
            <w:tcW w:w="6460" w:type="dxa"/>
            <w:vAlign w:val="bottom"/>
            <w:tcBorders>
              <w:bottom w:val="single" w:sz="8" w:color="CFF0FC"/>
            </w:tcBorders>
          </w:tcPr>
          <w:p>
            <w:pPr>
              <w:ind w:left="500"/>
              <w:spacing w:after="0"/>
              <w:rPr>
                <w:sz w:val="20"/>
                <w:szCs w:val="20"/>
                <w:color w:val="auto"/>
              </w:rPr>
            </w:pPr>
            <w:r>
              <w:rPr>
                <w:rFonts w:ascii="Arial" w:cs="Arial" w:eastAsia="Arial" w:hAnsi="Arial"/>
                <w:sz w:val="12"/>
                <w:szCs w:val="12"/>
                <w:color w:val="auto"/>
              </w:rPr>
              <w:t>Total assets</w:t>
            </w:r>
          </w:p>
        </w:tc>
        <w:tc>
          <w:tcPr>
            <w:tcW w:w="1100" w:type="dxa"/>
            <w:vAlign w:val="bottom"/>
            <w:tcBorders>
              <w:bottom w:val="single" w:sz="8" w:color="auto"/>
            </w:tcBorders>
          </w:tcPr>
          <w:p>
            <w:pPr>
              <w:jc w:val="right"/>
              <w:ind w:right="99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517,981</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396,343</w:t>
            </w:r>
          </w:p>
        </w:tc>
        <w:tc>
          <w:tcPr>
            <w:tcW w:w="100" w:type="dxa"/>
            <w:vAlign w:val="bottom"/>
            <w:tcBorders>
              <w:bottom w:val="single" w:sz="8" w:color="CFF0FC"/>
            </w:tcBorders>
          </w:tcPr>
          <w:p>
            <w:pPr>
              <w:spacing w:after="0"/>
              <w:rPr>
                <w:sz w:val="12"/>
                <w:szCs w:val="12"/>
                <w:color w:val="auto"/>
              </w:rPr>
            </w:pPr>
          </w:p>
        </w:tc>
      </w:tr>
      <w:tr>
        <w:trPr>
          <w:trHeight w:val="153"/>
        </w:trPr>
        <w:tc>
          <w:tcPr>
            <w:tcW w:w="64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6460" w:type="dxa"/>
            <w:vAlign w:val="bottom"/>
          </w:tcPr>
          <w:p>
            <w:pPr>
              <w:ind w:left="160"/>
              <w:spacing w:after="0"/>
              <w:rPr>
                <w:sz w:val="20"/>
                <w:szCs w:val="20"/>
                <w:color w:val="auto"/>
              </w:rPr>
            </w:pPr>
            <w:r>
              <w:rPr>
                <w:rFonts w:ascii="Arial" w:cs="Arial" w:eastAsia="Arial" w:hAnsi="Arial"/>
                <w:sz w:val="12"/>
                <w:szCs w:val="12"/>
                <w:color w:val="auto"/>
              </w:rPr>
              <w:t>Current liabilities:</w:t>
            </w: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64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Accounts payable</w:t>
            </w:r>
          </w:p>
        </w:tc>
        <w:tc>
          <w:tcPr>
            <w:tcW w:w="1100" w:type="dxa"/>
            <w:vAlign w:val="bottom"/>
            <w:shd w:val="clear" w:color="auto" w:fill="CFF0FC"/>
          </w:tcPr>
          <w:p>
            <w:pPr>
              <w:jc w:val="right"/>
              <w:ind w:right="99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5,405</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3,412</w:t>
            </w:r>
          </w:p>
        </w:tc>
        <w:tc>
          <w:tcPr>
            <w:tcW w:w="100" w:type="dxa"/>
            <w:vAlign w:val="bottom"/>
            <w:shd w:val="clear" w:color="auto" w:fill="CFF0FC"/>
          </w:tcPr>
          <w:p>
            <w:pPr>
              <w:spacing w:after="0"/>
              <w:rPr>
                <w:sz w:val="13"/>
                <w:szCs w:val="13"/>
                <w:color w:val="auto"/>
              </w:rPr>
            </w:pPr>
          </w:p>
        </w:tc>
      </w:tr>
      <w:tr>
        <w:trPr>
          <w:trHeight w:val="153"/>
        </w:trPr>
        <w:tc>
          <w:tcPr>
            <w:tcW w:w="6460" w:type="dxa"/>
            <w:vAlign w:val="bottom"/>
          </w:tcPr>
          <w:p>
            <w:pPr>
              <w:ind w:left="320"/>
              <w:spacing w:after="0"/>
              <w:rPr>
                <w:sz w:val="20"/>
                <w:szCs w:val="20"/>
                <w:color w:val="auto"/>
              </w:rPr>
            </w:pPr>
            <w:r>
              <w:rPr>
                <w:rFonts w:ascii="Arial" w:cs="Arial" w:eastAsia="Arial" w:hAnsi="Arial"/>
                <w:sz w:val="12"/>
                <w:szCs w:val="12"/>
                <w:color w:val="auto"/>
              </w:rPr>
              <w:t>Accrued and other current liabilities</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7,678</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8,328</w:t>
            </w:r>
          </w:p>
        </w:tc>
        <w:tc>
          <w:tcPr>
            <w:tcW w:w="100" w:type="dxa"/>
            <w:vAlign w:val="bottom"/>
          </w:tcPr>
          <w:p>
            <w:pPr>
              <w:spacing w:after="0"/>
              <w:rPr>
                <w:sz w:val="13"/>
                <w:szCs w:val="13"/>
                <w:color w:val="auto"/>
              </w:rPr>
            </w:pPr>
          </w:p>
        </w:tc>
      </w:tr>
      <w:tr>
        <w:trPr>
          <w:trHeight w:val="153"/>
        </w:trPr>
        <w:tc>
          <w:tcPr>
            <w:tcW w:w="64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Deferred revenue, current</w:t>
            </w:r>
          </w:p>
        </w:tc>
        <w:tc>
          <w:tcPr>
            <w:tcW w:w="11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33,761</w:t>
            </w:r>
          </w:p>
        </w:tc>
        <w:tc>
          <w:tcPr>
            <w:tcW w:w="30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32,799</w:t>
            </w:r>
          </w:p>
        </w:tc>
        <w:tc>
          <w:tcPr>
            <w:tcW w:w="100" w:type="dxa"/>
            <w:vAlign w:val="bottom"/>
            <w:shd w:val="clear" w:color="auto" w:fill="CFF0FC"/>
          </w:tcPr>
          <w:p>
            <w:pPr>
              <w:spacing w:after="0"/>
              <w:rPr>
                <w:sz w:val="13"/>
                <w:szCs w:val="13"/>
                <w:color w:val="auto"/>
              </w:rPr>
            </w:pPr>
          </w:p>
        </w:tc>
      </w:tr>
      <w:tr>
        <w:trPr>
          <w:trHeight w:val="142"/>
        </w:trPr>
        <w:tc>
          <w:tcPr>
            <w:tcW w:w="6460" w:type="dxa"/>
            <w:vAlign w:val="bottom"/>
            <w:tcBorders>
              <w:bottom w:val="single" w:sz="8" w:color="CFF0FC"/>
            </w:tcBorders>
          </w:tcPr>
          <w:p>
            <w:pPr>
              <w:ind w:left="500"/>
              <w:spacing w:after="0"/>
              <w:rPr>
                <w:sz w:val="20"/>
                <w:szCs w:val="20"/>
                <w:color w:val="auto"/>
              </w:rPr>
            </w:pPr>
            <w:r>
              <w:rPr>
                <w:rFonts w:ascii="Arial" w:cs="Arial" w:eastAsia="Arial" w:hAnsi="Arial"/>
                <w:sz w:val="12"/>
                <w:szCs w:val="12"/>
                <w:color w:val="auto"/>
              </w:rPr>
              <w:t>Total current liabilities</w:t>
            </w:r>
          </w:p>
        </w:tc>
        <w:tc>
          <w:tcPr>
            <w:tcW w:w="1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46,844</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44,539</w:t>
            </w:r>
          </w:p>
        </w:tc>
        <w:tc>
          <w:tcPr>
            <w:tcW w:w="100" w:type="dxa"/>
            <w:vAlign w:val="bottom"/>
            <w:tcBorders>
              <w:bottom w:val="single" w:sz="8" w:color="CFF0FC"/>
            </w:tcBorders>
          </w:tcPr>
          <w:p>
            <w:pPr>
              <w:spacing w:after="0"/>
              <w:rPr>
                <w:sz w:val="12"/>
                <w:szCs w:val="12"/>
                <w:color w:val="auto"/>
              </w:rPr>
            </w:pPr>
          </w:p>
        </w:tc>
      </w:tr>
      <w:tr>
        <w:trPr>
          <w:trHeight w:val="142"/>
        </w:trPr>
        <w:tc>
          <w:tcPr>
            <w:tcW w:w="6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revenue, net of current portion</w:t>
            </w:r>
          </w:p>
        </w:tc>
        <w:tc>
          <w:tcPr>
            <w:tcW w:w="1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72,122</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60,685</w:t>
            </w:r>
          </w:p>
        </w:tc>
        <w:tc>
          <w:tcPr>
            <w:tcW w:w="100" w:type="dxa"/>
            <w:vAlign w:val="bottom"/>
            <w:shd w:val="clear" w:color="auto" w:fill="CFF0FC"/>
          </w:tcPr>
          <w:p>
            <w:pPr>
              <w:spacing w:after="0"/>
              <w:rPr>
                <w:sz w:val="12"/>
                <w:szCs w:val="12"/>
                <w:color w:val="auto"/>
              </w:rPr>
            </w:pPr>
          </w:p>
        </w:tc>
      </w:tr>
      <w:tr>
        <w:trPr>
          <w:trHeight w:val="153"/>
        </w:trPr>
        <w:tc>
          <w:tcPr>
            <w:tcW w:w="64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 long-term liabilities</w:t>
            </w:r>
          </w:p>
        </w:tc>
        <w:tc>
          <w:tcPr>
            <w:tcW w:w="1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837</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850</w:t>
            </w:r>
          </w:p>
        </w:tc>
        <w:tc>
          <w:tcPr>
            <w:tcW w:w="100" w:type="dxa"/>
            <w:vAlign w:val="bottom"/>
            <w:tcBorders>
              <w:bottom w:val="single" w:sz="8" w:color="CFF0FC"/>
            </w:tcBorders>
          </w:tcPr>
          <w:p>
            <w:pPr>
              <w:spacing w:after="0"/>
              <w:rPr>
                <w:sz w:val="13"/>
                <w:szCs w:val="13"/>
                <w:color w:val="auto"/>
              </w:rPr>
            </w:pPr>
          </w:p>
        </w:tc>
      </w:tr>
      <w:tr>
        <w:trPr>
          <w:trHeight w:val="142"/>
        </w:trPr>
        <w:tc>
          <w:tcPr>
            <w:tcW w:w="6460" w:type="dxa"/>
            <w:vAlign w:val="bottom"/>
            <w:shd w:val="clear" w:color="auto" w:fill="CFF0FC"/>
          </w:tcPr>
          <w:p>
            <w:pPr>
              <w:ind w:left="500"/>
              <w:spacing w:after="0"/>
              <w:rPr>
                <w:sz w:val="20"/>
                <w:szCs w:val="20"/>
                <w:color w:val="auto"/>
              </w:rPr>
            </w:pPr>
            <w:r>
              <w:rPr>
                <w:rFonts w:ascii="Arial" w:cs="Arial" w:eastAsia="Arial" w:hAnsi="Arial"/>
                <w:sz w:val="12"/>
                <w:szCs w:val="12"/>
                <w:color w:val="auto"/>
              </w:rPr>
              <w:t>Total liabilities</w:t>
            </w:r>
          </w:p>
        </w:tc>
        <w:tc>
          <w:tcPr>
            <w:tcW w:w="1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119,803</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106,074</w:t>
            </w:r>
          </w:p>
        </w:tc>
        <w:tc>
          <w:tcPr>
            <w:tcW w:w="100" w:type="dxa"/>
            <w:vAlign w:val="bottom"/>
            <w:shd w:val="clear" w:color="auto" w:fill="CFF0FC"/>
          </w:tcPr>
          <w:p>
            <w:pPr>
              <w:spacing w:after="0"/>
              <w:rPr>
                <w:sz w:val="12"/>
                <w:szCs w:val="12"/>
                <w:color w:val="auto"/>
              </w:rPr>
            </w:pPr>
          </w:p>
        </w:tc>
      </w:tr>
      <w:tr>
        <w:trPr>
          <w:trHeight w:val="142"/>
        </w:trPr>
        <w:tc>
          <w:tcPr>
            <w:tcW w:w="6460" w:type="dxa"/>
            <w:vAlign w:val="bottom"/>
          </w:tcPr>
          <w:p>
            <w:pPr>
              <w:ind w:left="160"/>
              <w:spacing w:after="0"/>
              <w:rPr>
                <w:sz w:val="20"/>
                <w:szCs w:val="20"/>
                <w:color w:val="auto"/>
              </w:rPr>
            </w:pPr>
            <w:r>
              <w:rPr>
                <w:rFonts w:ascii="Arial" w:cs="Arial" w:eastAsia="Arial" w:hAnsi="Arial"/>
                <w:sz w:val="12"/>
                <w:szCs w:val="12"/>
                <w:color w:val="auto"/>
              </w:rPr>
              <w:t>Commitments and contingencies (Note 6)</w:t>
            </w: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6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Stockholders’ equity (deficit):</w:t>
            </w:r>
          </w:p>
        </w:tc>
        <w:tc>
          <w:tcPr>
            <w:tcW w:w="1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6460" w:type="dxa"/>
            <w:vAlign w:val="bottom"/>
          </w:tcPr>
          <w:p>
            <w:pPr>
              <w:ind w:left="160"/>
              <w:spacing w:after="0"/>
              <w:rPr>
                <w:sz w:val="20"/>
                <w:szCs w:val="20"/>
                <w:color w:val="auto"/>
              </w:rPr>
            </w:pPr>
            <w:r>
              <w:rPr>
                <w:rFonts w:ascii="Arial" w:cs="Arial" w:eastAsia="Arial" w:hAnsi="Arial"/>
                <w:sz w:val="12"/>
                <w:szCs w:val="12"/>
                <w:color w:val="auto"/>
              </w:rPr>
              <w:t>Preferred stock, $0.001 par value— 10,000,000 shares</w:t>
            </w: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6460" w:type="dxa"/>
            <w:vAlign w:val="bottom"/>
          </w:tcPr>
          <w:p>
            <w:pPr>
              <w:ind w:left="260"/>
              <w:spacing w:after="0"/>
              <w:rPr>
                <w:sz w:val="20"/>
                <w:szCs w:val="20"/>
                <w:color w:val="auto"/>
              </w:rPr>
            </w:pPr>
            <w:r>
              <w:rPr>
                <w:rFonts w:ascii="Arial" w:cs="Arial" w:eastAsia="Arial" w:hAnsi="Arial"/>
                <w:sz w:val="12"/>
                <w:szCs w:val="12"/>
                <w:color w:val="auto"/>
              </w:rPr>
              <w:t>authorized as of May 31, 2021 and</w:t>
            </w: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6460" w:type="dxa"/>
            <w:vAlign w:val="bottom"/>
          </w:tcPr>
          <w:p>
            <w:pPr>
              <w:ind w:left="260"/>
              <w:spacing w:after="0"/>
              <w:rPr>
                <w:sz w:val="20"/>
                <w:szCs w:val="20"/>
                <w:color w:val="auto"/>
              </w:rPr>
            </w:pPr>
            <w:r>
              <w:rPr>
                <w:rFonts w:ascii="Arial" w:cs="Arial" w:eastAsia="Arial" w:hAnsi="Arial"/>
                <w:sz w:val="12"/>
                <w:szCs w:val="12"/>
                <w:color w:val="auto"/>
              </w:rPr>
              <w:t>November 30, 2020; 0 shares issued and outstanding</w:t>
            </w: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6460" w:type="dxa"/>
            <w:vAlign w:val="bottom"/>
          </w:tcPr>
          <w:p>
            <w:pPr>
              <w:ind w:left="260"/>
              <w:spacing w:after="0"/>
              <w:rPr>
                <w:sz w:val="20"/>
                <w:szCs w:val="20"/>
                <w:color w:val="auto"/>
              </w:rPr>
            </w:pPr>
            <w:r>
              <w:rPr>
                <w:rFonts w:ascii="Arial" w:cs="Arial" w:eastAsia="Arial" w:hAnsi="Arial"/>
                <w:sz w:val="12"/>
                <w:szCs w:val="12"/>
                <w:color w:val="auto"/>
              </w:rPr>
              <w:t>as of May 31, 2021 and November 30, 2020</w:t>
            </w:r>
          </w:p>
        </w:tc>
        <w:tc>
          <w:tcPr>
            <w:tcW w:w="110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6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Common stock, $0.001 par value— 500,000,000 shares</w:t>
            </w:r>
          </w:p>
        </w:tc>
        <w:tc>
          <w:tcPr>
            <w:tcW w:w="1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4"/>
        </w:trPr>
        <w:tc>
          <w:tcPr>
            <w:tcW w:w="646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authorized as of May 31, 2021 and</w:t>
            </w:r>
          </w:p>
        </w:tc>
        <w:tc>
          <w:tcPr>
            <w:tcW w:w="1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4"/>
        </w:trPr>
        <w:tc>
          <w:tcPr>
            <w:tcW w:w="6460" w:type="dxa"/>
            <w:vAlign w:val="bottom"/>
            <w:shd w:val="clear" w:color="auto" w:fill="CFF0FC"/>
          </w:tcPr>
          <w:p>
            <w:pPr>
              <w:ind w:left="260"/>
              <w:spacing w:after="0"/>
              <w:rPr>
                <w:sz w:val="20"/>
                <w:szCs w:val="20"/>
                <w:color w:val="auto"/>
              </w:rPr>
            </w:pPr>
            <w:r>
              <w:rPr>
                <w:rFonts w:ascii="Arial" w:cs="Arial" w:eastAsia="Arial" w:hAnsi="Arial"/>
                <w:sz w:val="12"/>
                <w:szCs w:val="12"/>
                <w:color w:val="auto"/>
              </w:rPr>
              <w:t>November 30, 2020; 44,403,547 and 38,864,872 shares</w:t>
            </w:r>
          </w:p>
        </w:tc>
        <w:tc>
          <w:tcPr>
            <w:tcW w:w="1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4"/>
        </w:trPr>
        <w:tc>
          <w:tcPr>
            <w:tcW w:w="646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issued and outstanding as of May 31, 2021 and</w:t>
            </w:r>
          </w:p>
        </w:tc>
        <w:tc>
          <w:tcPr>
            <w:tcW w:w="1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6460" w:type="dxa"/>
            <w:vAlign w:val="bottom"/>
            <w:shd w:val="clear" w:color="auto" w:fill="CFF0FC"/>
          </w:tcPr>
          <w:p>
            <w:pPr>
              <w:ind w:left="260"/>
              <w:spacing w:after="0"/>
              <w:rPr>
                <w:sz w:val="20"/>
                <w:szCs w:val="20"/>
                <w:color w:val="auto"/>
              </w:rPr>
            </w:pPr>
            <w:r>
              <w:rPr>
                <w:rFonts w:ascii="Arial" w:cs="Arial" w:eastAsia="Arial" w:hAnsi="Arial"/>
                <w:sz w:val="12"/>
                <w:szCs w:val="12"/>
                <w:color w:val="auto"/>
              </w:rPr>
              <w:t>November 30, 2020, respectively</w:t>
            </w:r>
          </w:p>
        </w:tc>
        <w:tc>
          <w:tcPr>
            <w:tcW w:w="1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FF0FC"/>
          </w:tcPr>
          <w:p>
            <w:pPr>
              <w:spacing w:after="0"/>
              <w:rPr>
                <w:sz w:val="13"/>
                <w:szCs w:val="13"/>
                <w:color w:val="auto"/>
              </w:rPr>
            </w:pPr>
          </w:p>
        </w:tc>
      </w:tr>
      <w:tr>
        <w:trPr>
          <w:trHeight w:val="153"/>
        </w:trPr>
        <w:tc>
          <w:tcPr>
            <w:tcW w:w="6460" w:type="dxa"/>
            <w:vAlign w:val="bottom"/>
          </w:tcPr>
          <w:p>
            <w:pPr>
              <w:ind w:left="320"/>
              <w:spacing w:after="0"/>
              <w:rPr>
                <w:sz w:val="20"/>
                <w:szCs w:val="20"/>
                <w:color w:val="auto"/>
              </w:rPr>
            </w:pPr>
            <w:r>
              <w:rPr>
                <w:rFonts w:ascii="Arial" w:cs="Arial" w:eastAsia="Arial" w:hAnsi="Arial"/>
                <w:sz w:val="12"/>
                <w:szCs w:val="12"/>
                <w:color w:val="auto"/>
              </w:rPr>
              <w:t>Additional paid-in-capital</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552,459</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393,841</w:t>
            </w:r>
          </w:p>
        </w:tc>
        <w:tc>
          <w:tcPr>
            <w:tcW w:w="100" w:type="dxa"/>
            <w:vAlign w:val="bottom"/>
          </w:tcPr>
          <w:p>
            <w:pPr>
              <w:spacing w:after="0"/>
              <w:rPr>
                <w:sz w:val="13"/>
                <w:szCs w:val="13"/>
                <w:color w:val="auto"/>
              </w:rPr>
            </w:pPr>
          </w:p>
        </w:tc>
      </w:tr>
      <w:tr>
        <w:trPr>
          <w:trHeight w:val="153"/>
        </w:trPr>
        <w:tc>
          <w:tcPr>
            <w:tcW w:w="64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Accumulated other comprehensive income</w:t>
            </w:r>
          </w:p>
        </w:tc>
        <w:tc>
          <w:tcPr>
            <w:tcW w:w="1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FF0FC"/>
          </w:tcPr>
          <w:p>
            <w:pPr>
              <w:spacing w:after="0"/>
              <w:rPr>
                <w:sz w:val="13"/>
                <w:szCs w:val="13"/>
                <w:color w:val="auto"/>
              </w:rPr>
            </w:pPr>
          </w:p>
        </w:tc>
      </w:tr>
      <w:tr>
        <w:trPr>
          <w:trHeight w:val="153"/>
        </w:trPr>
        <w:tc>
          <w:tcPr>
            <w:tcW w:w="6460" w:type="dxa"/>
            <w:vAlign w:val="bottom"/>
          </w:tcPr>
          <w:p>
            <w:pPr>
              <w:ind w:left="320"/>
              <w:spacing w:after="0"/>
              <w:rPr>
                <w:sz w:val="20"/>
                <w:szCs w:val="20"/>
                <w:color w:val="auto"/>
              </w:rPr>
            </w:pPr>
            <w:r>
              <w:rPr>
                <w:rFonts w:ascii="Arial" w:cs="Arial" w:eastAsia="Arial" w:hAnsi="Arial"/>
                <w:sz w:val="12"/>
                <w:szCs w:val="12"/>
                <w:color w:val="auto"/>
              </w:rPr>
              <w:t>Accumulated deficit</w:t>
            </w:r>
          </w:p>
        </w:tc>
        <w:tc>
          <w:tcPr>
            <w:tcW w:w="110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(154,355)</w:t>
            </w:r>
          </w:p>
        </w:tc>
        <w:tc>
          <w:tcPr>
            <w:tcW w:w="300" w:type="dxa"/>
            <w:vAlign w:val="bottom"/>
          </w:tcPr>
          <w:p>
            <w:pPr>
              <w:spacing w:after="0"/>
              <w:rPr>
                <w:sz w:val="13"/>
                <w:szCs w:val="13"/>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2"/>
                <w:szCs w:val="12"/>
                <w:color w:val="auto"/>
              </w:rPr>
              <w:t>(103,698)</w:t>
            </w:r>
          </w:p>
        </w:tc>
      </w:tr>
      <w:tr>
        <w:trPr>
          <w:trHeight w:val="142"/>
        </w:trPr>
        <w:tc>
          <w:tcPr>
            <w:tcW w:w="6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2"/>
                <w:szCs w:val="12"/>
                <w:color w:val="auto"/>
              </w:rPr>
              <w:t>Total stockholders’ equity</w:t>
            </w:r>
          </w:p>
        </w:tc>
        <w:tc>
          <w:tcPr>
            <w:tcW w:w="11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398,178</w:t>
            </w:r>
          </w:p>
        </w:tc>
        <w:tc>
          <w:tcPr>
            <w:tcW w:w="3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290,269</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6460" w:type="dxa"/>
            <w:vAlign w:val="bottom"/>
          </w:tcPr>
          <w:p>
            <w:pPr>
              <w:ind w:left="500"/>
              <w:spacing w:after="0"/>
              <w:rPr>
                <w:sz w:val="20"/>
                <w:szCs w:val="20"/>
                <w:color w:val="auto"/>
              </w:rPr>
            </w:pPr>
            <w:r>
              <w:rPr>
                <w:rFonts w:ascii="Arial" w:cs="Arial" w:eastAsia="Arial" w:hAnsi="Arial"/>
                <w:sz w:val="12"/>
                <w:szCs w:val="12"/>
                <w:color w:val="auto"/>
              </w:rPr>
              <w:t>Total liabilities and stockholders’ equity</w:t>
            </w:r>
          </w:p>
        </w:tc>
        <w:tc>
          <w:tcPr>
            <w:tcW w:w="1100" w:type="dxa"/>
            <w:vAlign w:val="bottom"/>
            <w:tcBorders>
              <w:bottom w:val="single" w:sz="8" w:color="auto"/>
            </w:tcBorders>
          </w:tcPr>
          <w:p>
            <w:pPr>
              <w:jc w:val="right"/>
              <w:ind w:right="99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517,981</w:t>
            </w:r>
          </w:p>
        </w:tc>
        <w:tc>
          <w:tcPr>
            <w:tcW w:w="300" w:type="dxa"/>
            <w:vAlign w:val="bottom"/>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396,343</w:t>
            </w:r>
          </w:p>
        </w:tc>
        <w:tc>
          <w:tcPr>
            <w:tcW w:w="100" w:type="dxa"/>
            <w:vAlign w:val="bottom"/>
          </w:tcPr>
          <w:p>
            <w:pPr>
              <w:spacing w:after="0"/>
              <w:rPr>
                <w:sz w:val="12"/>
                <w:szCs w:val="12"/>
                <w:color w:val="auto"/>
              </w:rPr>
            </w:pPr>
          </w:p>
        </w:tc>
      </w:tr>
    </w:tbl>
    <w:p>
      <w:pPr>
        <w:spacing w:after="0" w:line="180" w:lineRule="exact"/>
        <w:rPr>
          <w:sz w:val="20"/>
          <w:szCs w:val="20"/>
          <w:color w:val="auto"/>
        </w:rPr>
      </w:pPr>
    </w:p>
    <w:p>
      <w:pPr>
        <w:jc w:val="center"/>
        <w:ind w:right="-55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720"/>
          </w:cols>
          <w:pgMar w:left="300" w:top="415" w:right="87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NURIX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Three Months Ended May 31,</w:t>
            </w:r>
          </w:p>
        </w:tc>
        <w:tc>
          <w:tcPr>
            <w:tcW w:w="280" w:type="dxa"/>
            <w:vAlign w:val="bottom"/>
          </w:tcPr>
          <w:p>
            <w:pPr>
              <w:spacing w:after="0"/>
              <w:rPr>
                <w:sz w:val="10"/>
                <w:szCs w:val="10"/>
                <w:color w:val="auto"/>
              </w:rPr>
            </w:pPr>
          </w:p>
        </w:tc>
        <w:tc>
          <w:tcPr>
            <w:tcW w:w="156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 May 31,</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rPr>
                <w:sz w:val="20"/>
                <w:szCs w:val="20"/>
                <w:color w:val="auto"/>
              </w:rPr>
            </w:pPr>
            <w:r>
              <w:rPr>
                <w:rFonts w:ascii="Arial" w:cs="Arial" w:eastAsia="Arial" w:hAnsi="Arial"/>
                <w:sz w:val="12"/>
                <w:szCs w:val="12"/>
                <w:color w:val="auto"/>
              </w:rPr>
              <w:t>Collaboration revenue</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7,091</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4,182</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12,102</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20" w:type="dxa"/>
            <w:vAlign w:val="bottom"/>
          </w:tcPr>
          <w:p>
            <w:pPr>
              <w:spacing w:after="0"/>
              <w:rPr>
                <w:sz w:val="20"/>
                <w:szCs w:val="20"/>
                <w:color w:val="auto"/>
              </w:rPr>
            </w:pPr>
            <w:r>
              <w:rPr>
                <w:rFonts w:ascii="Arial" w:cs="Arial" w:eastAsia="Arial" w:hAnsi="Arial"/>
                <w:sz w:val="12"/>
                <w:szCs w:val="12"/>
                <w:color w:val="auto"/>
              </w:rPr>
              <w:t>Operating expenses: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25,994</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14,142</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48,997</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27,109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General and administrative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7,511</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14,041</w:t>
            </w:r>
          </w:p>
        </w:tc>
        <w:tc>
          <w:tcPr>
            <w:tcW w:w="2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rPr>
                <w:sz w:val="20"/>
                <w:szCs w:val="20"/>
                <w:color w:val="auto"/>
              </w:rPr>
            </w:pPr>
            <w:r>
              <w:rPr>
                <w:rFonts w:ascii="Arial" w:cs="Arial" w:eastAsia="Arial" w:hAnsi="Arial"/>
                <w:sz w:val="12"/>
                <w:szCs w:val="12"/>
                <w:color w:val="auto"/>
              </w:rPr>
              <w:t>Total operating expenses</w:t>
            </w: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33,505</w:t>
            </w:r>
          </w:p>
        </w:tc>
        <w:tc>
          <w:tcPr>
            <w:tcW w:w="22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17,412</w:t>
            </w:r>
          </w:p>
        </w:tc>
        <w:tc>
          <w:tcPr>
            <w:tcW w:w="22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63,038</w:t>
            </w:r>
          </w:p>
        </w:tc>
        <w:tc>
          <w:tcPr>
            <w:tcW w:w="22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32,829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20"/>
                <w:szCs w:val="20"/>
                <w:color w:val="auto"/>
              </w:rPr>
            </w:pPr>
            <w:r>
              <w:rPr>
                <w:rFonts w:ascii="Arial" w:cs="Arial" w:eastAsia="Arial" w:hAnsi="Arial"/>
                <w:sz w:val="12"/>
                <w:szCs w:val="12"/>
                <w:color w:val="auto"/>
              </w:rPr>
              <w:t>Loss from operations</w:t>
            </w:r>
          </w:p>
        </w:tc>
        <w:tc>
          <w:tcPr>
            <w:tcW w:w="26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(26,414)</w:t>
            </w:r>
          </w:p>
        </w:tc>
        <w:tc>
          <w:tcPr>
            <w:tcW w:w="26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(13,230)</w:t>
            </w:r>
          </w:p>
        </w:tc>
        <w:tc>
          <w:tcPr>
            <w:tcW w:w="28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(50,936)</w:t>
            </w:r>
          </w:p>
        </w:tc>
        <w:tc>
          <w:tcPr>
            <w:tcW w:w="46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(25,783)</w:t>
            </w:r>
          </w:p>
        </w:tc>
        <w:tc>
          <w:tcPr>
            <w:tcW w:w="0" w:type="dxa"/>
            <w:vAlign w:val="bottom"/>
          </w:tcPr>
          <w:p>
            <w:pPr>
              <w:spacing w:after="0"/>
              <w:rPr>
                <w:sz w:val="1"/>
                <w:szCs w:val="1"/>
                <w:color w:val="auto"/>
              </w:rPr>
            </w:pPr>
          </w:p>
        </w:tc>
      </w:tr>
      <w:tr>
        <w:trPr>
          <w:trHeight w:val="153"/>
        </w:trPr>
        <w:tc>
          <w:tcPr>
            <w:tcW w:w="4820" w:type="dxa"/>
            <w:vAlign w:val="bottom"/>
            <w:shd w:val="clear" w:color="auto" w:fill="CFF0FC"/>
          </w:tcPr>
          <w:p>
            <w:pPr>
              <w:spacing w:after="0"/>
              <w:rPr>
                <w:sz w:val="20"/>
                <w:szCs w:val="20"/>
                <w:color w:val="auto"/>
              </w:rPr>
            </w:pPr>
            <w:r>
              <w:rPr>
                <w:rFonts w:ascii="Arial" w:cs="Arial" w:eastAsia="Arial" w:hAnsi="Arial"/>
                <w:sz w:val="12"/>
                <w:szCs w:val="12"/>
                <w:color w:val="auto"/>
              </w:rPr>
              <w:t>Interest and other income, net</w:t>
            </w:r>
          </w:p>
        </w:tc>
        <w:tc>
          <w:tcPr>
            <w:tcW w:w="2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171</w:t>
            </w:r>
          </w:p>
        </w:tc>
        <w:tc>
          <w:tcPr>
            <w:tcW w:w="2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223</w:t>
            </w:r>
          </w:p>
        </w:tc>
        <w:tc>
          <w:tcPr>
            <w:tcW w:w="2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489</w:t>
            </w:r>
          </w:p>
        </w:tc>
        <w:tc>
          <w:tcPr>
            <w:tcW w:w="22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26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(26,243)</w:t>
            </w:r>
          </w:p>
        </w:tc>
        <w:tc>
          <w:tcPr>
            <w:tcW w:w="26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(13,007)</w:t>
            </w:r>
          </w:p>
        </w:tc>
        <w:tc>
          <w:tcPr>
            <w:tcW w:w="28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(50,447)</w:t>
            </w:r>
          </w:p>
        </w:tc>
        <w:tc>
          <w:tcPr>
            <w:tcW w:w="46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(25,387)</w:t>
            </w:r>
          </w:p>
        </w:tc>
        <w:tc>
          <w:tcPr>
            <w:tcW w:w="0" w:type="dxa"/>
            <w:vAlign w:val="bottom"/>
          </w:tcPr>
          <w:p>
            <w:pPr>
              <w:spacing w:after="0"/>
              <w:rPr>
                <w:sz w:val="1"/>
                <w:szCs w:val="1"/>
                <w:color w:val="auto"/>
              </w:rPr>
            </w:pPr>
          </w:p>
        </w:tc>
      </w:tr>
      <w:tr>
        <w:trPr>
          <w:trHeight w:val="153"/>
        </w:trPr>
        <w:tc>
          <w:tcPr>
            <w:tcW w:w="4820" w:type="dxa"/>
            <w:vAlign w:val="bottom"/>
            <w:shd w:val="clear" w:color="auto" w:fill="CFF0FC"/>
          </w:tcPr>
          <w:p>
            <w:pPr>
              <w:spacing w:after="0"/>
              <w:rPr>
                <w:sz w:val="20"/>
                <w:szCs w:val="20"/>
                <w:color w:val="auto"/>
              </w:rPr>
            </w:pPr>
            <w:r>
              <w:rPr>
                <w:rFonts w:ascii="Arial" w:cs="Arial" w:eastAsia="Arial" w:hAnsi="Arial"/>
                <w:sz w:val="12"/>
                <w:szCs w:val="12"/>
                <w:color w:val="auto"/>
              </w:rPr>
              <w:t>Provision (benefit) for income taxes</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(20,587)</w:t>
            </w: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(20,576)</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20" w:type="dxa"/>
            <w:vAlign w:val="bottom"/>
            <w:vMerge w:val="continue"/>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(26,382)</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7,580</w:t>
            </w:r>
          </w:p>
        </w:tc>
        <w:tc>
          <w:tcPr>
            <w:tcW w:w="220" w:type="dxa"/>
            <w:vAlign w:val="bottom"/>
          </w:tcPr>
          <w:p>
            <w:pPr>
              <w:spacing w:after="0"/>
              <w:rPr>
                <w:sz w:val="12"/>
                <w:szCs w:val="12"/>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(50,657)</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(4,811)</w:t>
            </w:r>
          </w:p>
        </w:tc>
        <w:tc>
          <w:tcPr>
            <w:tcW w:w="0" w:type="dxa"/>
            <w:vAlign w:val="bottom"/>
          </w:tcPr>
          <w:p>
            <w:pPr>
              <w:spacing w:after="0"/>
              <w:rPr>
                <w:sz w:val="1"/>
                <w:szCs w:val="1"/>
                <w:color w:val="auto"/>
              </w:rPr>
            </w:pPr>
          </w:p>
        </w:tc>
      </w:tr>
      <w:tr>
        <w:trPr>
          <w:trHeight w:val="144"/>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Net income (loss) per share attributable to common</w:t>
            </w:r>
          </w:p>
        </w:tc>
        <w:tc>
          <w:tcPr>
            <w:tcW w:w="2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shd w:val="clear" w:color="auto" w:fill="CFF0FC"/>
          </w:tcPr>
          <w:p>
            <w:pPr>
              <w:ind w:left="80"/>
              <w:spacing w:after="0"/>
              <w:rPr>
                <w:sz w:val="20"/>
                <w:szCs w:val="20"/>
                <w:color w:val="auto"/>
              </w:rPr>
            </w:pPr>
            <w:r>
              <w:rPr>
                <w:rFonts w:ascii="Arial" w:cs="Arial" w:eastAsia="Arial" w:hAnsi="Arial"/>
                <w:sz w:val="12"/>
                <w:szCs w:val="12"/>
                <w:color w:val="auto"/>
              </w:rPr>
              <w:t>stockholders, basic</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(0.60)</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(1.23)</w:t>
            </w: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31"/>
        </w:trPr>
        <w:tc>
          <w:tcPr>
            <w:tcW w:w="482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Weighted-average number of shares outstanding,</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2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basic</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43,804,066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3,731,838</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41,318,281</w:t>
            </w:r>
          </w:p>
        </w:tc>
        <w:tc>
          <w:tcPr>
            <w:tcW w:w="2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3,636,140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2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 per share attributable to common</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shd w:val="clear" w:color="auto" w:fill="CFF0FC"/>
          </w:tcPr>
          <w:p>
            <w:pPr>
              <w:ind w:left="80"/>
              <w:spacing w:after="0"/>
              <w:rPr>
                <w:sz w:val="20"/>
                <w:szCs w:val="20"/>
                <w:color w:val="auto"/>
              </w:rPr>
            </w:pPr>
            <w:r>
              <w:rPr>
                <w:rFonts w:ascii="Arial" w:cs="Arial" w:eastAsia="Arial" w:hAnsi="Arial"/>
                <w:sz w:val="12"/>
                <w:szCs w:val="12"/>
                <w:color w:val="auto"/>
              </w:rPr>
              <w:t>stockholders, diluted</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(0.60)</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(1.23)</w:t>
            </w: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31"/>
        </w:trPr>
        <w:tc>
          <w:tcPr>
            <w:tcW w:w="482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Weighted-average number of shares outstanding,</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20" w:type="dxa"/>
            <w:vAlign w:val="bottom"/>
          </w:tcPr>
          <w:p>
            <w:pPr>
              <w:ind w:left="80"/>
              <w:spacing w:after="0"/>
              <w:rPr>
                <w:sz w:val="20"/>
                <w:szCs w:val="20"/>
                <w:color w:val="auto"/>
              </w:rPr>
            </w:pPr>
            <w:r>
              <w:rPr>
                <w:rFonts w:ascii="Arial" w:cs="Arial" w:eastAsia="Arial" w:hAnsi="Arial"/>
                <w:sz w:val="12"/>
                <w:szCs w:val="12"/>
                <w:color w:val="auto"/>
              </w:rPr>
              <w:t>diluted</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43,804,066</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4,909,829</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41,318,281</w:t>
            </w: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3,636,140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42545</wp:posOffset>
            </wp:positionV>
            <wp:extent cx="72148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60"/>
          </w:cols>
          <w:pgMar w:left="860" w:top="271" w:right="87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NURIX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Three Months Ended May 31,</w:t>
            </w:r>
          </w:p>
        </w:tc>
        <w:tc>
          <w:tcPr>
            <w:tcW w:w="7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May 31,</w:t>
            </w: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w w:val="89"/>
              </w:rPr>
              <w:t>2020</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760" w:type="dxa"/>
            <w:vAlign w:val="bottom"/>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(26,382)</w:t>
            </w:r>
          </w:p>
        </w:tc>
        <w:tc>
          <w:tcPr>
            <w:tcW w:w="50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7,580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(50,657)</w:t>
            </w:r>
          </w:p>
        </w:tc>
        <w:tc>
          <w:tcPr>
            <w:tcW w:w="480" w:type="dxa"/>
            <w:vAlign w:val="bottom"/>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(4,811)</w:t>
            </w:r>
          </w:p>
        </w:tc>
        <w:tc>
          <w:tcPr>
            <w:tcW w:w="0" w:type="dxa"/>
            <w:vAlign w:val="bottom"/>
          </w:tcPr>
          <w:p>
            <w:pPr>
              <w:spacing w:after="0"/>
              <w:rPr>
                <w:sz w:val="1"/>
                <w:szCs w:val="1"/>
                <w:color w:val="auto"/>
              </w:rPr>
            </w:pPr>
          </w:p>
        </w:tc>
      </w:tr>
      <w:tr>
        <w:trPr>
          <w:trHeight w:val="153"/>
        </w:trPr>
        <w:tc>
          <w:tcPr>
            <w:tcW w:w="426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Unrealized gain (loss) on</w:t>
            </w: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6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available-for-sale investments</w:t>
            </w:r>
          </w:p>
        </w:tc>
        <w:tc>
          <w:tcPr>
            <w:tcW w:w="7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(19)</w:t>
            </w:r>
          </w:p>
        </w:tc>
        <w:tc>
          <w:tcPr>
            <w:tcW w:w="5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(57)</w:t>
            </w:r>
          </w:p>
        </w:tc>
        <w:tc>
          <w:tcPr>
            <w:tcW w:w="4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2"/>
                <w:szCs w:val="12"/>
                <w:color w:val="auto"/>
              </w:rPr>
              <w:t>Total comprehensive income (loss)</w:t>
            </w: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(26,401)</w:t>
            </w: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7,662</w:t>
            </w:r>
          </w:p>
        </w:tc>
        <w:tc>
          <w:tcPr>
            <w:tcW w:w="240" w:type="dxa"/>
            <w:vAlign w:val="bottom"/>
          </w:tcPr>
          <w:p>
            <w:pPr>
              <w:spacing w:after="0"/>
              <w:rPr>
                <w:sz w:val="12"/>
                <w:szCs w:val="12"/>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(50,714)</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(4,670)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42545</wp:posOffset>
            </wp:positionV>
            <wp:extent cx="72148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60"/>
          </w:cols>
          <w:pgMar w:left="860" w:top="415" w:right="87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2"/>
          <w:szCs w:val="12"/>
          <w:b w:val="1"/>
          <w:bCs w:val="1"/>
          <w:color w:val="auto"/>
        </w:rPr>
        <w:t>NURIX THERAPEUTICS, INC.</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CONDENSED CONSOLIDATED STATEMENTS OF REDEEMABLE CONVERTIBLE PREFERRED STOCK AND STOCKHOLDERS’ EQUITY (DEFICIT)</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(in thousands, except share amounts)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5"/>
              </w:rPr>
              <w:t>Accumulated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43"/>
              <w:spacing w:after="0"/>
              <w:rPr>
                <w:sz w:val="20"/>
                <w:szCs w:val="20"/>
                <w:color w:val="auto"/>
              </w:rPr>
            </w:pPr>
            <w:r>
              <w:rPr>
                <w:rFonts w:ascii="Arial" w:cs="Arial" w:eastAsia="Arial" w:hAnsi="Arial"/>
                <w:sz w:val="10"/>
                <w:szCs w:val="10"/>
                <w:b w:val="1"/>
                <w:bCs w:val="1"/>
                <w:color w:val="auto"/>
                <w:w w:val="83"/>
              </w:rPr>
              <w:t>Total</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20" w:type="dxa"/>
            <w:vAlign w:val="bottom"/>
            <w:tcBorders>
              <w:right w:val="single" w:sz="8" w:color="auto"/>
            </w:tcBorders>
            <w:gridSpan w:val="5"/>
          </w:tcPr>
          <w:p>
            <w:pPr>
              <w:ind w:left="400"/>
              <w:spacing w:after="0" w:line="99" w:lineRule="exact"/>
              <w:rPr>
                <w:sz w:val="20"/>
                <w:szCs w:val="20"/>
                <w:color w:val="auto"/>
              </w:rPr>
            </w:pPr>
            <w:r>
              <w:rPr>
                <w:rFonts w:ascii="Arial" w:cs="Arial" w:eastAsia="Arial" w:hAnsi="Arial"/>
                <w:sz w:val="10"/>
                <w:szCs w:val="10"/>
                <w:b w:val="1"/>
                <w:bCs w:val="1"/>
                <w:color w:val="auto"/>
              </w:rPr>
              <w:t>Redeemable convertible</w:t>
            </w: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9"/>
              </w:rPr>
              <w:t>Additional</w:t>
            </w:r>
          </w:p>
        </w:tc>
        <w:tc>
          <w:tcPr>
            <w:tcW w:w="60" w:type="dxa"/>
            <w:vAlign w:val="bottom"/>
          </w:tcPr>
          <w:p>
            <w:pPr>
              <w:spacing w:after="0"/>
              <w:rPr>
                <w:sz w:val="8"/>
                <w:szCs w:val="8"/>
                <w:color w:val="auto"/>
              </w:rPr>
            </w:pPr>
          </w:p>
        </w:tc>
        <w:tc>
          <w:tcPr>
            <w:tcW w:w="9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43"/>
              <w:spacing w:after="0" w:line="99" w:lineRule="exact"/>
              <w:rPr>
                <w:sz w:val="20"/>
                <w:szCs w:val="20"/>
                <w:color w:val="auto"/>
              </w:rPr>
            </w:pPr>
            <w:r>
              <w:rPr>
                <w:rFonts w:ascii="Arial" w:cs="Arial" w:eastAsia="Arial" w:hAnsi="Arial"/>
                <w:sz w:val="10"/>
                <w:szCs w:val="10"/>
                <w:b w:val="1"/>
                <w:bCs w:val="1"/>
                <w:color w:val="auto"/>
                <w:w w:val="86"/>
              </w:rPr>
              <w:t>stockholders’</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20" w:type="dxa"/>
            <w:vAlign w:val="bottom"/>
            <w:tcBorders>
              <w:bottom w:val="single" w:sz="8" w:color="auto"/>
            </w:tcBorders>
            <w:gridSpan w:val="3"/>
          </w:tcPr>
          <w:p>
            <w:pPr>
              <w:jc w:val="right"/>
              <w:spacing w:after="0" w:line="114" w:lineRule="exact"/>
              <w:rPr>
                <w:sz w:val="20"/>
                <w:szCs w:val="20"/>
                <w:color w:val="auto"/>
              </w:rPr>
            </w:pPr>
            <w:r>
              <w:rPr>
                <w:rFonts w:ascii="Arial" w:cs="Arial" w:eastAsia="Arial" w:hAnsi="Arial"/>
                <w:sz w:val="10"/>
                <w:szCs w:val="10"/>
                <w:b w:val="1"/>
                <w:bCs w:val="1"/>
                <w:color w:val="auto"/>
              </w:rPr>
              <w:t>preferred stock</w:t>
            </w:r>
          </w:p>
        </w:tc>
        <w:tc>
          <w:tcPr>
            <w:tcW w:w="58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Borders>
              <w:bottom w:val="single" w:sz="8" w:color="auto"/>
            </w:tcBorders>
            <w:gridSpan w:val="3"/>
          </w:tcPr>
          <w:p>
            <w:pPr>
              <w:jc w:val="right"/>
              <w:ind w:right="332"/>
              <w:spacing w:after="0" w:line="114" w:lineRule="exact"/>
              <w:rPr>
                <w:sz w:val="20"/>
                <w:szCs w:val="20"/>
                <w:color w:val="auto"/>
              </w:rPr>
            </w:pPr>
            <w:r>
              <w:rPr>
                <w:rFonts w:ascii="Arial" w:cs="Arial" w:eastAsia="Arial" w:hAnsi="Arial"/>
                <w:sz w:val="10"/>
                <w:szCs w:val="10"/>
                <w:b w:val="1"/>
                <w:bCs w:val="1"/>
                <w:color w:val="auto"/>
              </w:rPr>
              <w:t>Common stock</w:t>
            </w: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1"/>
              </w:rPr>
              <w:t>paid-in</w:t>
            </w:r>
          </w:p>
        </w:tc>
        <w:tc>
          <w:tcPr>
            <w:tcW w:w="60" w:type="dxa"/>
            <w:vAlign w:val="bottom"/>
          </w:tcPr>
          <w:p>
            <w:pPr>
              <w:spacing w:after="0"/>
              <w:rPr>
                <w:sz w:val="9"/>
                <w:szCs w:val="9"/>
                <w:color w:val="auto"/>
              </w:rPr>
            </w:pPr>
          </w:p>
        </w:tc>
        <w:tc>
          <w:tcPr>
            <w:tcW w:w="9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1"/>
              </w:rPr>
              <w:t>comprehensive</w:t>
            </w:r>
          </w:p>
        </w:tc>
        <w:tc>
          <w:tcPr>
            <w:tcW w:w="100" w:type="dxa"/>
            <w:vAlign w:val="bottom"/>
          </w:tcPr>
          <w:p>
            <w:pPr>
              <w:spacing w:after="0"/>
              <w:rPr>
                <w:sz w:val="9"/>
                <w:szCs w:val="9"/>
                <w:color w:val="auto"/>
              </w:rPr>
            </w:pPr>
          </w:p>
        </w:tc>
        <w:tc>
          <w:tcPr>
            <w:tcW w:w="8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w w:val="85"/>
              </w:rPr>
              <w:t>Accumulated</w:t>
            </w:r>
          </w:p>
        </w:tc>
        <w:tc>
          <w:tcPr>
            <w:tcW w:w="80" w:type="dxa"/>
            <w:vAlign w:val="bottom"/>
          </w:tcPr>
          <w:p>
            <w:pPr>
              <w:spacing w:after="0"/>
              <w:rPr>
                <w:sz w:val="9"/>
                <w:szCs w:val="9"/>
                <w:color w:val="auto"/>
              </w:rPr>
            </w:pPr>
          </w:p>
        </w:tc>
        <w:tc>
          <w:tcPr>
            <w:tcW w:w="660" w:type="dxa"/>
            <w:vAlign w:val="bottom"/>
          </w:tcPr>
          <w:p>
            <w:pPr>
              <w:jc w:val="center"/>
              <w:ind w:right="43"/>
              <w:spacing w:after="0" w:line="114" w:lineRule="exact"/>
              <w:rPr>
                <w:sz w:val="20"/>
                <w:szCs w:val="20"/>
                <w:color w:val="auto"/>
              </w:rPr>
            </w:pPr>
            <w:r>
              <w:rPr>
                <w:rFonts w:ascii="Arial" w:cs="Arial" w:eastAsia="Arial" w:hAnsi="Arial"/>
                <w:sz w:val="10"/>
                <w:szCs w:val="10"/>
                <w:b w:val="1"/>
                <w:bCs w:val="1"/>
                <w:color w:val="auto"/>
                <w:w w:val="81"/>
              </w:rPr>
              <w:t>equity</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60" w:type="dxa"/>
            <w:vAlign w:val="bottom"/>
          </w:tcPr>
          <w:p>
            <w:pPr>
              <w:spacing w:after="0"/>
              <w:rPr>
                <w:sz w:val="8"/>
                <w:szCs w:val="8"/>
                <w:color w:val="auto"/>
              </w:rPr>
            </w:pPr>
          </w:p>
        </w:tc>
        <w:tc>
          <w:tcPr>
            <w:tcW w:w="2420" w:type="dxa"/>
            <w:vAlign w:val="bottom"/>
            <w:tcBorders>
              <w:bottom w:val="single" w:sz="8" w:color="CFF0FC"/>
            </w:tcBorders>
          </w:tcPr>
          <w:p>
            <w:pPr>
              <w:spacing w:after="0"/>
              <w:rPr>
                <w:sz w:val="8"/>
                <w:szCs w:val="8"/>
                <w:color w:val="auto"/>
              </w:rPr>
            </w:pPr>
          </w:p>
        </w:tc>
        <w:tc>
          <w:tcPr>
            <w:tcW w:w="800" w:type="dxa"/>
            <w:vAlign w:val="bottom"/>
            <w:tcBorders>
              <w:bottom w:val="single" w:sz="8" w:color="auto"/>
            </w:tcBorders>
          </w:tcPr>
          <w:p>
            <w:pPr>
              <w:jc w:val="right"/>
              <w:ind w:right="202"/>
              <w:spacing w:after="0" w:line="97" w:lineRule="exact"/>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61"/>
              <w:spacing w:after="0" w:line="97" w:lineRule="exact"/>
              <w:rPr>
                <w:sz w:val="20"/>
                <w:szCs w:val="20"/>
                <w:color w:val="auto"/>
              </w:rPr>
            </w:pPr>
            <w:r>
              <w:rPr>
                <w:rFonts w:ascii="Arial" w:cs="Arial" w:eastAsia="Arial" w:hAnsi="Arial"/>
                <w:sz w:val="10"/>
                <w:szCs w:val="10"/>
                <w:b w:val="1"/>
                <w:bCs w:val="1"/>
                <w:color w:val="auto"/>
                <w:w w:val="89"/>
              </w:rPr>
              <w:t>Amount</w:t>
            </w:r>
          </w:p>
        </w:tc>
        <w:tc>
          <w:tcPr>
            <w:tcW w:w="220" w:type="dxa"/>
            <w:vAlign w:val="bottom"/>
            <w:tcBorders>
              <w:bottom w:val="single" w:sz="8" w:color="CFF0FC"/>
              <w:right w:val="single" w:sz="8" w:color="auto"/>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201"/>
              <w:spacing w:after="0" w:line="97" w:lineRule="exact"/>
              <w:rPr>
                <w:sz w:val="20"/>
                <w:szCs w:val="20"/>
                <w:color w:val="auto"/>
              </w:rPr>
            </w:pPr>
            <w:r>
              <w:rPr>
                <w:rFonts w:ascii="Arial" w:cs="Arial" w:eastAsia="Arial" w:hAnsi="Arial"/>
                <w:sz w:val="10"/>
                <w:szCs w:val="10"/>
                <w:b w:val="1"/>
                <w:bCs w:val="1"/>
                <w:color w:val="auto"/>
              </w:rPr>
              <w:t>Shares</w:t>
            </w:r>
          </w:p>
        </w:tc>
        <w:tc>
          <w:tcPr>
            <w:tcW w:w="180" w:type="dxa"/>
            <w:vAlign w:val="bottom"/>
            <w:tcBorders>
              <w:bottom w:val="single" w:sz="8" w:color="CFF0FC"/>
            </w:tcBorders>
          </w:tcPr>
          <w:p>
            <w:pPr>
              <w:spacing w:after="0"/>
              <w:rPr>
                <w:sz w:val="8"/>
                <w:szCs w:val="8"/>
                <w:color w:val="auto"/>
              </w:rPr>
            </w:pPr>
          </w:p>
        </w:tc>
        <w:tc>
          <w:tcPr>
            <w:tcW w:w="6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CFF0FC"/>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center"/>
              <w:ind w:right="82"/>
              <w:spacing w:after="0" w:line="97" w:lineRule="exact"/>
              <w:rPr>
                <w:sz w:val="20"/>
                <w:szCs w:val="20"/>
                <w:color w:val="auto"/>
              </w:rPr>
            </w:pPr>
            <w:r>
              <w:rPr>
                <w:rFonts w:ascii="Arial" w:cs="Arial" w:eastAsia="Arial" w:hAnsi="Arial"/>
                <w:sz w:val="10"/>
                <w:szCs w:val="10"/>
                <w:b w:val="1"/>
                <w:bCs w:val="1"/>
                <w:color w:val="auto"/>
                <w:w w:val="88"/>
              </w:rPr>
              <w:t>capital</w:t>
            </w:r>
          </w:p>
        </w:tc>
        <w:tc>
          <w:tcPr>
            <w:tcW w:w="200" w:type="dxa"/>
            <w:vAlign w:val="bottom"/>
            <w:tcBorders>
              <w:bottom w:val="single" w:sz="8" w:color="CFF0FC"/>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3"/>
              <w:spacing w:after="0" w:line="97" w:lineRule="exact"/>
              <w:rPr>
                <w:sz w:val="20"/>
                <w:szCs w:val="20"/>
                <w:color w:val="auto"/>
              </w:rPr>
            </w:pPr>
            <w:r>
              <w:rPr>
                <w:rFonts w:ascii="Arial" w:cs="Arial" w:eastAsia="Arial" w:hAnsi="Arial"/>
                <w:sz w:val="10"/>
                <w:szCs w:val="10"/>
                <w:b w:val="1"/>
                <w:bCs w:val="1"/>
                <w:color w:val="auto"/>
                <w:w w:val="80"/>
              </w:rPr>
              <w:t>income (loss)</w:t>
            </w:r>
          </w:p>
        </w:tc>
        <w:tc>
          <w:tcPr>
            <w:tcW w:w="20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01"/>
              <w:spacing w:after="0" w:line="97" w:lineRule="exact"/>
              <w:rPr>
                <w:sz w:val="20"/>
                <w:szCs w:val="20"/>
                <w:color w:val="auto"/>
              </w:rPr>
            </w:pPr>
            <w:r>
              <w:rPr>
                <w:rFonts w:ascii="Arial" w:cs="Arial" w:eastAsia="Arial" w:hAnsi="Arial"/>
                <w:sz w:val="10"/>
                <w:szCs w:val="10"/>
                <w:b w:val="1"/>
                <w:bCs w:val="1"/>
                <w:color w:val="auto"/>
              </w:rPr>
              <w:t>deficit</w:t>
            </w:r>
          </w:p>
        </w:tc>
        <w:tc>
          <w:tcPr>
            <w:tcW w:w="20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center"/>
              <w:ind w:right="43"/>
              <w:spacing w:after="0" w:line="97" w:lineRule="exact"/>
              <w:rPr>
                <w:sz w:val="20"/>
                <w:szCs w:val="20"/>
                <w:color w:val="auto"/>
              </w:rPr>
            </w:pPr>
            <w:r>
              <w:rPr>
                <w:rFonts w:ascii="Arial" w:cs="Arial" w:eastAsia="Arial" w:hAnsi="Arial"/>
                <w:sz w:val="10"/>
                <w:szCs w:val="10"/>
                <w:b w:val="1"/>
                <w:bCs w:val="1"/>
                <w:color w:val="auto"/>
                <w:w w:val="88"/>
              </w:rPr>
              <w:t>(deficit)</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2"/>
                <w:szCs w:val="12"/>
                <w:color w:val="auto"/>
              </w:rPr>
              <w:t>Balance as of November 30, 2019</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12,813,887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48,195</w:t>
            </w: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3,595,334</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2,740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(60,456)</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(57,714)</w:t>
            </w:r>
          </w:p>
        </w:tc>
        <w:tc>
          <w:tcPr>
            <w:tcW w:w="64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tcPr>
          <w:p>
            <w:pPr>
              <w:ind w:left="160"/>
              <w:spacing w:after="0"/>
              <w:rPr>
                <w:sz w:val="20"/>
                <w:szCs w:val="20"/>
                <w:color w:val="auto"/>
              </w:rPr>
            </w:pPr>
            <w:r>
              <w:rPr>
                <w:rFonts w:ascii="Arial" w:cs="Arial" w:eastAsia="Arial" w:hAnsi="Arial"/>
                <w:sz w:val="12"/>
                <w:szCs w:val="12"/>
                <w:color w:val="auto"/>
              </w:rPr>
              <w:t>Exercise of stock options</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72,570</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37</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37</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2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Repurchase of unvested early</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4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exercised stock options</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8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(867)</w:t>
            </w:r>
          </w:p>
        </w:tc>
        <w:tc>
          <w:tcPr>
            <w:tcW w:w="6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2420" w:type="dxa"/>
            <w:vAlign w:val="bottom"/>
          </w:tcPr>
          <w:p>
            <w:pPr>
              <w:ind w:left="160"/>
              <w:spacing w:after="0"/>
              <w:rPr>
                <w:sz w:val="20"/>
                <w:szCs w:val="20"/>
                <w:color w:val="auto"/>
              </w:rPr>
            </w:pPr>
            <w:r>
              <w:rPr>
                <w:rFonts w:ascii="Arial" w:cs="Arial" w:eastAsia="Arial" w:hAnsi="Arial"/>
                <w:sz w:val="12"/>
                <w:szCs w:val="12"/>
                <w:color w:val="auto"/>
              </w:rPr>
              <w:t>Vesting of early-exercised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Stock-based compensation</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8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w:t>
            </w:r>
          </w:p>
        </w:tc>
        <w:tc>
          <w:tcPr>
            <w:tcW w:w="64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2420" w:type="dxa"/>
            <w:vAlign w:val="bottom"/>
          </w:tcPr>
          <w:p>
            <w:pPr>
              <w:ind w:left="160"/>
              <w:spacing w:after="0"/>
              <w:rPr>
                <w:sz w:val="20"/>
                <w:szCs w:val="20"/>
                <w:color w:val="auto"/>
              </w:rPr>
            </w:pPr>
            <w:r>
              <w:rPr>
                <w:rFonts w:ascii="Arial" w:cs="Arial" w:eastAsia="Arial" w:hAnsi="Arial"/>
                <w:sz w:val="12"/>
                <w:szCs w:val="12"/>
                <w:color w:val="auto"/>
              </w:rPr>
              <w:t>Unrealized gain (loss) on</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2420" w:type="dxa"/>
            <w:vAlign w:val="bottom"/>
          </w:tcPr>
          <w:p>
            <w:pPr>
              <w:ind w:left="260"/>
              <w:spacing w:after="0"/>
              <w:rPr>
                <w:sz w:val="20"/>
                <w:szCs w:val="20"/>
                <w:color w:val="auto"/>
              </w:rPr>
            </w:pPr>
            <w:r>
              <w:rPr>
                <w:rFonts w:ascii="Arial" w:cs="Arial" w:eastAsia="Arial" w:hAnsi="Arial"/>
                <w:sz w:val="12"/>
                <w:szCs w:val="12"/>
                <w:color w:val="auto"/>
              </w:rPr>
              <w:t>available-for-sale</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2"/>
                <w:szCs w:val="12"/>
                <w:color w:val="auto"/>
              </w:rPr>
              <w:t>investments</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income (loss)</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(12,391)</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(12,391)</w:t>
            </w:r>
          </w:p>
        </w:tc>
        <w:tc>
          <w:tcPr>
            <w:tcW w:w="64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20" w:type="dxa"/>
            <w:vAlign w:val="bottom"/>
            <w:vMerge w:val="restart"/>
          </w:tcPr>
          <w:p>
            <w:pPr>
              <w:spacing w:after="0"/>
              <w:rPr>
                <w:sz w:val="20"/>
                <w:szCs w:val="20"/>
                <w:color w:val="auto"/>
              </w:rPr>
            </w:pPr>
            <w:r>
              <w:rPr>
                <w:rFonts w:ascii="Arial" w:cs="Arial" w:eastAsia="Arial" w:hAnsi="Arial"/>
                <w:sz w:val="12"/>
                <w:szCs w:val="12"/>
                <w:color w:val="auto"/>
              </w:rPr>
              <w:t>Balance as of February 29, 2020</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12,813,887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48,195</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3,667,037</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2,984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(72,847)</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(69,802)</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2420" w:type="dxa"/>
            <w:vAlign w:val="bottom"/>
            <w:tcBorders>
              <w:top w:val="single" w:sz="8" w:color="CFF0FC"/>
            </w:tcBorders>
            <w:shd w:val="clear" w:color="auto" w:fill="CFF0FC"/>
          </w:tcPr>
          <w:p>
            <w:pPr>
              <w:ind w:left="160"/>
              <w:spacing w:after="0" w:line="133" w:lineRule="exact"/>
              <w:rPr>
                <w:sz w:val="20"/>
                <w:szCs w:val="20"/>
                <w:color w:val="auto"/>
              </w:rPr>
            </w:pPr>
            <w:r>
              <w:rPr>
                <w:rFonts w:ascii="Arial" w:cs="Arial" w:eastAsia="Arial" w:hAnsi="Arial"/>
                <w:sz w:val="12"/>
                <w:szCs w:val="12"/>
                <w:color w:val="auto"/>
              </w:rPr>
              <w:t>Issuance of Series D redeemable</w:t>
            </w:r>
          </w:p>
        </w:tc>
        <w:tc>
          <w:tcPr>
            <w:tcW w:w="8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right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640" w:type="dxa"/>
            <w:vAlign w:val="bottom"/>
            <w:tcBorders>
              <w:left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convertible preferred stock at</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4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$12.75 per share, net of</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4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issuance costs of $336</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9,431,364</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119,914</w:t>
            </w:r>
          </w:p>
        </w:tc>
        <w:tc>
          <w:tcPr>
            <w:tcW w:w="2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tcPr>
          <w:p>
            <w:pPr>
              <w:ind w:left="160"/>
              <w:spacing w:after="0"/>
              <w:rPr>
                <w:sz w:val="20"/>
                <w:szCs w:val="20"/>
                <w:color w:val="auto"/>
              </w:rPr>
            </w:pPr>
            <w:r>
              <w:rPr>
                <w:rFonts w:ascii="Arial" w:cs="Arial" w:eastAsia="Arial" w:hAnsi="Arial"/>
                <w:sz w:val="12"/>
                <w:szCs w:val="12"/>
                <w:color w:val="auto"/>
              </w:rPr>
              <w:t>Exercise of stock options</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125,708</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118</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118</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2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Vesting of early-exercised</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4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stock options</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8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64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tcPr>
          <w:p>
            <w:pPr>
              <w:ind w:left="160"/>
              <w:spacing w:after="0"/>
              <w:rPr>
                <w:sz w:val="20"/>
                <w:szCs w:val="20"/>
                <w:color w:val="auto"/>
              </w:rPr>
            </w:pPr>
            <w:r>
              <w:rPr>
                <w:rFonts w:ascii="Arial" w:cs="Arial" w:eastAsia="Arial" w:hAnsi="Arial"/>
                <w:sz w:val="12"/>
                <w:szCs w:val="12"/>
                <w:color w:val="auto"/>
              </w:rPr>
              <w:t>Stock-based compensation</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474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474</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2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Unrealized gain (loss) on</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4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available-for-sale</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4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investments</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8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w:t>
            </w:r>
          </w:p>
        </w:tc>
        <w:tc>
          <w:tcPr>
            <w:tcW w:w="64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4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Net income (loss)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7,580</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7,580</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2"/>
                <w:szCs w:val="12"/>
                <w:color w:val="auto"/>
              </w:rPr>
              <w:t>Balance as of May 31, 2020</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22,245,251</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168,109</w:t>
            </w: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3,792,745</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3,598</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(65,267)</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(61,526)</w:t>
            </w:r>
          </w:p>
        </w:tc>
        <w:tc>
          <w:tcPr>
            <w:tcW w:w="64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450"/>
        </w:trPr>
        <w:tc>
          <w:tcPr>
            <w:tcW w:w="560" w:type="dxa"/>
            <w:vAlign w:val="bottom"/>
          </w:tcPr>
          <w:p>
            <w:pPr>
              <w:spacing w:after="0"/>
              <w:rPr>
                <w:sz w:val="24"/>
                <w:szCs w:val="24"/>
                <w:color w:val="auto"/>
              </w:rPr>
            </w:pPr>
          </w:p>
        </w:tc>
        <w:tc>
          <w:tcPr>
            <w:tcW w:w="24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jc w:val="right"/>
              <w:ind w:right="121"/>
              <w:spacing w:after="0"/>
              <w:rPr>
                <w:sz w:val="20"/>
                <w:szCs w:val="20"/>
                <w:color w:val="auto"/>
              </w:rPr>
            </w:pPr>
            <w:r>
              <w:rPr>
                <w:rFonts w:ascii="Arial" w:cs="Arial" w:eastAsia="Arial" w:hAnsi="Arial"/>
                <w:sz w:val="12"/>
                <w:szCs w:val="12"/>
                <w:color w:val="auto"/>
              </w:rPr>
              <w:t>4</w:t>
            </w:r>
          </w:p>
        </w:tc>
        <w:tc>
          <w:tcPr>
            <w:tcW w:w="18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24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415"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5"/>
              </w:rPr>
              <w:t>Accumulated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3"/>
              </w:rPr>
              <w:t>Total</w:t>
            </w:r>
          </w:p>
        </w:tc>
      </w:tr>
      <w:tr>
        <w:trPr>
          <w:trHeight w:val="99"/>
        </w:trPr>
        <w:tc>
          <w:tcPr>
            <w:tcW w:w="2420" w:type="dxa"/>
            <w:vAlign w:val="bottom"/>
          </w:tcPr>
          <w:p>
            <w:pPr>
              <w:spacing w:after="0"/>
              <w:rPr>
                <w:sz w:val="8"/>
                <w:szCs w:val="8"/>
                <w:color w:val="auto"/>
              </w:rPr>
            </w:pPr>
          </w:p>
        </w:tc>
        <w:tc>
          <w:tcPr>
            <w:tcW w:w="1620" w:type="dxa"/>
            <w:vAlign w:val="bottom"/>
            <w:gridSpan w:val="4"/>
          </w:tcPr>
          <w:p>
            <w:pPr>
              <w:jc w:val="right"/>
              <w:ind w:right="172"/>
              <w:spacing w:after="0" w:line="99" w:lineRule="exact"/>
              <w:rPr>
                <w:sz w:val="20"/>
                <w:szCs w:val="20"/>
                <w:color w:val="auto"/>
              </w:rPr>
            </w:pPr>
            <w:r>
              <w:rPr>
                <w:rFonts w:ascii="Arial" w:cs="Arial" w:eastAsia="Arial" w:hAnsi="Arial"/>
                <w:sz w:val="10"/>
                <w:szCs w:val="10"/>
                <w:b w:val="1"/>
                <w:bCs w:val="1"/>
                <w:color w:val="auto"/>
              </w:rPr>
              <w:t>Redeemable convertible</w:t>
            </w:r>
          </w:p>
        </w:tc>
        <w:tc>
          <w:tcPr>
            <w:tcW w:w="1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9"/>
              </w:rPr>
              <w:t>Additional</w:t>
            </w:r>
          </w:p>
        </w:tc>
        <w:tc>
          <w:tcPr>
            <w:tcW w:w="60" w:type="dxa"/>
            <w:vAlign w:val="bottom"/>
          </w:tcPr>
          <w:p>
            <w:pPr>
              <w:spacing w:after="0"/>
              <w:rPr>
                <w:sz w:val="8"/>
                <w:szCs w:val="8"/>
                <w:color w:val="auto"/>
              </w:rPr>
            </w:pPr>
          </w:p>
        </w:tc>
        <w:tc>
          <w:tcPr>
            <w:tcW w:w="9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stockholders’</w:t>
            </w:r>
          </w:p>
        </w:tc>
      </w:tr>
      <w:tr>
        <w:trPr>
          <w:trHeight w:val="113"/>
        </w:trPr>
        <w:tc>
          <w:tcPr>
            <w:tcW w:w="24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3"/>
          </w:tcPr>
          <w:p>
            <w:pPr>
              <w:ind w:left="20"/>
              <w:spacing w:after="0" w:line="114" w:lineRule="exact"/>
              <w:rPr>
                <w:sz w:val="20"/>
                <w:szCs w:val="20"/>
                <w:color w:val="auto"/>
              </w:rPr>
            </w:pPr>
            <w:r>
              <w:rPr>
                <w:rFonts w:ascii="Arial" w:cs="Arial" w:eastAsia="Arial" w:hAnsi="Arial"/>
                <w:sz w:val="10"/>
                <w:szCs w:val="10"/>
                <w:b w:val="1"/>
                <w:bCs w:val="1"/>
                <w:color w:val="auto"/>
              </w:rPr>
              <w:t>preferred stock</w:t>
            </w:r>
          </w:p>
        </w:tc>
        <w:tc>
          <w:tcPr>
            <w:tcW w:w="18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Borders>
              <w:bottom w:val="single" w:sz="8" w:color="auto"/>
            </w:tcBorders>
            <w:gridSpan w:val="3"/>
          </w:tcPr>
          <w:p>
            <w:pPr>
              <w:jc w:val="right"/>
              <w:ind w:right="332"/>
              <w:spacing w:after="0" w:line="114" w:lineRule="exact"/>
              <w:rPr>
                <w:sz w:val="20"/>
                <w:szCs w:val="20"/>
                <w:color w:val="auto"/>
              </w:rPr>
            </w:pPr>
            <w:r>
              <w:rPr>
                <w:rFonts w:ascii="Arial" w:cs="Arial" w:eastAsia="Arial" w:hAnsi="Arial"/>
                <w:sz w:val="10"/>
                <w:szCs w:val="10"/>
                <w:b w:val="1"/>
                <w:bCs w:val="1"/>
                <w:color w:val="auto"/>
              </w:rPr>
              <w:t>Common stock</w:t>
            </w: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1"/>
              </w:rPr>
              <w:t>paid-in</w:t>
            </w:r>
          </w:p>
        </w:tc>
        <w:tc>
          <w:tcPr>
            <w:tcW w:w="60" w:type="dxa"/>
            <w:vAlign w:val="bottom"/>
          </w:tcPr>
          <w:p>
            <w:pPr>
              <w:spacing w:after="0"/>
              <w:rPr>
                <w:sz w:val="9"/>
                <w:szCs w:val="9"/>
                <w:color w:val="auto"/>
              </w:rPr>
            </w:pPr>
          </w:p>
        </w:tc>
        <w:tc>
          <w:tcPr>
            <w:tcW w:w="9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1"/>
              </w:rPr>
              <w:t>comprehensive</w:t>
            </w:r>
          </w:p>
        </w:tc>
        <w:tc>
          <w:tcPr>
            <w:tcW w:w="100" w:type="dxa"/>
            <w:vAlign w:val="bottom"/>
          </w:tcPr>
          <w:p>
            <w:pPr>
              <w:spacing w:after="0"/>
              <w:rPr>
                <w:sz w:val="9"/>
                <w:szCs w:val="9"/>
                <w:color w:val="auto"/>
              </w:rPr>
            </w:pPr>
          </w:p>
        </w:tc>
        <w:tc>
          <w:tcPr>
            <w:tcW w:w="8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w w:val="85"/>
              </w:rPr>
              <w:t>Accumulated</w:t>
            </w:r>
          </w:p>
        </w:tc>
        <w:tc>
          <w:tcPr>
            <w:tcW w:w="80" w:type="dxa"/>
            <w:vAlign w:val="bottom"/>
          </w:tcPr>
          <w:p>
            <w:pPr>
              <w:spacing w:after="0"/>
              <w:rPr>
                <w:sz w:val="9"/>
                <w:szCs w:val="9"/>
                <w:color w:val="auto"/>
              </w:rPr>
            </w:pPr>
          </w:p>
        </w:tc>
        <w:tc>
          <w:tcPr>
            <w:tcW w:w="7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1"/>
              </w:rPr>
              <w:t>equity</w:t>
            </w:r>
          </w:p>
        </w:tc>
      </w:tr>
      <w:tr>
        <w:trPr>
          <w:trHeight w:val="142"/>
        </w:trPr>
        <w:tc>
          <w:tcPr>
            <w:tcW w:w="242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w w:val="83"/>
              </w:rPr>
              <w:t>Shares</w:t>
            </w: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CFF0FC"/>
              <w:right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88"/>
              </w:rPr>
              <w:t>capital</w:t>
            </w: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0"/>
              </w:rPr>
              <w:t>income (loss)</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deficit</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8"/>
              </w:rPr>
              <w:t>(deficit)</w:t>
            </w:r>
          </w:p>
        </w:tc>
        <w:tc>
          <w:tcPr>
            <w:tcW w:w="40" w:type="dxa"/>
            <w:vAlign w:val="bottom"/>
            <w:tcBorders>
              <w:bottom w:val="single" w:sz="8" w:color="CFF0FC"/>
            </w:tcBorders>
          </w:tcPr>
          <w:p>
            <w:pPr>
              <w:spacing w:after="0"/>
              <w:rPr>
                <w:sz w:val="12"/>
                <w:szCs w:val="12"/>
                <w:color w:val="auto"/>
              </w:rPr>
            </w:pPr>
          </w:p>
        </w:tc>
      </w:tr>
      <w:tr>
        <w:trPr>
          <w:trHeight w:val="142"/>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Balance as of November 30, 2020</w:t>
            </w:r>
          </w:p>
        </w:tc>
        <w:tc>
          <w:tcPr>
            <w:tcW w:w="46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auto"/>
            </w:tcBorders>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38,864,872</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393,841</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(103,698)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290,269</w:t>
            </w:r>
          </w:p>
        </w:tc>
        <w:tc>
          <w:tcPr>
            <w:tcW w:w="40" w:type="dxa"/>
            <w:vAlign w:val="bottom"/>
            <w:shd w:val="clear" w:color="auto" w:fill="CFF0FC"/>
          </w:tcPr>
          <w:p>
            <w:pPr>
              <w:spacing w:after="0"/>
              <w:rPr>
                <w:sz w:val="12"/>
                <w:szCs w:val="12"/>
                <w:color w:val="auto"/>
              </w:rPr>
            </w:pPr>
          </w:p>
        </w:tc>
      </w:tr>
      <w:tr>
        <w:trPr>
          <w:trHeight w:val="153"/>
        </w:trPr>
        <w:tc>
          <w:tcPr>
            <w:tcW w:w="2980" w:type="dxa"/>
            <w:vAlign w:val="bottom"/>
            <w:gridSpan w:val="2"/>
          </w:tcPr>
          <w:p>
            <w:pPr>
              <w:ind w:left="160"/>
              <w:spacing w:after="0"/>
              <w:rPr>
                <w:sz w:val="20"/>
                <w:szCs w:val="20"/>
                <w:color w:val="auto"/>
              </w:rPr>
            </w:pPr>
            <w:r>
              <w:rPr>
                <w:rFonts w:ascii="Arial" w:cs="Arial" w:eastAsia="Arial" w:hAnsi="Arial"/>
                <w:sz w:val="12"/>
                <w:szCs w:val="12"/>
                <w:color w:val="auto"/>
              </w:rPr>
              <w:t>Exercise of stock options</w:t>
            </w:r>
          </w:p>
        </w:tc>
        <w:tc>
          <w:tcPr>
            <w:tcW w:w="4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40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190,825</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394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394</w:t>
            </w:r>
          </w:p>
        </w:tc>
        <w:tc>
          <w:tcPr>
            <w:tcW w:w="40" w:type="dxa"/>
            <w:vAlign w:val="bottom"/>
          </w:tcPr>
          <w:p>
            <w:pPr>
              <w:spacing w:after="0"/>
              <w:rPr>
                <w:sz w:val="13"/>
                <w:szCs w:val="13"/>
                <w:color w:val="auto"/>
              </w:rPr>
            </w:pPr>
          </w:p>
        </w:tc>
      </w:tr>
      <w:tr>
        <w:trPr>
          <w:trHeight w:val="144"/>
        </w:trPr>
        <w:tc>
          <w:tcPr>
            <w:tcW w:w="29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Repurchase of unvested early</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exercised stock options</w:t>
            </w:r>
          </w:p>
        </w:tc>
        <w:tc>
          <w:tcPr>
            <w:tcW w:w="46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400" w:type="dxa"/>
            <w:vAlign w:val="bottom"/>
            <w:tcBorders>
              <w:right w:val="single" w:sz="8" w:color="auto"/>
            </w:tcBorders>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(971)</w:t>
            </w:r>
          </w:p>
        </w:tc>
        <w:tc>
          <w:tcPr>
            <w:tcW w:w="6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44"/>
        </w:trPr>
        <w:tc>
          <w:tcPr>
            <w:tcW w:w="2980" w:type="dxa"/>
            <w:vAlign w:val="bottom"/>
            <w:gridSpan w:val="2"/>
          </w:tcPr>
          <w:p>
            <w:pPr>
              <w:ind w:left="160"/>
              <w:spacing w:after="0"/>
              <w:rPr>
                <w:sz w:val="20"/>
                <w:szCs w:val="20"/>
                <w:color w:val="auto"/>
              </w:rPr>
            </w:pPr>
            <w:r>
              <w:rPr>
                <w:rFonts w:ascii="Arial" w:cs="Arial" w:eastAsia="Arial" w:hAnsi="Arial"/>
                <w:sz w:val="12"/>
                <w:szCs w:val="12"/>
                <w:color w:val="auto"/>
              </w:rPr>
              <w:t>Vesting of early-exercised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980" w:type="dxa"/>
            <w:vAlign w:val="bottom"/>
            <w:gridSpan w:val="2"/>
          </w:tcPr>
          <w:p>
            <w:pPr>
              <w:ind w:left="260"/>
              <w:spacing w:after="0"/>
              <w:rPr>
                <w:sz w:val="20"/>
                <w:szCs w:val="20"/>
                <w:color w:val="auto"/>
              </w:rPr>
            </w:pPr>
            <w:r>
              <w:rPr>
                <w:rFonts w:ascii="Arial" w:cs="Arial" w:eastAsia="Arial" w:hAnsi="Arial"/>
                <w:sz w:val="12"/>
                <w:szCs w:val="12"/>
                <w:color w:val="auto"/>
              </w:rPr>
              <w:t>stock options</w:t>
            </w:r>
          </w:p>
        </w:tc>
        <w:tc>
          <w:tcPr>
            <w:tcW w:w="4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40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w:t>
            </w:r>
          </w:p>
        </w:tc>
        <w:tc>
          <w:tcPr>
            <w:tcW w:w="40" w:type="dxa"/>
            <w:vAlign w:val="bottom"/>
          </w:tcPr>
          <w:p>
            <w:pPr>
              <w:spacing w:after="0"/>
              <w:rPr>
                <w:sz w:val="13"/>
                <w:szCs w:val="13"/>
                <w:color w:val="auto"/>
              </w:rPr>
            </w:pPr>
          </w:p>
        </w:tc>
      </w:tr>
      <w:tr>
        <w:trPr>
          <w:trHeight w:val="144"/>
        </w:trPr>
        <w:tc>
          <w:tcPr>
            <w:tcW w:w="29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Issuance under Employee</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Stock Purchase Plan</w:t>
            </w:r>
          </w:p>
        </w:tc>
        <w:tc>
          <w:tcPr>
            <w:tcW w:w="46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400" w:type="dxa"/>
            <w:vAlign w:val="bottom"/>
            <w:tcBorders>
              <w:right w:val="single" w:sz="8" w:color="auto"/>
            </w:tcBorders>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64,589</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1,043</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1,043</w:t>
            </w:r>
          </w:p>
        </w:tc>
        <w:tc>
          <w:tcPr>
            <w:tcW w:w="40" w:type="dxa"/>
            <w:vAlign w:val="bottom"/>
            <w:shd w:val="clear" w:color="auto" w:fill="CFF0FC"/>
          </w:tcPr>
          <w:p>
            <w:pPr>
              <w:spacing w:after="0"/>
              <w:rPr>
                <w:sz w:val="13"/>
                <w:szCs w:val="13"/>
                <w:color w:val="auto"/>
              </w:rPr>
            </w:pPr>
          </w:p>
        </w:tc>
      </w:tr>
      <w:tr>
        <w:trPr>
          <w:trHeight w:val="153"/>
        </w:trPr>
        <w:tc>
          <w:tcPr>
            <w:tcW w:w="2980" w:type="dxa"/>
            <w:vAlign w:val="bottom"/>
            <w:gridSpan w:val="2"/>
          </w:tcPr>
          <w:p>
            <w:pPr>
              <w:ind w:left="160"/>
              <w:spacing w:after="0"/>
              <w:rPr>
                <w:sz w:val="20"/>
                <w:szCs w:val="20"/>
                <w:color w:val="auto"/>
              </w:rPr>
            </w:pPr>
            <w:r>
              <w:rPr>
                <w:rFonts w:ascii="Arial" w:cs="Arial" w:eastAsia="Arial" w:hAnsi="Arial"/>
                <w:sz w:val="12"/>
                <w:szCs w:val="12"/>
                <w:color w:val="auto"/>
              </w:rPr>
              <w:t>Stock-based compensation</w:t>
            </w:r>
          </w:p>
        </w:tc>
        <w:tc>
          <w:tcPr>
            <w:tcW w:w="4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40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2,700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2,700</w:t>
            </w:r>
          </w:p>
        </w:tc>
        <w:tc>
          <w:tcPr>
            <w:tcW w:w="40" w:type="dxa"/>
            <w:vAlign w:val="bottom"/>
          </w:tcPr>
          <w:p>
            <w:pPr>
              <w:spacing w:after="0"/>
              <w:rPr>
                <w:sz w:val="13"/>
                <w:szCs w:val="13"/>
                <w:color w:val="auto"/>
              </w:rPr>
            </w:pPr>
          </w:p>
        </w:tc>
      </w:tr>
      <w:tr>
        <w:trPr>
          <w:trHeight w:val="144"/>
        </w:trPr>
        <w:tc>
          <w:tcPr>
            <w:tcW w:w="29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Unrealized gain (loss) on</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4"/>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available-for-sale</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53"/>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investments</w:t>
            </w:r>
          </w:p>
        </w:tc>
        <w:tc>
          <w:tcPr>
            <w:tcW w:w="46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400" w:type="dxa"/>
            <w:vAlign w:val="bottom"/>
            <w:tcBorders>
              <w:right w:val="single" w:sz="8" w:color="auto"/>
            </w:tcBorders>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(38)</w:t>
            </w:r>
          </w:p>
        </w:tc>
      </w:tr>
      <w:tr>
        <w:trPr>
          <w:trHeight w:val="153"/>
        </w:trPr>
        <w:tc>
          <w:tcPr>
            <w:tcW w:w="2420" w:type="dxa"/>
            <w:vAlign w:val="bottom"/>
          </w:tcPr>
          <w:p>
            <w:pPr>
              <w:ind w:left="160"/>
              <w:spacing w:after="0"/>
              <w:rPr>
                <w:sz w:val="20"/>
                <w:szCs w:val="20"/>
                <w:color w:val="auto"/>
              </w:rPr>
            </w:pPr>
            <w:r>
              <w:rPr>
                <w:rFonts w:ascii="Arial" w:cs="Arial" w:eastAsia="Arial" w:hAnsi="Arial"/>
                <w:sz w:val="12"/>
                <w:szCs w:val="12"/>
                <w:color w:val="auto"/>
              </w:rPr>
              <w:t>Net income (loss)</w:t>
            </w:r>
          </w:p>
        </w:tc>
        <w:tc>
          <w:tcPr>
            <w:tcW w:w="560" w:type="dxa"/>
            <w:vAlign w:val="bottom"/>
          </w:tcPr>
          <w:p>
            <w:pPr>
              <w:spacing w:after="0"/>
              <w:rPr>
                <w:sz w:val="13"/>
                <w:szCs w:val="13"/>
                <w:color w:val="auto"/>
              </w:rPr>
            </w:pPr>
          </w:p>
        </w:tc>
        <w:tc>
          <w:tcPr>
            <w:tcW w:w="240" w:type="dxa"/>
            <w:vAlign w:val="bottom"/>
          </w:tcPr>
          <w:p>
            <w:pPr>
              <w:ind w:left="12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(24,275)</w:t>
            </w: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(24,275)</w:t>
            </w:r>
          </w:p>
        </w:tc>
      </w:tr>
      <w:tr>
        <w:trPr>
          <w:trHeight w:val="20"/>
        </w:trPr>
        <w:tc>
          <w:tcPr>
            <w:tcW w:w="24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42"/>
        </w:trPr>
        <w:tc>
          <w:tcPr>
            <w:tcW w:w="2420" w:type="dxa"/>
            <w:vAlign w:val="bottom"/>
            <w:shd w:val="clear" w:color="auto" w:fill="CFF0FC"/>
          </w:tcPr>
          <w:p>
            <w:pPr>
              <w:spacing w:after="0"/>
              <w:rPr>
                <w:sz w:val="20"/>
                <w:szCs w:val="20"/>
                <w:color w:val="auto"/>
              </w:rPr>
            </w:pPr>
            <w:r>
              <w:rPr>
                <w:rFonts w:ascii="Arial" w:cs="Arial" w:eastAsia="Arial" w:hAnsi="Arial"/>
                <w:sz w:val="12"/>
                <w:szCs w:val="12"/>
                <w:color w:val="auto"/>
              </w:rPr>
              <w:t>Balance as of February 28, 2021</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ind w:left="12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39,119,315</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398,018</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(127,973)</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270,133</w:t>
            </w:r>
          </w:p>
        </w:tc>
        <w:tc>
          <w:tcPr>
            <w:tcW w:w="40" w:type="dxa"/>
            <w:vAlign w:val="bottom"/>
            <w:shd w:val="clear" w:color="auto" w:fill="CFF0FC"/>
          </w:tcPr>
          <w:p>
            <w:pPr>
              <w:spacing w:after="0"/>
              <w:rPr>
                <w:sz w:val="12"/>
                <w:szCs w:val="12"/>
                <w:color w:val="auto"/>
              </w:rPr>
            </w:pPr>
          </w:p>
        </w:tc>
      </w:tr>
      <w:tr>
        <w:trPr>
          <w:trHeight w:val="133"/>
        </w:trPr>
        <w:tc>
          <w:tcPr>
            <w:tcW w:w="2420" w:type="dxa"/>
            <w:vAlign w:val="bottom"/>
          </w:tcPr>
          <w:p>
            <w:pPr>
              <w:ind w:left="160"/>
              <w:spacing w:after="0" w:line="133" w:lineRule="exact"/>
              <w:rPr>
                <w:sz w:val="20"/>
                <w:szCs w:val="20"/>
                <w:color w:val="auto"/>
              </w:rPr>
            </w:pPr>
            <w:r>
              <w:rPr>
                <w:rFonts w:ascii="Arial" w:cs="Arial" w:eastAsia="Arial" w:hAnsi="Arial"/>
                <w:sz w:val="12"/>
                <w:szCs w:val="12"/>
                <w:color w:val="auto"/>
              </w:rPr>
              <w:t>Issuance of common stock in</w:t>
            </w: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4"/>
        </w:trPr>
        <w:tc>
          <w:tcPr>
            <w:tcW w:w="2980" w:type="dxa"/>
            <w:vAlign w:val="bottom"/>
            <w:gridSpan w:val="2"/>
          </w:tcPr>
          <w:p>
            <w:pPr>
              <w:ind w:left="220"/>
              <w:spacing w:after="0"/>
              <w:rPr>
                <w:sz w:val="20"/>
                <w:szCs w:val="20"/>
                <w:color w:val="auto"/>
              </w:rPr>
            </w:pPr>
            <w:r>
              <w:rPr>
                <w:rFonts w:ascii="Arial" w:cs="Arial" w:eastAsia="Arial" w:hAnsi="Arial"/>
                <w:sz w:val="12"/>
                <w:szCs w:val="12"/>
                <w:color w:val="auto"/>
              </w:rPr>
              <w:t>connection with equity</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2980" w:type="dxa"/>
            <w:vAlign w:val="bottom"/>
            <w:gridSpan w:val="2"/>
          </w:tcPr>
          <w:p>
            <w:pPr>
              <w:ind w:left="220"/>
              <w:spacing w:after="0"/>
              <w:rPr>
                <w:sz w:val="20"/>
                <w:szCs w:val="20"/>
                <w:color w:val="auto"/>
              </w:rPr>
            </w:pPr>
            <w:r>
              <w:rPr>
                <w:rFonts w:ascii="Arial" w:cs="Arial" w:eastAsia="Arial" w:hAnsi="Arial"/>
                <w:sz w:val="12"/>
                <w:szCs w:val="12"/>
                <w:color w:val="auto"/>
              </w:rPr>
              <w:t>offering, net of offering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980" w:type="dxa"/>
            <w:vAlign w:val="bottom"/>
            <w:gridSpan w:val="2"/>
          </w:tcPr>
          <w:p>
            <w:pPr>
              <w:ind w:left="220"/>
              <w:spacing w:after="0"/>
              <w:rPr>
                <w:sz w:val="20"/>
                <w:szCs w:val="20"/>
                <w:color w:val="auto"/>
              </w:rPr>
            </w:pPr>
            <w:r>
              <w:rPr>
                <w:rFonts w:ascii="Arial" w:cs="Arial" w:eastAsia="Arial" w:hAnsi="Arial"/>
                <w:sz w:val="12"/>
                <w:szCs w:val="12"/>
                <w:color w:val="auto"/>
              </w:rPr>
              <w:t>costs of $643</w:t>
            </w:r>
          </w:p>
        </w:tc>
        <w:tc>
          <w:tcPr>
            <w:tcW w:w="4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40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5,175,000</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150,152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150,157</w:t>
            </w:r>
          </w:p>
        </w:tc>
        <w:tc>
          <w:tcPr>
            <w:tcW w:w="40" w:type="dxa"/>
            <w:vAlign w:val="bottom"/>
          </w:tcPr>
          <w:p>
            <w:pPr>
              <w:spacing w:after="0"/>
              <w:rPr>
                <w:sz w:val="13"/>
                <w:szCs w:val="13"/>
                <w:color w:val="auto"/>
              </w:rPr>
            </w:pPr>
          </w:p>
        </w:tc>
      </w:tr>
      <w:tr>
        <w:trPr>
          <w:trHeight w:val="153"/>
        </w:trPr>
        <w:tc>
          <w:tcPr>
            <w:tcW w:w="29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Exercise of stock options</w:t>
            </w:r>
          </w:p>
        </w:tc>
        <w:tc>
          <w:tcPr>
            <w:tcW w:w="46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400" w:type="dxa"/>
            <w:vAlign w:val="bottom"/>
            <w:tcBorders>
              <w:right w:val="single" w:sz="8" w:color="auto"/>
            </w:tcBorders>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109,232</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w:t>
            </w:r>
          </w:p>
        </w:tc>
        <w:tc>
          <w:tcPr>
            <w:tcW w:w="40" w:type="dxa"/>
            <w:vAlign w:val="bottom"/>
            <w:shd w:val="clear" w:color="auto" w:fill="CFF0FC"/>
          </w:tcPr>
          <w:p>
            <w:pPr>
              <w:spacing w:after="0"/>
              <w:rPr>
                <w:sz w:val="13"/>
                <w:szCs w:val="13"/>
                <w:color w:val="auto"/>
              </w:rPr>
            </w:pPr>
          </w:p>
        </w:tc>
      </w:tr>
      <w:tr>
        <w:trPr>
          <w:trHeight w:val="144"/>
        </w:trPr>
        <w:tc>
          <w:tcPr>
            <w:tcW w:w="2980" w:type="dxa"/>
            <w:vAlign w:val="bottom"/>
            <w:gridSpan w:val="2"/>
          </w:tcPr>
          <w:p>
            <w:pPr>
              <w:ind w:left="160"/>
              <w:spacing w:after="0"/>
              <w:rPr>
                <w:sz w:val="20"/>
                <w:szCs w:val="20"/>
                <w:color w:val="auto"/>
              </w:rPr>
            </w:pPr>
            <w:r>
              <w:rPr>
                <w:rFonts w:ascii="Arial" w:cs="Arial" w:eastAsia="Arial" w:hAnsi="Arial"/>
                <w:sz w:val="12"/>
                <w:szCs w:val="12"/>
                <w:color w:val="auto"/>
              </w:rPr>
              <w:t>Vesting of early-exercised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980" w:type="dxa"/>
            <w:vAlign w:val="bottom"/>
            <w:gridSpan w:val="2"/>
          </w:tcPr>
          <w:p>
            <w:pPr>
              <w:ind w:left="260"/>
              <w:spacing w:after="0"/>
              <w:rPr>
                <w:sz w:val="20"/>
                <w:szCs w:val="20"/>
                <w:color w:val="auto"/>
              </w:rPr>
            </w:pPr>
            <w:r>
              <w:rPr>
                <w:rFonts w:ascii="Arial" w:cs="Arial" w:eastAsia="Arial" w:hAnsi="Arial"/>
                <w:sz w:val="12"/>
                <w:szCs w:val="12"/>
                <w:color w:val="auto"/>
              </w:rPr>
              <w:t>stock options</w:t>
            </w:r>
          </w:p>
        </w:tc>
        <w:tc>
          <w:tcPr>
            <w:tcW w:w="4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40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104</w:t>
            </w:r>
          </w:p>
        </w:tc>
        <w:tc>
          <w:tcPr>
            <w:tcW w:w="40" w:type="dxa"/>
            <w:vAlign w:val="bottom"/>
          </w:tcPr>
          <w:p>
            <w:pPr>
              <w:spacing w:after="0"/>
              <w:rPr>
                <w:sz w:val="13"/>
                <w:szCs w:val="13"/>
                <w:color w:val="auto"/>
              </w:rPr>
            </w:pPr>
          </w:p>
        </w:tc>
      </w:tr>
      <w:tr>
        <w:trPr>
          <w:trHeight w:val="153"/>
        </w:trPr>
        <w:tc>
          <w:tcPr>
            <w:tcW w:w="29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Stock-based compensation</w:t>
            </w:r>
          </w:p>
        </w:tc>
        <w:tc>
          <w:tcPr>
            <w:tcW w:w="46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400" w:type="dxa"/>
            <w:vAlign w:val="bottom"/>
            <w:tcBorders>
              <w:right w:val="single" w:sz="8" w:color="auto"/>
            </w:tcBorders>
            <w:gridSpan w:val="2"/>
            <w:shd w:val="clear" w:color="auto" w:fill="CFF0FC"/>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3,944</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3,944</w:t>
            </w:r>
          </w:p>
        </w:tc>
        <w:tc>
          <w:tcPr>
            <w:tcW w:w="40" w:type="dxa"/>
            <w:vAlign w:val="bottom"/>
            <w:shd w:val="clear" w:color="auto" w:fill="CFF0FC"/>
          </w:tcPr>
          <w:p>
            <w:pPr>
              <w:spacing w:after="0"/>
              <w:rPr>
                <w:sz w:val="13"/>
                <w:szCs w:val="13"/>
                <w:color w:val="auto"/>
              </w:rPr>
            </w:pPr>
          </w:p>
        </w:tc>
      </w:tr>
      <w:tr>
        <w:trPr>
          <w:trHeight w:val="144"/>
        </w:trPr>
        <w:tc>
          <w:tcPr>
            <w:tcW w:w="2980" w:type="dxa"/>
            <w:vAlign w:val="bottom"/>
            <w:gridSpan w:val="2"/>
          </w:tcPr>
          <w:p>
            <w:pPr>
              <w:ind w:left="160"/>
              <w:spacing w:after="0"/>
              <w:rPr>
                <w:sz w:val="20"/>
                <w:szCs w:val="20"/>
                <w:color w:val="auto"/>
              </w:rPr>
            </w:pPr>
            <w:r>
              <w:rPr>
                <w:rFonts w:ascii="Arial" w:cs="Arial" w:eastAsia="Arial" w:hAnsi="Arial"/>
                <w:sz w:val="12"/>
                <w:szCs w:val="12"/>
                <w:color w:val="auto"/>
              </w:rPr>
              <w:t>Unrealized gain (loss) on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2980" w:type="dxa"/>
            <w:vAlign w:val="bottom"/>
            <w:gridSpan w:val="2"/>
          </w:tcPr>
          <w:p>
            <w:pPr>
              <w:ind w:left="260"/>
              <w:spacing w:after="0"/>
              <w:rPr>
                <w:sz w:val="20"/>
                <w:szCs w:val="20"/>
                <w:color w:val="auto"/>
              </w:rPr>
            </w:pPr>
            <w:r>
              <w:rPr>
                <w:rFonts w:ascii="Arial" w:cs="Arial" w:eastAsia="Arial" w:hAnsi="Arial"/>
                <w:sz w:val="12"/>
                <w:szCs w:val="12"/>
                <w:color w:val="auto"/>
              </w:rPr>
              <w:t>available-for-sale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980" w:type="dxa"/>
            <w:vAlign w:val="bottom"/>
            <w:gridSpan w:val="2"/>
          </w:tcPr>
          <w:p>
            <w:pPr>
              <w:ind w:left="260"/>
              <w:spacing w:after="0"/>
              <w:rPr>
                <w:sz w:val="20"/>
                <w:szCs w:val="20"/>
                <w:color w:val="auto"/>
              </w:rPr>
            </w:pPr>
            <w:r>
              <w:rPr>
                <w:rFonts w:ascii="Arial" w:cs="Arial" w:eastAsia="Arial" w:hAnsi="Arial"/>
                <w:sz w:val="12"/>
                <w:szCs w:val="12"/>
                <w:color w:val="auto"/>
              </w:rPr>
              <w:t>investments</w:t>
            </w:r>
          </w:p>
        </w:tc>
        <w:tc>
          <w:tcPr>
            <w:tcW w:w="4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40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(19)</w:t>
            </w:r>
          </w:p>
        </w:tc>
      </w:tr>
      <w:tr>
        <w:trPr>
          <w:trHeight w:val="153"/>
        </w:trPr>
        <w:tc>
          <w:tcPr>
            <w:tcW w:w="2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income (loss)</w:t>
            </w: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ind w:left="12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2"/>
                <w:szCs w:val="12"/>
                <w:color w:val="auto"/>
                <w:w w:val="82"/>
              </w:rPr>
              <w:t>—</w:t>
            </w:r>
          </w:p>
        </w:tc>
        <w:tc>
          <w:tcPr>
            <w:tcW w:w="2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(26,382)</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(26,382)</w:t>
            </w:r>
          </w:p>
        </w:tc>
      </w:tr>
      <w:tr>
        <w:trPr>
          <w:trHeight w:val="20"/>
        </w:trPr>
        <w:tc>
          <w:tcPr>
            <w:tcW w:w="2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2420" w:type="dxa"/>
            <w:vAlign w:val="bottom"/>
          </w:tcPr>
          <w:p>
            <w:pPr>
              <w:spacing w:after="0"/>
              <w:rPr>
                <w:sz w:val="20"/>
                <w:szCs w:val="20"/>
                <w:color w:val="auto"/>
              </w:rPr>
            </w:pPr>
            <w:r>
              <w:rPr>
                <w:rFonts w:ascii="Arial" w:cs="Arial" w:eastAsia="Arial" w:hAnsi="Arial"/>
                <w:sz w:val="12"/>
                <w:szCs w:val="12"/>
                <w:color w:val="auto"/>
              </w:rPr>
              <w:t>Balance as of May 31, 2021</w:t>
            </w:r>
          </w:p>
        </w:tc>
        <w:tc>
          <w:tcPr>
            <w:tcW w:w="560" w:type="dxa"/>
            <w:vAlign w:val="bottom"/>
          </w:tcPr>
          <w:p>
            <w:pPr>
              <w:spacing w:after="0"/>
              <w:rPr>
                <w:sz w:val="12"/>
                <w:szCs w:val="12"/>
                <w:color w:val="auto"/>
              </w:rPr>
            </w:pPr>
          </w:p>
        </w:tc>
        <w:tc>
          <w:tcPr>
            <w:tcW w:w="240" w:type="dxa"/>
            <w:vAlign w:val="bottom"/>
          </w:tcPr>
          <w:p>
            <w:pPr>
              <w:ind w:left="12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2"/>
                <w:szCs w:val="12"/>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60"/>
              <w:spacing w:after="0"/>
              <w:rPr>
                <w:sz w:val="20"/>
                <w:szCs w:val="20"/>
                <w:color w:val="auto"/>
              </w:rPr>
            </w:pPr>
            <w:r>
              <w:rPr>
                <w:rFonts w:ascii="Arial" w:cs="Arial" w:eastAsia="Arial" w:hAnsi="Arial"/>
                <w:sz w:val="12"/>
                <w:szCs w:val="12"/>
                <w:color w:val="auto"/>
                <w:w w:val="82"/>
              </w:rPr>
              <w:t>—</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44,403,547</w:t>
            </w:r>
          </w:p>
        </w:tc>
        <w:tc>
          <w:tcPr>
            <w:tcW w:w="180" w:type="dxa"/>
            <w:vAlign w:val="bottom"/>
          </w:tcPr>
          <w:p>
            <w:pPr>
              <w:spacing w:after="0"/>
              <w:rPr>
                <w:sz w:val="12"/>
                <w:szCs w:val="12"/>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44</w:t>
            </w:r>
          </w:p>
        </w:tc>
        <w:tc>
          <w:tcPr>
            <w:tcW w:w="2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552,459</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(154,355)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398,178</w:t>
            </w:r>
          </w:p>
        </w:tc>
        <w:tc>
          <w:tcPr>
            <w:tcW w:w="40" w:type="dxa"/>
            <w:vAlign w:val="bottom"/>
          </w:tcPr>
          <w:p>
            <w:pPr>
              <w:spacing w:after="0"/>
              <w:rPr>
                <w:sz w:val="12"/>
                <w:szCs w:val="12"/>
                <w:color w:val="auto"/>
              </w:rPr>
            </w:pPr>
          </w:p>
        </w:tc>
      </w:tr>
      <w:tr>
        <w:trPr>
          <w:trHeight w:val="27"/>
        </w:trPr>
        <w:tc>
          <w:tcPr>
            <w:tcW w:w="2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42545</wp:posOffset>
            </wp:positionV>
            <wp:extent cx="72148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60"/>
          </w:cols>
          <w:pgMar w:left="860" w:top="406" w:right="87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2"/>
          <w:szCs w:val="12"/>
          <w:b w:val="1"/>
          <w:bCs w:val="1"/>
          <w:color w:val="auto"/>
        </w:rPr>
        <w:t>NURIX THERAPEUTICS, INC.</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9"/>
              </w:rPr>
              <w:t>Six Months Ended May 31,</w:t>
            </w: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560" w:type="dxa"/>
            <w:vAlign w:val="bottom"/>
            <w:gridSpan w:val="2"/>
          </w:tcPr>
          <w:p>
            <w:pPr>
              <w:ind w:left="3260"/>
              <w:spacing w:after="0"/>
              <w:rPr>
                <w:sz w:val="20"/>
                <w:szCs w:val="20"/>
                <w:color w:val="auto"/>
              </w:rPr>
            </w:pPr>
            <w:r>
              <w:rPr>
                <w:rFonts w:ascii="Arial" w:cs="Arial" w:eastAsia="Arial" w:hAnsi="Arial"/>
                <w:sz w:val="10"/>
                <w:szCs w:val="10"/>
                <w:b w:val="1"/>
                <w:bCs w:val="1"/>
                <w:color w:val="auto"/>
              </w:rPr>
              <w:t>2021</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ind w:right="566"/>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66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1"/>
                <w:szCs w:val="11"/>
                <w:color w:val="auto"/>
              </w:rPr>
              <w:t>Net loss</w:t>
            </w:r>
          </w:p>
        </w:tc>
        <w:tc>
          <w:tcPr>
            <w:tcW w:w="3560" w:type="dxa"/>
            <w:vAlign w:val="bottom"/>
            <w:gridSpan w:val="2"/>
          </w:tcPr>
          <w:p>
            <w:pPr>
              <w:ind w:left="26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(50,657)</w:t>
            </w:r>
          </w:p>
        </w:tc>
        <w:tc>
          <w:tcPr>
            <w:tcW w:w="520" w:type="dxa"/>
            <w:vAlign w:val="bottom"/>
          </w:tcPr>
          <w:p>
            <w:pPr>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(4,811)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60" w:type="dxa"/>
            <w:vAlign w:val="bottom"/>
          </w:tcPr>
          <w:p>
            <w:pPr>
              <w:spacing w:after="0"/>
              <w:rPr>
                <w:sz w:val="12"/>
                <w:szCs w:val="12"/>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1"/>
                <w:szCs w:val="11"/>
                <w:color w:val="auto"/>
              </w:rPr>
              <w:t>Adjustments to reconcile net loss to net cash (used in)</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4300" w:type="dxa"/>
            <w:vAlign w:val="bottom"/>
            <w:shd w:val="clear" w:color="auto" w:fill="CFF0FC"/>
          </w:tcPr>
          <w:p>
            <w:pPr>
              <w:ind w:left="60"/>
              <w:spacing w:after="0"/>
              <w:rPr>
                <w:sz w:val="20"/>
                <w:szCs w:val="20"/>
                <w:color w:val="auto"/>
              </w:rPr>
            </w:pPr>
            <w:r>
              <w:rPr>
                <w:rFonts w:ascii="Arial" w:cs="Arial" w:eastAsia="Arial" w:hAnsi="Arial"/>
                <w:sz w:val="11"/>
                <w:szCs w:val="11"/>
                <w:color w:val="auto"/>
              </w:rPr>
              <w:t>provided by operating activities:</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ind w:left="160"/>
              <w:spacing w:after="0"/>
              <w:rPr>
                <w:sz w:val="20"/>
                <w:szCs w:val="20"/>
                <w:color w:val="auto"/>
              </w:rPr>
            </w:pPr>
            <w:r>
              <w:rPr>
                <w:rFonts w:ascii="Arial" w:cs="Arial" w:eastAsia="Arial" w:hAnsi="Arial"/>
                <w:sz w:val="11"/>
                <w:szCs w:val="11"/>
                <w:color w:val="auto"/>
              </w:rPr>
              <w:t>Depreciation and amortization</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1,288</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986</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43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Stock-based compensation</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6,644</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650</w:t>
            </w: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ind w:left="160"/>
              <w:spacing w:after="0"/>
              <w:rPr>
                <w:sz w:val="20"/>
                <w:szCs w:val="20"/>
                <w:color w:val="auto"/>
              </w:rPr>
            </w:pPr>
            <w:r>
              <w:rPr>
                <w:rFonts w:ascii="Arial" w:cs="Arial" w:eastAsia="Arial" w:hAnsi="Arial"/>
                <w:sz w:val="11"/>
                <w:szCs w:val="11"/>
                <w:color w:val="auto"/>
              </w:rPr>
              <w:t>Net amortization (accretion) of premium (discount) on investments</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566</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1"/>
                <w:szCs w:val="11"/>
                <w:color w:val="auto"/>
              </w:rPr>
              <w:t>Changes in operating assets and liabilities:</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ind w:left="160"/>
              <w:spacing w:after="0"/>
              <w:rPr>
                <w:sz w:val="20"/>
                <w:szCs w:val="20"/>
                <w:color w:val="auto"/>
              </w:rPr>
            </w:pPr>
            <w:r>
              <w:rPr>
                <w:rFonts w:ascii="Arial" w:cs="Arial" w:eastAsia="Arial" w:hAnsi="Arial"/>
                <w:sz w:val="11"/>
                <w:szCs w:val="11"/>
                <w:color w:val="auto"/>
              </w:rPr>
              <w:t>Contract assets</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7,500</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43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Accounts receivable</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(2,537)</w:t>
            </w:r>
          </w:p>
        </w:tc>
        <w:tc>
          <w:tcPr>
            <w:tcW w:w="5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ind w:left="160"/>
              <w:spacing w:after="0"/>
              <w:rPr>
                <w:sz w:val="20"/>
                <w:szCs w:val="20"/>
                <w:color w:val="auto"/>
              </w:rPr>
            </w:pPr>
            <w:r>
              <w:rPr>
                <w:rFonts w:ascii="Arial" w:cs="Arial" w:eastAsia="Arial" w:hAnsi="Arial"/>
                <w:sz w:val="11"/>
                <w:szCs w:val="11"/>
                <w:color w:val="auto"/>
              </w:rPr>
              <w:t>Income tax receivable</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704</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(19,590)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43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Prepaid expenses and other assets</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(837)</w:t>
            </w:r>
          </w:p>
        </w:tc>
        <w:tc>
          <w:tcPr>
            <w:tcW w:w="5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(2,056)</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ind w:left="160"/>
              <w:spacing w:after="0"/>
              <w:rPr>
                <w:sz w:val="20"/>
                <w:szCs w:val="20"/>
                <w:color w:val="auto"/>
              </w:rPr>
            </w:pPr>
            <w:r>
              <w:rPr>
                <w:rFonts w:ascii="Arial" w:cs="Arial" w:eastAsia="Arial" w:hAnsi="Arial"/>
                <w:sz w:val="11"/>
                <w:szCs w:val="11"/>
                <w:color w:val="auto"/>
              </w:rPr>
              <w:t>Accounts payable</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2,119</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1,745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43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Deferred revenue</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12,399</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51,454</w:t>
            </w: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ind w:left="160"/>
              <w:spacing w:after="0"/>
              <w:rPr>
                <w:sz w:val="20"/>
                <w:szCs w:val="20"/>
                <w:color w:val="auto"/>
              </w:rPr>
            </w:pPr>
            <w:r>
              <w:rPr>
                <w:rFonts w:ascii="Arial" w:cs="Arial" w:eastAsia="Arial" w:hAnsi="Arial"/>
                <w:sz w:val="11"/>
                <w:szCs w:val="11"/>
                <w:color w:val="auto"/>
              </w:rPr>
              <w:t>Accrued and other liabilities</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(671)</w:t>
            </w:r>
          </w:p>
        </w:tc>
        <w:tc>
          <w:tcPr>
            <w:tcW w:w="52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(1,885)</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300" w:type="dxa"/>
            <w:vAlign w:val="bottom"/>
            <w:vMerge w:val="restart"/>
            <w:shd w:val="clear" w:color="auto" w:fill="CFF0FC"/>
          </w:tcPr>
          <w:p>
            <w:pPr>
              <w:ind w:left="320"/>
              <w:spacing w:after="0"/>
              <w:rPr>
                <w:sz w:val="20"/>
                <w:szCs w:val="20"/>
                <w:color w:val="auto"/>
              </w:rPr>
            </w:pPr>
            <w:r>
              <w:rPr>
                <w:rFonts w:ascii="Arial" w:cs="Arial" w:eastAsia="Arial" w:hAnsi="Arial"/>
                <w:sz w:val="11"/>
                <w:szCs w:val="11"/>
                <w:color w:val="auto"/>
              </w:rPr>
              <w:t>Net cash (used in) provided by operating activities</w:t>
            </w:r>
          </w:p>
        </w:tc>
        <w:tc>
          <w:tcPr>
            <w:tcW w:w="26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60" w:type="dxa"/>
            <w:vAlign w:val="bottom"/>
          </w:tcPr>
          <w:p>
            <w:pPr>
              <w:spacing w:after="0"/>
              <w:rPr>
                <w:sz w:val="11"/>
                <w:szCs w:val="11"/>
                <w:color w:val="auto"/>
              </w:rPr>
            </w:pPr>
          </w:p>
        </w:tc>
        <w:tc>
          <w:tcPr>
            <w:tcW w:w="4300" w:type="dxa"/>
            <w:vAlign w:val="bottom"/>
            <w:vMerge w:val="continue"/>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(23,482)</w:t>
            </w:r>
          </w:p>
        </w:tc>
        <w:tc>
          <w:tcPr>
            <w:tcW w:w="5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26,543</w:t>
            </w:r>
          </w:p>
        </w:tc>
        <w:tc>
          <w:tcPr>
            <w:tcW w:w="100" w:type="dxa"/>
            <w:vAlign w:val="bottom"/>
            <w:shd w:val="clear" w:color="auto" w:fill="CFF0FC"/>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430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6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1"/>
                <w:szCs w:val="11"/>
                <w:color w:val="auto"/>
              </w:rPr>
              <w:t>Purchases of investments</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(183,238)</w:t>
            </w:r>
          </w:p>
        </w:tc>
        <w:tc>
          <w:tcPr>
            <w:tcW w:w="5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(29,640)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1"/>
                <w:szCs w:val="11"/>
                <w:color w:val="auto"/>
              </w:rPr>
              <w:t>Sales of investments</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6,994</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1"/>
                <w:szCs w:val="11"/>
                <w:color w:val="auto"/>
              </w:rPr>
              <w:t>Maturities of investments</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119,681</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9,857</w:t>
            </w: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1"/>
                <w:szCs w:val="11"/>
                <w:color w:val="auto"/>
              </w:rPr>
              <w:t>Purchases of property and equipment</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(2,934)</w:t>
            </w:r>
          </w:p>
        </w:tc>
        <w:tc>
          <w:tcPr>
            <w:tcW w:w="52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(1,977)</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300" w:type="dxa"/>
            <w:vAlign w:val="bottom"/>
            <w:vMerge w:val="restart"/>
            <w:shd w:val="clear" w:color="auto" w:fill="CFF0FC"/>
          </w:tcPr>
          <w:p>
            <w:pPr>
              <w:ind w:left="320"/>
              <w:spacing w:after="0"/>
              <w:rPr>
                <w:sz w:val="20"/>
                <w:szCs w:val="20"/>
                <w:color w:val="auto"/>
              </w:rPr>
            </w:pPr>
            <w:r>
              <w:rPr>
                <w:rFonts w:ascii="Arial" w:cs="Arial" w:eastAsia="Arial" w:hAnsi="Arial"/>
                <w:sz w:val="11"/>
                <w:szCs w:val="11"/>
                <w:color w:val="auto"/>
              </w:rPr>
              <w:t>Net cash used in investing activities</w:t>
            </w:r>
          </w:p>
        </w:tc>
        <w:tc>
          <w:tcPr>
            <w:tcW w:w="26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60" w:type="dxa"/>
            <w:vAlign w:val="bottom"/>
          </w:tcPr>
          <w:p>
            <w:pPr>
              <w:spacing w:after="0"/>
              <w:rPr>
                <w:sz w:val="11"/>
                <w:szCs w:val="11"/>
                <w:color w:val="auto"/>
              </w:rPr>
            </w:pPr>
          </w:p>
        </w:tc>
        <w:tc>
          <w:tcPr>
            <w:tcW w:w="4300" w:type="dxa"/>
            <w:vAlign w:val="bottom"/>
            <w:vMerge w:val="continue"/>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(59,497)</w:t>
            </w:r>
          </w:p>
        </w:tc>
        <w:tc>
          <w:tcPr>
            <w:tcW w:w="5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(21,760)</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4300" w:type="dxa"/>
            <w:vAlign w:val="bottom"/>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6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60" w:type="dxa"/>
            <w:vAlign w:val="bottom"/>
          </w:tcPr>
          <w:p>
            <w:pPr>
              <w:spacing w:after="0"/>
              <w:rPr>
                <w:sz w:val="12"/>
                <w:szCs w:val="12"/>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1"/>
                <w:szCs w:val="11"/>
                <w:color w:val="auto"/>
              </w:rPr>
              <w:t>Proceeds from issuance of redeemable convertible preferred stock,</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4300" w:type="dxa"/>
            <w:vAlign w:val="bottom"/>
            <w:shd w:val="clear" w:color="auto" w:fill="CFF0FC"/>
          </w:tcPr>
          <w:p>
            <w:pPr>
              <w:ind w:left="60"/>
              <w:spacing w:after="0"/>
              <w:rPr>
                <w:sz w:val="20"/>
                <w:szCs w:val="20"/>
                <w:color w:val="auto"/>
              </w:rPr>
            </w:pPr>
            <w:r>
              <w:rPr>
                <w:rFonts w:ascii="Arial" w:cs="Arial" w:eastAsia="Arial" w:hAnsi="Arial"/>
                <w:sz w:val="11"/>
                <w:szCs w:val="11"/>
                <w:color w:val="auto"/>
              </w:rPr>
              <w:t>net of offering costs</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119,914</w:t>
            </w: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1"/>
                <w:szCs w:val="11"/>
                <w:color w:val="auto"/>
              </w:rPr>
              <w:t>Proceeds from issuance of common stock, net of offering costs</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150,157</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1"/>
                <w:szCs w:val="11"/>
                <w:color w:val="auto"/>
              </w:rPr>
              <w:t>Proceeds from exercise of stock options</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631</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1"/>
                <w:szCs w:val="11"/>
                <w:color w:val="auto"/>
              </w:rPr>
              <w:t>Repurchase of unvested early exercised stock options</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(1)</w:t>
            </w:r>
          </w:p>
        </w:tc>
        <w:tc>
          <w:tcPr>
            <w:tcW w:w="52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1"/>
                <w:szCs w:val="11"/>
                <w:color w:val="auto"/>
              </w:rPr>
              <w:t>Proceeds from issuance under Employee Stock Purchase Plan</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1,043</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1"/>
                <w:szCs w:val="11"/>
                <w:color w:val="auto"/>
              </w:rPr>
              <w:t>Payments of deferred offering costs</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(360)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430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1"/>
                <w:szCs w:val="11"/>
                <w:color w:val="auto"/>
              </w:rPr>
              <w:t>Net cash provided by financing activities</w:t>
            </w:r>
          </w:p>
        </w:tc>
        <w:tc>
          <w:tcPr>
            <w:tcW w:w="266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151,830</w:t>
            </w:r>
          </w:p>
        </w:tc>
        <w:tc>
          <w:tcPr>
            <w:tcW w:w="26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119,730</w:t>
            </w:r>
          </w:p>
        </w:tc>
        <w:tc>
          <w:tcPr>
            <w:tcW w:w="100" w:type="dxa"/>
            <w:vAlign w:val="bottom"/>
            <w:tcBorders>
              <w:top w:val="single" w:sz="8" w:color="CFF0FC"/>
            </w:tcBorders>
            <w:shd w:val="clear" w:color="auto" w:fill="CFF0FC"/>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4300" w:type="dxa"/>
            <w:vAlign w:val="bottom"/>
          </w:tcPr>
          <w:p>
            <w:pPr>
              <w:spacing w:after="0"/>
              <w:rPr>
                <w:sz w:val="20"/>
                <w:szCs w:val="20"/>
                <w:color w:val="auto"/>
              </w:rPr>
            </w:pPr>
            <w:r>
              <w:rPr>
                <w:rFonts w:ascii="Arial" w:cs="Arial" w:eastAsia="Arial" w:hAnsi="Arial"/>
                <w:sz w:val="11"/>
                <w:szCs w:val="11"/>
                <w:color w:val="auto"/>
              </w:rPr>
              <w:t>Net increase in cash, cash equivalents and restricted cash</w:t>
            </w:r>
          </w:p>
        </w:tc>
        <w:tc>
          <w:tcPr>
            <w:tcW w:w="2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68,851</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124,513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1"/>
                <w:szCs w:val="11"/>
                <w:color w:val="auto"/>
              </w:rPr>
              <w:t>Cash, cash equivalents and restricted cash at beginning of period</w:t>
            </w:r>
          </w:p>
        </w:tc>
        <w:tc>
          <w:tcPr>
            <w:tcW w:w="2660" w:type="dxa"/>
            <w:vAlign w:val="bottom"/>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119,526</w:t>
            </w:r>
          </w:p>
        </w:tc>
        <w:tc>
          <w:tcPr>
            <w:tcW w:w="260" w:type="dxa"/>
            <w:vAlign w:val="bottom"/>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34,986</w:t>
            </w: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1"/>
                <w:szCs w:val="11"/>
                <w:color w:val="auto"/>
              </w:rPr>
              <w:t>Cash, cash equivalents and restricted cash at end of period</w:t>
            </w:r>
          </w:p>
        </w:tc>
        <w:tc>
          <w:tcPr>
            <w:tcW w:w="3560" w:type="dxa"/>
            <w:vAlign w:val="bottom"/>
            <w:gridSpan w:val="2"/>
          </w:tcPr>
          <w:p>
            <w:pPr>
              <w:ind w:left="26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188,377</w:t>
            </w:r>
          </w:p>
        </w:tc>
        <w:tc>
          <w:tcPr>
            <w:tcW w:w="26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159,499</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Supplemental disclosures of non-cash investing and financing activities:</w:t>
            </w:r>
          </w:p>
        </w:tc>
        <w:tc>
          <w:tcPr>
            <w:tcW w:w="26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1"/>
                <w:szCs w:val="11"/>
                <w:color w:val="auto"/>
              </w:rPr>
              <w:t>Additions to property and equipment included in accounts payable</w:t>
            </w: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4300" w:type="dxa"/>
            <w:vAlign w:val="bottom"/>
            <w:tcBorders>
              <w:bottom w:val="single" w:sz="8" w:color="CFF0FC"/>
            </w:tcBorders>
          </w:tcPr>
          <w:p>
            <w:pPr>
              <w:ind w:left="80"/>
              <w:spacing w:after="0"/>
              <w:rPr>
                <w:sz w:val="20"/>
                <w:szCs w:val="20"/>
                <w:color w:val="auto"/>
              </w:rPr>
            </w:pPr>
            <w:r>
              <w:rPr>
                <w:rFonts w:ascii="Arial" w:cs="Arial" w:eastAsia="Arial" w:hAnsi="Arial"/>
                <w:sz w:val="11"/>
                <w:szCs w:val="11"/>
                <w:color w:val="auto"/>
              </w:rPr>
              <w:t>and accrued liabilities</w:t>
            </w:r>
          </w:p>
        </w:tc>
        <w:tc>
          <w:tcPr>
            <w:tcW w:w="3560" w:type="dxa"/>
            <w:vAlign w:val="bottom"/>
            <w:tcBorders>
              <w:bottom w:val="single" w:sz="8" w:color="CFF0FC"/>
            </w:tcBorders>
            <w:gridSpan w:val="2"/>
          </w:tcPr>
          <w:p>
            <w:pPr>
              <w:ind w:left="266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607</w:t>
            </w:r>
          </w:p>
        </w:tc>
        <w:tc>
          <w:tcPr>
            <w:tcW w:w="26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927</w:t>
            </w:r>
          </w:p>
        </w:tc>
        <w:tc>
          <w:tcPr>
            <w:tcW w:w="100" w:type="dxa"/>
            <w:vAlign w:val="bottom"/>
            <w:tcBorders>
              <w:bottom w:val="single" w:sz="8" w:color="CFF0FC"/>
            </w:tcBorders>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1"/>
                <w:szCs w:val="11"/>
                <w:color w:val="auto"/>
              </w:rPr>
              <w:t>Vesting of early exercised stock options</w:t>
            </w:r>
          </w:p>
        </w:tc>
        <w:tc>
          <w:tcPr>
            <w:tcW w:w="3560" w:type="dxa"/>
            <w:vAlign w:val="bottom"/>
            <w:gridSpan w:val="2"/>
            <w:shd w:val="clear" w:color="auto" w:fill="CFF0FC"/>
          </w:tcPr>
          <w:p>
            <w:pPr>
              <w:ind w:left="2660"/>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144</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300" w:type="dxa"/>
            <w:vAlign w:val="bottom"/>
            <w:tcBorders>
              <w:top w:val="single" w:sz="8" w:color="CFF0FC"/>
            </w:tcBorders>
            <w:vMerge w:val="restart"/>
          </w:tcPr>
          <w:p>
            <w:pPr>
              <w:spacing w:after="0"/>
              <w:rPr>
                <w:sz w:val="20"/>
                <w:szCs w:val="20"/>
                <w:color w:val="auto"/>
              </w:rPr>
            </w:pPr>
            <w:r>
              <w:rPr>
                <w:rFonts w:ascii="Arial" w:cs="Arial" w:eastAsia="Arial" w:hAnsi="Arial"/>
                <w:sz w:val="11"/>
                <w:szCs w:val="11"/>
                <w:color w:val="auto"/>
              </w:rPr>
              <w:t>Deferred offering costs included in accounts payable and accrued liabilities</w:t>
            </w:r>
          </w:p>
        </w:tc>
        <w:tc>
          <w:tcPr>
            <w:tcW w:w="26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60" w:type="dxa"/>
            <w:vAlign w:val="bottom"/>
          </w:tcPr>
          <w:p>
            <w:pPr>
              <w:spacing w:after="0"/>
              <w:rPr>
                <w:sz w:val="12"/>
                <w:szCs w:val="12"/>
                <w:color w:val="auto"/>
              </w:rPr>
            </w:pPr>
          </w:p>
        </w:tc>
        <w:tc>
          <w:tcPr>
            <w:tcW w:w="4300" w:type="dxa"/>
            <w:vAlign w:val="bottom"/>
            <w:vMerge w:val="continue"/>
          </w:tcPr>
          <w:p>
            <w:pPr>
              <w:spacing w:after="0"/>
              <w:rPr>
                <w:sz w:val="12"/>
                <w:szCs w:val="12"/>
                <w:color w:val="auto"/>
              </w:rPr>
            </w:pPr>
          </w:p>
        </w:tc>
        <w:tc>
          <w:tcPr>
            <w:tcW w:w="3560" w:type="dxa"/>
            <w:vAlign w:val="bottom"/>
            <w:gridSpan w:val="2"/>
          </w:tcPr>
          <w:p>
            <w:pPr>
              <w:ind w:left="26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916</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5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7"/>
              </w:rPr>
              <w:t>As of May 31,</w:t>
            </w: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560" w:type="dxa"/>
            <w:vAlign w:val="bottom"/>
            <w:gridSpan w:val="2"/>
          </w:tcPr>
          <w:p>
            <w:pPr>
              <w:ind w:left="3260"/>
              <w:spacing w:after="0"/>
              <w:rPr>
                <w:sz w:val="20"/>
                <w:szCs w:val="20"/>
                <w:color w:val="auto"/>
              </w:rPr>
            </w:pPr>
            <w:r>
              <w:rPr>
                <w:rFonts w:ascii="Arial" w:cs="Arial" w:eastAsia="Arial" w:hAnsi="Arial"/>
                <w:sz w:val="10"/>
                <w:szCs w:val="10"/>
                <w:b w:val="1"/>
                <w:bCs w:val="1"/>
                <w:color w:val="auto"/>
              </w:rPr>
              <w:t>2021</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ind w:right="566"/>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430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Reconciliation of cash, cash equivalents, and restricted cash as shown</w:t>
            </w:r>
          </w:p>
        </w:tc>
        <w:tc>
          <w:tcPr>
            <w:tcW w:w="266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4300" w:type="dxa"/>
            <w:vAlign w:val="bottom"/>
            <w:shd w:val="clear" w:color="auto" w:fill="CFF0FC"/>
          </w:tcPr>
          <w:p>
            <w:pPr>
              <w:ind w:left="80"/>
              <w:spacing w:after="0"/>
              <w:rPr>
                <w:sz w:val="20"/>
                <w:szCs w:val="20"/>
                <w:color w:val="auto"/>
              </w:rPr>
            </w:pPr>
            <w:r>
              <w:rPr>
                <w:rFonts w:ascii="Arial" w:cs="Arial" w:eastAsia="Arial" w:hAnsi="Arial"/>
                <w:sz w:val="12"/>
                <w:szCs w:val="12"/>
                <w:b w:val="1"/>
                <w:bCs w:val="1"/>
                <w:color w:val="auto"/>
              </w:rPr>
              <w:t>in the statements of cash flows:</w:t>
            </w:r>
          </w:p>
        </w:tc>
        <w:tc>
          <w:tcPr>
            <w:tcW w:w="26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3560" w:type="dxa"/>
            <w:vAlign w:val="bottom"/>
            <w:gridSpan w:val="2"/>
          </w:tcPr>
          <w:p>
            <w:pPr>
              <w:ind w:left="266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188,207</w:t>
            </w:r>
          </w:p>
        </w:tc>
        <w:tc>
          <w:tcPr>
            <w:tcW w:w="26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159,329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2"/>
                <w:szCs w:val="12"/>
                <w:color w:val="auto"/>
              </w:rPr>
              <w:t>Restricted cash</w:t>
            </w:r>
          </w:p>
        </w:tc>
        <w:tc>
          <w:tcPr>
            <w:tcW w:w="266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w:t>
            </w:r>
          </w:p>
        </w:tc>
        <w:tc>
          <w:tcPr>
            <w:tcW w:w="26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Total cash, cash equivalents and restricted cash</w:t>
            </w:r>
          </w:p>
        </w:tc>
        <w:tc>
          <w:tcPr>
            <w:tcW w:w="3560" w:type="dxa"/>
            <w:vAlign w:val="bottom"/>
            <w:gridSpan w:val="2"/>
          </w:tcPr>
          <w:p>
            <w:pPr>
              <w:ind w:left="266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188,377</w:t>
            </w:r>
          </w:p>
        </w:tc>
        <w:tc>
          <w:tcPr>
            <w:tcW w:w="26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159,499</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60" w:type="dxa"/>
            <w:vAlign w:val="bottom"/>
          </w:tcPr>
          <w:p>
            <w:pPr>
              <w:spacing w:after="0"/>
              <w:rPr>
                <w:sz w:val="14"/>
                <w:szCs w:val="14"/>
                <w:color w:val="auto"/>
              </w:rPr>
            </w:pPr>
          </w:p>
        </w:tc>
        <w:tc>
          <w:tcPr>
            <w:tcW w:w="7860" w:type="dxa"/>
            <w:vAlign w:val="bottom"/>
            <w:gridSpan w:val="3"/>
          </w:tcPr>
          <w:p>
            <w:pPr>
              <w:ind w:left="2460"/>
              <w:spacing w:after="0"/>
              <w:rPr>
                <w:sz w:val="20"/>
                <w:szCs w:val="20"/>
                <w:color w:val="auto"/>
              </w:rPr>
            </w:pPr>
            <w:r>
              <w:rPr>
                <w:rFonts w:ascii="Arial" w:cs="Arial" w:eastAsia="Arial" w:hAnsi="Arial"/>
                <w:sz w:val="12"/>
                <w:szCs w:val="12"/>
                <w:color w:val="auto"/>
                <w:w w:val="91"/>
              </w:rPr>
              <w:t>The accompanying notes are an integral part of these unaudited condensed consolidated financial statements.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60" w:type="dxa"/>
            <w:vAlign w:val="bottom"/>
          </w:tcPr>
          <w:p>
            <w:pPr>
              <w:ind w:left="760"/>
              <w:spacing w:after="0"/>
              <w:rPr>
                <w:sz w:val="20"/>
                <w:szCs w:val="20"/>
                <w:color w:val="auto"/>
              </w:rPr>
            </w:pPr>
            <w:r>
              <w:rPr>
                <w:rFonts w:ascii="Arial" w:cs="Arial" w:eastAsia="Arial" w:hAnsi="Arial"/>
                <w:sz w:val="12"/>
                <w:szCs w:val="12"/>
                <w:color w:val="auto"/>
              </w:rPr>
              <w:t>6</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4300" w:type="dxa"/>
            <w:vAlign w:val="bottom"/>
            <w:tcBorders>
              <w:bottom w:val="single" w:sz="8" w:color="9A9A9A"/>
            </w:tcBorders>
          </w:tcPr>
          <w:p>
            <w:pPr>
              <w:spacing w:after="0"/>
              <w:rPr>
                <w:sz w:val="6"/>
                <w:szCs w:val="6"/>
                <w:color w:val="auto"/>
              </w:rPr>
            </w:pPr>
          </w:p>
        </w:tc>
        <w:tc>
          <w:tcPr>
            <w:tcW w:w="26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415"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NURIX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Business</w:t>
      </w:r>
    </w:p>
    <w:p>
      <w:pPr>
        <w:spacing w:after="0" w:line="78"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Nurix Therapeutics, Inc. (the Company) previously known as Nurix, Inc., was incorporated in the state of Delaware on August 27, 2009 and is headquartered in San Francisco, California. The Company is a biopharmaceutical company focused on the discovery, development and commercialization of small molecule therapies designed to modulate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to treat disease.</w:t>
      </w:r>
    </w:p>
    <w:p>
      <w:pPr>
        <w:spacing w:after="0" w:line="56" w:lineRule="exact"/>
        <w:rPr>
          <w:sz w:val="20"/>
          <w:szCs w:val="20"/>
          <w:color w:val="auto"/>
        </w:rPr>
      </w:pPr>
    </w:p>
    <w:p>
      <w:pPr>
        <w:ind w:right="80" w:firstLine="513"/>
        <w:spacing w:after="0" w:line="276" w:lineRule="auto"/>
        <w:rPr>
          <w:sz w:val="20"/>
          <w:szCs w:val="20"/>
          <w:color w:val="auto"/>
        </w:rPr>
      </w:pPr>
      <w:r>
        <w:rPr>
          <w:rFonts w:ascii="Arial" w:cs="Arial" w:eastAsia="Arial" w:hAnsi="Arial"/>
          <w:sz w:val="12"/>
          <w:szCs w:val="12"/>
          <w:color w:val="auto"/>
        </w:rPr>
        <w:t>The Company wholly owns a subsidiary, DeCART Therapeutics Inc. (DeCART), which was incorporated in the state of Delaware on June 22, 2020 and which holds a license to three of the Company’s compounds, including NX-0255, for drug-enhanced isolation of T cells exclusively with respect to three CAR-T therapy targets.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Initial Public Offering</w:t>
      </w:r>
    </w:p>
    <w:p>
      <w:pPr>
        <w:spacing w:after="0" w:line="78" w:lineRule="exact"/>
        <w:rPr>
          <w:sz w:val="20"/>
          <w:szCs w:val="20"/>
          <w:color w:val="auto"/>
        </w:rPr>
      </w:pPr>
    </w:p>
    <w:p>
      <w:pPr>
        <w:ind w:right="80" w:firstLine="513"/>
        <w:spacing w:after="0" w:line="256" w:lineRule="auto"/>
        <w:rPr>
          <w:sz w:val="20"/>
          <w:szCs w:val="20"/>
          <w:color w:val="auto"/>
        </w:rPr>
      </w:pPr>
      <w:r>
        <w:rPr>
          <w:rFonts w:ascii="Arial" w:cs="Arial" w:eastAsia="Arial" w:hAnsi="Arial"/>
          <w:sz w:val="12"/>
          <w:szCs w:val="12"/>
          <w:color w:val="auto"/>
        </w:rPr>
        <w:t>On July 23, 2020, the Company’s registration statement on Form S-1 (File No. 333-239651) relating to its initial public offering (IPO) of common stock became effective. The IPO closed on July 28, 2020 at which time the Company issued 11,000,000 shares of its common stock at a price to the public of $19.00 per share. In addition, the underwriters exercised their option to purchase an additional 1,550,000 shares of the Company’s common stock on July 31, 2020, and this transaction closed on August 4, 2020. Immediately prior to the closing of the IPO, all outstanding shares of the Company’s redeemable convertible preferred stock automatically converted into 22,245,251 shares of common stock. Net proceeds from the IPO, including the exercise of the underwriters’ option to purchase additional shares, were $218.1 million, after deducting underwriting discounts and commissions of $16.7 million and expenses of $3.6 million.</w:t>
      </w:r>
    </w:p>
    <w:p>
      <w:pPr>
        <w:spacing w:after="0" w:line="56" w:lineRule="exact"/>
        <w:rPr>
          <w:sz w:val="20"/>
          <w:szCs w:val="20"/>
          <w:color w:val="auto"/>
        </w:rPr>
      </w:pPr>
    </w:p>
    <w:p>
      <w:pPr>
        <w:ind w:right="240" w:firstLine="513"/>
        <w:spacing w:after="0" w:line="276" w:lineRule="auto"/>
        <w:rPr>
          <w:sz w:val="20"/>
          <w:szCs w:val="20"/>
          <w:color w:val="auto"/>
        </w:rPr>
      </w:pPr>
      <w:r>
        <w:rPr>
          <w:rFonts w:ascii="Arial" w:cs="Arial" w:eastAsia="Arial" w:hAnsi="Arial"/>
          <w:sz w:val="12"/>
          <w:szCs w:val="12"/>
          <w:color w:val="auto"/>
        </w:rPr>
        <w:t>Subsequent to the closing of the IPO, there were no shares of preferred stock outstanding. In connection with the closing of the IPO, the Company restated its Restated Certificate of Incorporation to change the authorized capital stock to 500,000,000 shares designated as common stock, and 10,000,000 shares designated as preferred stock, all with a par value of $0.001 per share.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Follow-on Offering</w:t>
      </w:r>
    </w:p>
    <w:p>
      <w:pPr>
        <w:spacing w:after="0" w:line="78" w:lineRule="exact"/>
        <w:rPr>
          <w:sz w:val="20"/>
          <w:szCs w:val="20"/>
          <w:color w:val="auto"/>
        </w:rPr>
      </w:pPr>
    </w:p>
    <w:p>
      <w:pPr>
        <w:ind w:right="260" w:firstLine="513"/>
        <w:spacing w:after="0" w:line="323" w:lineRule="auto"/>
        <w:rPr>
          <w:sz w:val="20"/>
          <w:szCs w:val="20"/>
          <w:color w:val="auto"/>
        </w:rPr>
      </w:pPr>
      <w:r>
        <w:rPr>
          <w:rFonts w:ascii="Arial" w:cs="Arial" w:eastAsia="Arial" w:hAnsi="Arial"/>
          <w:sz w:val="11"/>
          <w:szCs w:val="11"/>
          <w:color w:val="auto"/>
        </w:rPr>
        <w:t>In March 2021, the Company completed a follow-on offering and issued 5,175,000 shares of common stock (including the exercise by the underwriters of their option to purchase an additional 675,000 shares of common stock) at a price to the public of $31.00 per share for net proceeds of approximately $150.1 million, after deducting underwriting discounts and commissions of $9.6 million and expenses of $0.7 million.</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w:t>
      </w:r>
    </w:p>
    <w:p>
      <w:pPr>
        <w:spacing w:after="0" w:line="78"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The Company’s operations have historically been financed through the issuance of common and redeemable convertible preferred stock and proceeds received under the Company’s collaboration and license agreements. Since inception, the Company has generally incurred significant losses and negative net cash flows from operations. During the six months ended May 31, 2021, the Company incurred a net loss of $50.7 million and had negative net cash flows from operating activities of $23.5 million. The Company had an accumulated deficit of $154.4 million as of May 31, 2021 and will require substantial additional capital for research and development activities. The Company anticipates incurring additional losses until such time, if ever, that it can generate significant sales of its drug candidates currently in development. As of May 31, 2021, the Company had cash, cash equivalents and investments of $496.5 million.</w:t>
      </w:r>
    </w:p>
    <w:p>
      <w:pPr>
        <w:spacing w:after="0" w:line="56" w:lineRule="exact"/>
        <w:rPr>
          <w:sz w:val="20"/>
          <w:szCs w:val="20"/>
          <w:color w:val="auto"/>
        </w:rPr>
      </w:pPr>
    </w:p>
    <w:p>
      <w:pPr>
        <w:ind w:right="80" w:firstLine="513"/>
        <w:spacing w:after="0" w:line="256" w:lineRule="auto"/>
        <w:rPr>
          <w:sz w:val="20"/>
          <w:szCs w:val="20"/>
          <w:color w:val="auto"/>
        </w:rPr>
      </w:pPr>
      <w:r>
        <w:rPr>
          <w:rFonts w:ascii="Arial" w:cs="Arial" w:eastAsia="Arial" w:hAnsi="Arial"/>
          <w:sz w:val="12"/>
          <w:szCs w:val="12"/>
          <w:color w:val="auto"/>
        </w:rPr>
        <w:t>Management believes that its cash, cash equivalents and investments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S.A. (Sanofi) and Gilead Sciences, Inc.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firstLine="513"/>
        <w:spacing w:after="0" w:line="313" w:lineRule="auto"/>
        <w:rPr>
          <w:sz w:val="20"/>
          <w:szCs w:val="20"/>
          <w:color w:val="auto"/>
        </w:rPr>
      </w:pPr>
      <w:r>
        <w:rPr>
          <w:rFonts w:ascii="Arial" w:cs="Arial" w:eastAsia="Arial" w:hAnsi="Arial"/>
          <w:sz w:val="10"/>
          <w:szCs w:val="10"/>
          <w:color w:val="auto"/>
        </w:rPr>
        <w:t>The Company’s condensed consolidated financial statements have been prepared in accordance with U.S. generally accepted accounting principles (U.S. GAAP) and applicable rules and regulations of the Securities and Exchange Commission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six months ended May 31, 2021. The condensed consolidated balance sheet as of November 30, 2020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2020, as filed with the SEC. These interim results are not necessarily indicative of results to be expected for the full fiscal year or any future interim period.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78" w:lineRule="exact"/>
        <w:rPr>
          <w:sz w:val="20"/>
          <w:szCs w:val="20"/>
          <w:color w:val="auto"/>
        </w:rPr>
      </w:pPr>
    </w:p>
    <w:p>
      <w:pPr>
        <w:ind w:right="60" w:firstLine="513"/>
        <w:spacing w:after="0" w:line="276" w:lineRule="auto"/>
        <w:rPr>
          <w:sz w:val="20"/>
          <w:szCs w:val="20"/>
          <w:color w:val="auto"/>
        </w:rPr>
      </w:pPr>
      <w:r>
        <w:rPr>
          <w:rFonts w:ascii="Arial" w:cs="Arial" w:eastAsia="Arial" w:hAnsi="Arial"/>
          <w:sz w:val="12"/>
          <w:szCs w:val="12"/>
          <w:color w:val="auto"/>
        </w:rPr>
        <w:t>The accompanying condensed consolidated financial statements include the accounts of Nurix Therapeutics, Inc. and its wholly owned subsidiaries, including DeCART. All intercompany balances and transactions have been eliminated in consolidation.</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Reverse Stock Split</w:t>
      </w:r>
    </w:p>
    <w:p>
      <w:pPr>
        <w:spacing w:after="0" w:line="78"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On July 17, 2020, the Company filed an amendment to the Company’s amended and restated certificate of incorporation to effect a reverse split of shares of the Company’s common stock and redeemable convertible preferred stock, each on a 1-for-3 basis (reverse stock split). The par value and authorized shares of the common stock and redeemable convertible preferred stock were not adjusted as a result of the reverse stock split. All issued and outstanding common stock, options to purchase common stock and per share amounts contained in the condensed consolidated financial statements have been retroactively adjusted to give effect to the reverse stock split for all periods presented.</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ind w:right="60" w:firstLine="513"/>
        <w:spacing w:after="0" w:line="259"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differ materially from those estimates.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78" w:lineRule="exact"/>
        <w:rPr>
          <w:sz w:val="20"/>
          <w:szCs w:val="20"/>
          <w:color w:val="auto"/>
        </w:rPr>
      </w:pPr>
    </w:p>
    <w:p>
      <w:pPr>
        <w:ind w:right="60" w:firstLine="513"/>
        <w:spacing w:after="0" w:line="298" w:lineRule="auto"/>
        <w:rPr>
          <w:sz w:val="20"/>
          <w:szCs w:val="20"/>
          <w:color w:val="auto"/>
        </w:rPr>
      </w:pPr>
      <w:r>
        <w:rPr>
          <w:rFonts w:ascii="Arial" w:cs="Arial" w:eastAsia="Arial" w:hAnsi="Arial"/>
          <w:sz w:val="11"/>
          <w:szCs w:val="11"/>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at times, exceed federally insured limits, but minimal credit risk exists. The Company invests its cash equivalents in highly rated money market funds. The Company has not experienced any credit losses on its deposits of cash and cash equivalents.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Risks and Uncertainties</w:t>
      </w:r>
    </w:p>
    <w:p>
      <w:pPr>
        <w:spacing w:after="0" w:line="78" w:lineRule="exact"/>
        <w:rPr>
          <w:sz w:val="20"/>
          <w:szCs w:val="20"/>
          <w:color w:val="auto"/>
        </w:rPr>
      </w:pPr>
    </w:p>
    <w:p>
      <w:pPr>
        <w:ind w:right="80" w:firstLine="513"/>
        <w:spacing w:after="0" w:line="256" w:lineRule="auto"/>
        <w:rPr>
          <w:sz w:val="20"/>
          <w:szCs w:val="20"/>
          <w:color w:val="auto"/>
        </w:rPr>
      </w:pPr>
      <w:r>
        <w:rPr>
          <w:rFonts w:ascii="Arial" w:cs="Arial" w:eastAsia="Arial" w:hAnsi="Arial"/>
          <w:sz w:val="12"/>
          <w:szCs w:val="12"/>
          <w:color w:val="auto"/>
        </w:rPr>
        <w:t>The Company is subject to a number of risks similar to other early-stage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56" w:lineRule="exact"/>
        <w:rPr>
          <w:sz w:val="20"/>
          <w:szCs w:val="20"/>
          <w:color w:val="auto"/>
        </w:rPr>
      </w:pPr>
    </w:p>
    <w:p>
      <w:pPr>
        <w:ind w:right="160" w:firstLine="513"/>
        <w:spacing w:after="0" w:line="276" w:lineRule="auto"/>
        <w:rPr>
          <w:sz w:val="20"/>
          <w:szCs w:val="20"/>
          <w:color w:val="auto"/>
        </w:rPr>
      </w:pPr>
      <w:r>
        <w:rPr>
          <w:rFonts w:ascii="Arial" w:cs="Arial" w:eastAsia="Arial" w:hAnsi="Arial"/>
          <w:sz w:val="12"/>
          <w:szCs w:val="12"/>
          <w:color w:val="auto"/>
        </w:rPr>
        <w:t>Moreover, 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5" w:right="319"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COVID-19 pandemic will impact the Company’s business will depend on future developments that are highly uncertain and cannot be predicted at this time.</w:t>
      </w:r>
    </w:p>
    <w:p>
      <w:pPr>
        <w:spacing w:after="0" w:line="78" w:lineRule="exact"/>
        <w:rPr>
          <w:sz w:val="20"/>
          <w:szCs w:val="20"/>
          <w:color w:val="auto"/>
        </w:rPr>
      </w:pPr>
    </w:p>
    <w:p>
      <w:pPr>
        <w:jc w:val="both"/>
        <w:ind w:right="120" w:firstLine="513"/>
        <w:spacing w:after="0" w:line="259" w:lineRule="auto"/>
        <w:rPr>
          <w:sz w:val="20"/>
          <w:szCs w:val="20"/>
          <w:color w:val="auto"/>
        </w:rPr>
      </w:pPr>
      <w:r>
        <w:rPr>
          <w:rFonts w:ascii="Arial" w:cs="Arial" w:eastAsia="Arial" w:hAnsi="Arial"/>
          <w:sz w:val="12"/>
          <w:szCs w:val="12"/>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the Company’s financial statements is highly uncertain and subject to change. Management considered the potential impact of the COVID-19 pandemic on its estimates and assumptions and there was not a material impact to the Company’s condensed consolidated financial statements as of and for the three and six months ended May 31, 2021; however, actual results could differ from those estimates and there may be changes to management’s estimates in future periods.</w:t>
      </w:r>
    </w:p>
    <w:p>
      <w:pPr>
        <w:spacing w:after="0" w:line="52" w:lineRule="exact"/>
        <w:rPr>
          <w:sz w:val="20"/>
          <w:szCs w:val="20"/>
          <w:color w:val="auto"/>
        </w:rPr>
      </w:pPr>
    </w:p>
    <w:p>
      <w:pPr>
        <w:jc w:val="both"/>
        <w:ind w:right="120" w:firstLine="513"/>
        <w:spacing w:after="0" w:line="276" w:lineRule="auto"/>
        <w:rPr>
          <w:sz w:val="20"/>
          <w:szCs w:val="20"/>
          <w:color w:val="auto"/>
        </w:rPr>
      </w:pPr>
      <w:r>
        <w:rPr>
          <w:rFonts w:ascii="Arial" w:cs="Arial" w:eastAsia="Arial" w:hAnsi="Arial"/>
          <w:sz w:val="12"/>
          <w:szCs w:val="12"/>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0"/>
          <w:szCs w:val="10"/>
          <w:color w:val="auto"/>
        </w:rPr>
        <w:t>The Company recognizes revenue when its customer obtains control of promised goods or services, in an amount that reflects the consideration which the Company expects to receive in exchange for those goods or services.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To recognize revenue from a contract with a customer, the Company performs the following five steps:</w:t>
      </w:r>
    </w:p>
    <w:p>
      <w:pPr>
        <w:spacing w:after="0" w:line="69" w:lineRule="exact"/>
        <w:rPr>
          <w:sz w:val="20"/>
          <w:szCs w:val="20"/>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identify the contract(s) with a customer;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identify the performance obligations in the contract;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determine the transaction price;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allocate the transaction price to the performance obligations in the contract;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recognize revenue when (or as) the Company satisfies a performance obligation.</w:t>
      </w:r>
    </w:p>
    <w:p>
      <w:pPr>
        <w:spacing w:after="0" w:line="78"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43" w:lineRule="exact"/>
        <w:rPr>
          <w:sz w:val="20"/>
          <w:szCs w:val="20"/>
          <w:color w:val="auto"/>
        </w:rPr>
      </w:pPr>
    </w:p>
    <w:p>
      <w:pPr>
        <w:ind w:right="40" w:firstLine="513"/>
        <w:spacing w:after="0" w:line="298" w:lineRule="auto"/>
        <w:rPr>
          <w:sz w:val="20"/>
          <w:szCs w:val="20"/>
          <w:color w:val="auto"/>
        </w:rPr>
      </w:pPr>
      <w:r>
        <w:rPr>
          <w:rFonts w:ascii="Arial" w:cs="Arial" w:eastAsia="Arial" w:hAnsi="Arial"/>
          <w:sz w:val="11"/>
          <w:szCs w:val="11"/>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33" w:lineRule="exact"/>
        <w:rPr>
          <w:sz w:val="20"/>
          <w:szCs w:val="20"/>
          <w:color w:val="auto"/>
        </w:rPr>
      </w:pPr>
    </w:p>
    <w:p>
      <w:pPr>
        <w:ind w:right="100" w:firstLine="513"/>
        <w:spacing w:after="0" w:line="326" w:lineRule="auto"/>
        <w:rPr>
          <w:sz w:val="20"/>
          <w:szCs w:val="20"/>
          <w:color w:val="auto"/>
        </w:rPr>
      </w:pPr>
      <w:r>
        <w:rPr>
          <w:rFonts w:ascii="Arial" w:cs="Arial" w:eastAsia="Arial" w:hAnsi="Arial"/>
          <w:sz w:val="10"/>
          <w:szCs w:val="10"/>
          <w:i w:val="1"/>
          <w:iCs w:val="1"/>
          <w:color w:val="auto"/>
        </w:rPr>
        <w:t>Research and collaboration licenses</w:t>
      </w:r>
      <w:r>
        <w:rPr>
          <w:rFonts w:ascii="Arial" w:cs="Arial" w:eastAsia="Arial" w:hAnsi="Arial"/>
          <w:sz w:val="10"/>
          <w:szCs w:val="10"/>
          <w:color w:val="auto"/>
        </w:rPr>
        <w:t>: If a license is determined to be distinct from the other promises identified in the arrangement, the Company recognizes revenue from upfront payments allocated to the license when the</w:t>
      </w:r>
      <w:r>
        <w:rPr>
          <w:rFonts w:ascii="Arial" w:cs="Arial" w:eastAsia="Arial" w:hAnsi="Arial"/>
          <w:sz w:val="10"/>
          <w:szCs w:val="10"/>
          <w:i w:val="1"/>
          <w:iCs w:val="1"/>
          <w:color w:val="auto"/>
        </w:rPr>
        <w:t xml:space="preserve"> </w:t>
      </w:r>
      <w:r>
        <w:rPr>
          <w:rFonts w:ascii="Arial" w:cs="Arial" w:eastAsia="Arial" w:hAnsi="Arial"/>
          <w:sz w:val="10"/>
          <w:szCs w:val="10"/>
          <w:color w:val="auto"/>
        </w:rPr>
        <w:t>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23" w:lineRule="exact"/>
        <w:rPr>
          <w:sz w:val="20"/>
          <w:szCs w:val="20"/>
          <w:color w:val="auto"/>
        </w:rPr>
      </w:pPr>
    </w:p>
    <w:p>
      <w:pPr>
        <w:ind w:firstLine="513"/>
        <w:spacing w:after="0" w:line="298" w:lineRule="auto"/>
        <w:rPr>
          <w:sz w:val="20"/>
          <w:szCs w:val="20"/>
          <w:color w:val="auto"/>
        </w:rPr>
      </w:pPr>
      <w:r>
        <w:rPr>
          <w:rFonts w:ascii="Arial" w:cs="Arial" w:eastAsia="Arial" w:hAnsi="Arial"/>
          <w:sz w:val="11"/>
          <w:szCs w:val="11"/>
          <w:i w:val="1"/>
          <w:iCs w:val="1"/>
          <w:color w:val="auto"/>
        </w:rPr>
        <w:t>Milestone payments</w:t>
      </w:r>
      <w:r>
        <w:rPr>
          <w:rFonts w:ascii="Arial" w:cs="Arial" w:eastAsia="Arial" w:hAnsi="Arial"/>
          <w:sz w:val="11"/>
          <w:szCs w:val="11"/>
          <w:color w:val="auto"/>
        </w:rPr>
        <w:t>: At the inception of each arrangement that includes research, development, or regulatory milestone payments, the Company evaluates whether the milestones are considered probable of being reached and</w:t>
      </w:r>
      <w:r>
        <w:rPr>
          <w:rFonts w:ascii="Arial" w:cs="Arial" w:eastAsia="Arial" w:hAnsi="Arial"/>
          <w:sz w:val="11"/>
          <w:szCs w:val="11"/>
          <w:i w:val="1"/>
          <w:iCs w:val="1"/>
          <w:color w:val="auto"/>
        </w:rPr>
        <w:t xml:space="preserve"> </w:t>
      </w:r>
      <w:r>
        <w:rPr>
          <w:rFonts w:ascii="Arial" w:cs="Arial" w:eastAsia="Arial" w:hAnsi="Arial"/>
          <w:sz w:val="11"/>
          <w:szCs w:val="11"/>
          <w:color w:val="auto"/>
        </w:rPr>
        <w:t>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33" w:lineRule="exact"/>
        <w:rPr>
          <w:sz w:val="20"/>
          <w:szCs w:val="20"/>
          <w:color w:val="auto"/>
        </w:rPr>
      </w:pPr>
    </w:p>
    <w:p>
      <w:pPr>
        <w:jc w:val="both"/>
        <w:ind w:right="120" w:firstLine="513"/>
        <w:spacing w:after="0" w:line="263" w:lineRule="auto"/>
        <w:rPr>
          <w:sz w:val="20"/>
          <w:szCs w:val="20"/>
          <w:color w:val="auto"/>
        </w:rPr>
      </w:pPr>
      <w:r>
        <w:rPr>
          <w:rFonts w:ascii="Arial" w:cs="Arial" w:eastAsia="Arial" w:hAnsi="Arial"/>
          <w:sz w:val="12"/>
          <w:szCs w:val="12"/>
          <w:i w:val="1"/>
          <w:iCs w:val="1"/>
          <w:color w:val="auto"/>
        </w:rPr>
        <w:t>Sales-based milestones and royalties</w:t>
      </w:r>
      <w:r>
        <w:rPr>
          <w:rFonts w:ascii="Arial" w:cs="Arial" w:eastAsia="Arial" w:hAnsi="Arial"/>
          <w:sz w:val="12"/>
          <w:szCs w:val="12"/>
          <w:color w:val="auto"/>
        </w:rPr>
        <w:t>: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50" w:lineRule="exact"/>
        <w:rPr>
          <w:sz w:val="20"/>
          <w:szCs w:val="20"/>
          <w:color w:val="auto"/>
        </w:rPr>
      </w:pPr>
    </w:p>
    <w:p>
      <w:pPr>
        <w:ind w:right="80" w:firstLine="513"/>
        <w:spacing w:after="0" w:line="298" w:lineRule="auto"/>
        <w:rPr>
          <w:sz w:val="20"/>
          <w:szCs w:val="20"/>
          <w:color w:val="auto"/>
        </w:rPr>
      </w:pPr>
      <w:r>
        <w:rPr>
          <w:rFonts w:ascii="Arial" w:cs="Arial" w:eastAsia="Arial" w:hAnsi="Arial"/>
          <w:sz w:val="11"/>
          <w:szCs w:val="11"/>
          <w:i w:val="1"/>
          <w:iCs w:val="1"/>
          <w:color w:val="auto"/>
        </w:rPr>
        <w:t>Customer options</w:t>
      </w:r>
      <w:r>
        <w:rPr>
          <w:rFonts w:ascii="Arial" w:cs="Arial" w:eastAsia="Arial" w:hAnsi="Arial"/>
          <w:sz w:val="11"/>
          <w:szCs w:val="11"/>
          <w:color w:val="auto"/>
        </w:rPr>
        <w:t>: Customer options, such as options granted to allow a licensee to extend a license or research term, to select additional research targets or to choose to research, develop and commercialize licensed</w:t>
      </w:r>
      <w:r>
        <w:rPr>
          <w:rFonts w:ascii="Arial" w:cs="Arial" w:eastAsia="Arial" w:hAnsi="Arial"/>
          <w:sz w:val="11"/>
          <w:szCs w:val="11"/>
          <w:i w:val="1"/>
          <w:iCs w:val="1"/>
          <w:color w:val="auto"/>
        </w:rPr>
        <w:t xml:space="preserve"> </w:t>
      </w:r>
      <w:r>
        <w:rPr>
          <w:rFonts w:ascii="Arial" w:cs="Arial" w:eastAsia="Arial" w:hAnsi="Arial"/>
          <w:sz w:val="11"/>
          <w:szCs w:val="11"/>
          <w:color w:val="auto"/>
        </w:rPr>
        <w:t>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00" w:top="347" w:right="359" w:bottom="1440" w:gutter="0" w:footer="0" w:header="0"/>
        </w:sectPr>
      </w:pPr>
    </w:p>
    <w:bookmarkStart w:id="12" w:name="page13"/>
    <w:bookmarkEnd w:id="12"/>
    <w:p>
      <w:pPr>
        <w:jc w:val="both"/>
        <w:ind w:right="60"/>
        <w:spacing w:after="0" w:line="263" w:lineRule="auto"/>
        <w:rPr>
          <w:sz w:val="20"/>
          <w:szCs w:val="20"/>
          <w:color w:val="auto"/>
        </w:rPr>
      </w:pPr>
      <w:r>
        <w:rPr>
          <w:rFonts w:ascii="Arial" w:cs="Arial" w:eastAsia="Arial" w:hAnsi="Arial"/>
          <w:sz w:val="12"/>
          <w:szCs w:val="12"/>
          <w:color w:val="auto"/>
        </w:rPr>
        <w:t>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50"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Deferred revenue, which is a contract liability, represents amounts received by the Company for which the related revenues have not been recognized because one or more of the revenue recognition criteria have not been met. The current portion of deferred revenue represents the amount to be recognized within one year from the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50" w:lineRule="exact"/>
        <w:rPr>
          <w:sz w:val="20"/>
          <w:szCs w:val="20"/>
          <w:color w:val="auto"/>
        </w:rPr>
      </w:pPr>
    </w:p>
    <w:p>
      <w:pPr>
        <w:ind w:right="40" w:firstLine="513"/>
        <w:spacing w:after="0" w:line="280" w:lineRule="auto"/>
        <w:rPr>
          <w:sz w:val="20"/>
          <w:szCs w:val="20"/>
          <w:color w:val="auto"/>
        </w:rPr>
      </w:pPr>
      <w:r>
        <w:rPr>
          <w:rFonts w:ascii="Arial" w:cs="Arial" w:eastAsia="Arial" w:hAnsi="Arial"/>
          <w:sz w:val="11"/>
          <w:szCs w:val="11"/>
          <w:color w:val="auto"/>
        </w:rPr>
        <w:t>Contracts may be amended to account for changes in contract specifications and requirements. Contract modifications exist when the amendment either creates new, or changes existing, enforceable rights and obligations. When contract modifications create new performance obligations and the increase in consideration approximates the standalone selling price for goods and services related to such new performance obligations as adjusted for specific facts and circumstances of the contract, the modification is considered to be a separate contract and revenue is recognized prospectively. If a contract modification is not accounted for as a separate contract, the Company accounts for the promised goods or services not yet transferred at the date of the contract modification (the remaining promised goods or services) prospectively, as if it were a termination of the existing contract and the creation of a new contract, if the remaining goods or services are distinct from the goods or services transferred on or before the date of the contract modification. The Company accounts for a contract modification as if it were a part of the existing contract if the remaining goods or services are not distinct and, therefore, form part of a single performance obligation that is partially satisfied at the date of the contract modification. In such case the effect that the contract modification has on the transaction price, and on the entity’s measure of progress toward complete satisfaction of the performance obligation, is recognized as an adjustment to revenue (either as an increase in or a reduction of revenue) at the date of the contract modification (the adjustment to revenue is made on a cumulative catch-up basis).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78" w:lineRule="exact"/>
        <w:rPr>
          <w:sz w:val="20"/>
          <w:szCs w:val="20"/>
          <w:color w:val="auto"/>
        </w:rPr>
      </w:pPr>
    </w:p>
    <w:p>
      <w:pPr>
        <w:jc w:val="both"/>
        <w:ind w:firstLine="513"/>
        <w:spacing w:after="0" w:line="326" w:lineRule="auto"/>
        <w:rPr>
          <w:sz w:val="20"/>
          <w:szCs w:val="20"/>
          <w:color w:val="auto"/>
        </w:rPr>
      </w:pPr>
      <w:r>
        <w:rPr>
          <w:rFonts w:ascii="Arial" w:cs="Arial" w:eastAsia="Arial" w:hAnsi="Arial"/>
          <w:sz w:val="10"/>
          <w:szCs w:val="10"/>
          <w:color w:val="auto"/>
        </w:rPr>
        <w:t>The Company is an “emerging growth company” (EGC), as defined in the Jumpstart Our Business Startups Act of 2012, as amended (the JOBS Act). Under the JOBS Act, EGCs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condensed consolidated financial statements may not be comparable to companies that comply with the new or revised accounting pronouncements as of the public company effective dates.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78" w:lineRule="exact"/>
        <w:rPr>
          <w:sz w:val="20"/>
          <w:szCs w:val="20"/>
          <w:color w:val="auto"/>
        </w:rPr>
      </w:pPr>
    </w:p>
    <w:p>
      <w:pPr>
        <w:ind w:right="20" w:firstLine="513"/>
        <w:spacing w:after="0" w:line="259" w:lineRule="auto"/>
        <w:rPr>
          <w:sz w:val="20"/>
          <w:szCs w:val="20"/>
          <w:color w:val="auto"/>
        </w:rPr>
      </w:pPr>
      <w:r>
        <w:rPr>
          <w:rFonts w:ascii="Arial" w:cs="Arial" w:eastAsia="Arial" w:hAnsi="Arial"/>
          <w:sz w:val="12"/>
          <w:szCs w:val="12"/>
          <w:color w:val="auto"/>
        </w:rPr>
        <w:t xml:space="preserve">In August 2018, the FASB issued ASU No. 2018-13, </w:t>
      </w:r>
      <w:r>
        <w:rPr>
          <w:rFonts w:ascii="Arial" w:cs="Arial" w:eastAsia="Arial" w:hAnsi="Arial"/>
          <w:sz w:val="12"/>
          <w:szCs w:val="12"/>
          <w:i w:val="1"/>
          <w:iCs w:val="1"/>
          <w:color w:val="auto"/>
        </w:rPr>
        <w:t>Fair Value Measurements (Topic 820): Disclosure Framework—Changes to the Disclosure Requirements for Fair Value Measurement</w:t>
      </w:r>
      <w:r>
        <w:rPr>
          <w:rFonts w:ascii="Arial" w:cs="Arial" w:eastAsia="Arial" w:hAnsi="Arial"/>
          <w:sz w:val="12"/>
          <w:szCs w:val="12"/>
          <w:color w:val="auto"/>
        </w:rPr>
        <w:t xml:space="preserve"> (ASU 2018-13), which modifies the disclosure requirements on fair value measurements by removing the requirement to disclose amounts of and reasons for transfers between Level 1 and Level 2 of the fair value hierarchy, the policy for timing of transfers between levels, and the valuation process for Level 3 fair value measurements, among other modifications to fair value measurement disclosure requirements. The Company adopted ASU 2018-13 as of December 1, 2020. The adoption did not have a material impact on the Company’s consolidated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 Not Yet Adopted</w:t>
      </w:r>
    </w:p>
    <w:p>
      <w:pPr>
        <w:spacing w:after="0" w:line="78" w:lineRule="exact"/>
        <w:rPr>
          <w:sz w:val="20"/>
          <w:szCs w:val="20"/>
          <w:color w:val="auto"/>
        </w:rPr>
      </w:pPr>
    </w:p>
    <w:p>
      <w:pPr>
        <w:ind w:right="120" w:firstLine="513"/>
        <w:spacing w:after="0" w:line="256" w:lineRule="auto"/>
        <w:rPr>
          <w:sz w:val="20"/>
          <w:szCs w:val="20"/>
          <w:color w:val="auto"/>
        </w:rPr>
      </w:pPr>
      <w:r>
        <w:rPr>
          <w:rFonts w:ascii="Arial" w:cs="Arial" w:eastAsia="Arial" w:hAnsi="Arial"/>
          <w:sz w:val="12"/>
          <w:szCs w:val="12"/>
          <w:color w:val="auto"/>
        </w:rPr>
        <w:t xml:space="preserve">In February 2016, the FASB issued ASU No. 2016-02, </w:t>
      </w:r>
      <w:r>
        <w:rPr>
          <w:rFonts w:ascii="Arial" w:cs="Arial" w:eastAsia="Arial" w:hAnsi="Arial"/>
          <w:sz w:val="12"/>
          <w:szCs w:val="12"/>
          <w:i w:val="1"/>
          <w:iCs w:val="1"/>
          <w:color w:val="auto"/>
        </w:rPr>
        <w:t>Leases (Topic 842)</w:t>
      </w:r>
      <w:r>
        <w:rPr>
          <w:rFonts w:ascii="Arial" w:cs="Arial" w:eastAsia="Arial" w:hAnsi="Arial"/>
          <w:sz w:val="12"/>
          <w:szCs w:val="12"/>
          <w:color w:val="auto"/>
        </w:rPr>
        <w:t xml:space="preserve"> (ASU 2016-02)</w:t>
      </w:r>
      <w:r>
        <w:rPr>
          <w:rFonts w:ascii="Arial" w:cs="Arial" w:eastAsia="Arial" w:hAnsi="Arial"/>
          <w:sz w:val="12"/>
          <w:szCs w:val="12"/>
          <w:i w:val="1"/>
          <w:iCs w:val="1"/>
          <w:color w:val="auto"/>
        </w:rPr>
        <w:t>,</w:t>
      </w:r>
      <w:r>
        <w:rPr>
          <w:rFonts w:ascii="Arial" w:cs="Arial" w:eastAsia="Arial" w:hAnsi="Arial"/>
          <w:sz w:val="12"/>
          <w:szCs w:val="12"/>
          <w:color w:val="auto"/>
        </w:rPr>
        <w:t xml:space="preserve"> which for operating leases requires the lessee to recognize a right-of-use asset and a lease liability, initially measured at the present value of lease payments, in its balance sheet. A modified retrospective transition approach is required for leases existing at, or entered into after, the beginning of the earliest comparative period presented in the financial statements, including a number of optional practical expedients that entities may elect to apply. ASU 2016-02 is effective for annual periods beginning after December 15, 2021 and interim periods within annual periods beginning after December 15, 2022. Early adoption is permitted. The Company is in the process of evaluating the impact of this new guidance on its financial statements and expects to recognize a right-of-use asset and a lease liability on the Company’s consolidated balance sheet, which will increase the Company’s assets and liabilities.</w:t>
      </w:r>
    </w:p>
    <w:p>
      <w:pPr>
        <w:spacing w:after="0" w:line="56" w:lineRule="exact"/>
        <w:rPr>
          <w:sz w:val="20"/>
          <w:szCs w:val="20"/>
          <w:color w:val="auto"/>
        </w:rPr>
      </w:pPr>
    </w:p>
    <w:p>
      <w:pPr>
        <w:ind w:right="100" w:firstLine="513"/>
        <w:spacing w:after="0" w:line="326" w:lineRule="auto"/>
        <w:rPr>
          <w:sz w:val="20"/>
          <w:szCs w:val="20"/>
          <w:color w:val="auto"/>
        </w:rPr>
      </w:pPr>
      <w:r>
        <w:rPr>
          <w:rFonts w:ascii="Arial" w:cs="Arial" w:eastAsia="Arial" w:hAnsi="Arial"/>
          <w:sz w:val="10"/>
          <w:szCs w:val="10"/>
          <w:color w:val="auto"/>
        </w:rPr>
        <w:t xml:space="preserve">In June 2016, the FASB issued ASU No. 2016-13, </w:t>
      </w:r>
      <w:r>
        <w:rPr>
          <w:rFonts w:ascii="Arial" w:cs="Arial" w:eastAsia="Arial" w:hAnsi="Arial"/>
          <w:sz w:val="10"/>
          <w:szCs w:val="10"/>
          <w:i w:val="1"/>
          <w:iCs w:val="1"/>
          <w:color w:val="auto"/>
        </w:rPr>
        <w:t>Measurement of Credit Losses on Financial Instruments</w:t>
      </w:r>
      <w:r>
        <w:rPr>
          <w:rFonts w:ascii="Arial" w:cs="Arial" w:eastAsia="Arial" w:hAnsi="Arial"/>
          <w:sz w:val="10"/>
          <w:szCs w:val="10"/>
          <w:color w:val="auto"/>
        </w:rPr>
        <w:t xml:space="preserve"> (ASU 2016-13), which requires that financial assets measured at amortized cost be presented at the net amount expected to be collected. The measurement of expected credit losses is based on historical experience, current conditions, and reasonable and supportable forecasts that affect collectability. ASU 2016-13 also eliminates the concept of “other-than-temporary” impairment when evaluating available-for-sale debt investments and instead focuses on determining whether any impairment is a result of a credit loss or other factors. An entity will recognize an allowance for credit losses on available-for-sale debt investments rather than an other-than-temporary impairment that reduces the cost basis of the investment. ASU 2016-13 is effective for annual periods beginning after December 15,</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auto"/>
        </w:rPr>
        <w:t>2022, including interim periods within those annual periods. Early adoption is permitted. The Company is in the process of evaluating the impact of this new guidance on its financial statements.</w:t>
      </w:r>
    </w:p>
    <w:p>
      <w:pPr>
        <w:spacing w:after="0" w:line="78" w:lineRule="exact"/>
        <w:rPr>
          <w:sz w:val="20"/>
          <w:szCs w:val="20"/>
          <w:color w:val="auto"/>
        </w:rPr>
      </w:pPr>
    </w:p>
    <w:p>
      <w:pPr>
        <w:ind w:right="80" w:firstLine="513"/>
        <w:spacing w:after="0" w:line="285" w:lineRule="auto"/>
        <w:rPr>
          <w:sz w:val="20"/>
          <w:szCs w:val="20"/>
          <w:color w:val="auto"/>
        </w:rPr>
      </w:pPr>
      <w:r>
        <w:rPr>
          <w:rFonts w:ascii="Arial" w:cs="Arial" w:eastAsia="Arial" w:hAnsi="Arial"/>
          <w:sz w:val="11"/>
          <w:szCs w:val="11"/>
          <w:color w:val="auto"/>
        </w:rPr>
        <w:t xml:space="preserve">In November 2018, the FASB issued ASU No. 2018-18, </w:t>
      </w:r>
      <w:r>
        <w:rPr>
          <w:rFonts w:ascii="Arial" w:cs="Arial" w:eastAsia="Arial" w:hAnsi="Arial"/>
          <w:sz w:val="11"/>
          <w:szCs w:val="11"/>
          <w:i w:val="1"/>
          <w:iCs w:val="1"/>
          <w:color w:val="auto"/>
        </w:rPr>
        <w:t>Collaborative Arrangements (Topic 808): Clarifying the Interaction between Topic 808 and Topic 606</w:t>
      </w:r>
      <w:r>
        <w:rPr>
          <w:rFonts w:ascii="Arial" w:cs="Arial" w:eastAsia="Arial" w:hAnsi="Arial"/>
          <w:sz w:val="11"/>
          <w:szCs w:val="11"/>
          <w:color w:val="auto"/>
        </w:rPr>
        <w:t xml:space="preserve">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ASU 2018-18 is effective for annual periods beginning after December 15, 2020, and interim periods within annual periods beginning after December 15, 2021. ASU 2018-18 requires retrospective adoption to the date the Company adopted Topic 606 by recognizing a cumulative-effect adjustment to the opening balance of retained earnings of the earliest annual period presented. Early adoption is permitted, but no earlier than an entity’s adoption date of Topic 606. The Company does not expect the adoption to have a material impact on its financial statements.</w:t>
      </w:r>
    </w:p>
    <w:p>
      <w:pPr>
        <w:spacing w:after="0" w:line="41" w:lineRule="exact"/>
        <w:rPr>
          <w:sz w:val="20"/>
          <w:szCs w:val="20"/>
          <w:color w:val="auto"/>
        </w:rPr>
      </w:pPr>
    </w:p>
    <w:p>
      <w:pPr>
        <w:ind w:right="40" w:firstLine="513"/>
        <w:spacing w:after="0" w:line="298" w:lineRule="auto"/>
        <w:rPr>
          <w:sz w:val="20"/>
          <w:szCs w:val="20"/>
          <w:color w:val="auto"/>
        </w:rPr>
      </w:pPr>
      <w:r>
        <w:rPr>
          <w:rFonts w:ascii="Arial" w:cs="Arial" w:eastAsia="Arial" w:hAnsi="Arial"/>
          <w:sz w:val="11"/>
          <w:szCs w:val="11"/>
          <w:color w:val="auto"/>
        </w:rPr>
        <w:t xml:space="preserve">In December 2019, the FASB issued ASU No. 2019-12, </w:t>
      </w:r>
      <w:r>
        <w:rPr>
          <w:rFonts w:ascii="Arial" w:cs="Arial" w:eastAsia="Arial" w:hAnsi="Arial"/>
          <w:sz w:val="11"/>
          <w:szCs w:val="11"/>
          <w:i w:val="1"/>
          <w:iCs w:val="1"/>
          <w:color w:val="auto"/>
        </w:rPr>
        <w:t>Income Taxes (Topic 740)—Simplifying the Accounting for Income Taxes</w:t>
      </w:r>
      <w:r>
        <w:rPr>
          <w:rFonts w:ascii="Arial" w:cs="Arial" w:eastAsia="Arial" w:hAnsi="Arial"/>
          <w:sz w:val="11"/>
          <w:szCs w:val="11"/>
          <w:color w:val="auto"/>
        </w:rPr>
        <w:t xml:space="preserve"> (ASU 2019-12), which is intended to simplify accounting for income taxes. It removes certain exceptions to the general principles in Topic 740 and amends existing guidance to improve consistent application. ASU 2019-12 is effective for annual periods beginning after December 15, 2021, and interim periods within annual periods beginning after December 15, 2022. Early adoption is permitted. The Company is in the process of evaluating the impact of this new guidance on its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Collaboration Agreements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Gilead</w:t>
      </w:r>
    </w:p>
    <w:p>
      <w:pPr>
        <w:spacing w:after="0" w:line="78" w:lineRule="exact"/>
        <w:rPr>
          <w:sz w:val="20"/>
          <w:szCs w:val="20"/>
          <w:color w:val="auto"/>
        </w:rPr>
      </w:pPr>
    </w:p>
    <w:p>
      <w:pPr>
        <w:ind w:right="260" w:firstLine="513"/>
        <w:spacing w:after="0" w:line="375" w:lineRule="auto"/>
        <w:rPr>
          <w:sz w:val="20"/>
          <w:szCs w:val="20"/>
          <w:color w:val="auto"/>
        </w:rPr>
      </w:pPr>
      <w:r>
        <w:rPr>
          <w:rFonts w:ascii="Arial" w:cs="Arial" w:eastAsia="Arial" w:hAnsi="Arial"/>
          <w:sz w:val="10"/>
          <w:szCs w:val="10"/>
          <w:color w:val="auto"/>
        </w:rPr>
        <w:t>In June 2019, the Company entered into a global strategic collaboration agreement with Gilead, which was amended in August 2019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w:t>
      </w:r>
    </w:p>
    <w:p>
      <w:pPr>
        <w:spacing w:after="0" w:line="1" w:lineRule="exact"/>
        <w:rPr>
          <w:sz w:val="20"/>
          <w:szCs w:val="20"/>
          <w:color w:val="auto"/>
        </w:rPr>
      </w:pPr>
    </w:p>
    <w:p>
      <w:pPr>
        <w:ind w:right="180" w:firstLine="513"/>
        <w:spacing w:after="0" w:line="326" w:lineRule="auto"/>
        <w:rPr>
          <w:sz w:val="20"/>
          <w:szCs w:val="20"/>
          <w:color w:val="auto"/>
        </w:rPr>
      </w:pPr>
      <w:r>
        <w:rPr>
          <w:rFonts w:ascii="Arial" w:cs="Arial" w:eastAsia="Arial" w:hAnsi="Arial"/>
          <w:sz w:val="10"/>
          <w:szCs w:val="10"/>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23" w:lineRule="exact"/>
        <w:rPr>
          <w:sz w:val="20"/>
          <w:szCs w:val="20"/>
          <w:color w:val="auto"/>
        </w:rPr>
      </w:pPr>
    </w:p>
    <w:p>
      <w:pPr>
        <w:ind w:right="140" w:firstLine="513"/>
        <w:spacing w:after="0" w:line="285" w:lineRule="auto"/>
        <w:rPr>
          <w:sz w:val="20"/>
          <w:szCs w:val="20"/>
          <w:color w:val="auto"/>
        </w:rPr>
      </w:pPr>
      <w:r>
        <w:rPr>
          <w:rFonts w:ascii="Arial" w:cs="Arial" w:eastAsia="Arial" w:hAnsi="Arial"/>
          <w:sz w:val="11"/>
          <w:szCs w:val="11"/>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41" w:lineRule="exact"/>
        <w:rPr>
          <w:sz w:val="20"/>
          <w:szCs w:val="20"/>
          <w:color w:val="auto"/>
        </w:rPr>
      </w:pPr>
    </w:p>
    <w:p>
      <w:pPr>
        <w:ind w:right="20" w:firstLine="513"/>
        <w:spacing w:after="0" w:line="283" w:lineRule="auto"/>
        <w:rPr>
          <w:sz w:val="20"/>
          <w:szCs w:val="20"/>
          <w:color w:val="auto"/>
        </w:rPr>
      </w:pPr>
      <w:r>
        <w:rPr>
          <w:rFonts w:ascii="Arial" w:cs="Arial" w:eastAsia="Arial" w:hAnsi="Arial"/>
          <w:sz w:val="11"/>
          <w:szCs w:val="11"/>
          <w:color w:val="auto"/>
        </w:rPr>
        <w:t>Upon signing the Gilead Agreement, Gilead paid the Company an upfront payment of $45.0 million plus $3.0 million in additional fees. Subsequently, the Company received payments of $13.5 million for research milestones and additional payments, including $2.5 million in the second quarter of 2021. As of May 31, 2021, the Company is eligible to receive up to approximately $2.3 billion in total additional payments, including up to $688.5 million upon the achievement of specified development milestones, up to $1.5 billion upon the achievement of specified sales milestones, subject to reduction for any product for which the Company exercises its option to co-develop and co-promote, and up to $138.8 million in certain additional fees related to target licensing, reservation and selection and research term extensions.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w:t>
      </w:r>
    </w:p>
    <w:p>
      <w:pPr>
        <w:spacing w:after="0" w:line="41"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14" w:name="page15"/>
    <w:bookmarkEnd w:id="14"/>
    <w:p>
      <w:pPr>
        <w:ind w:right="40"/>
        <w:spacing w:after="0" w:line="276" w:lineRule="auto"/>
        <w:rPr>
          <w:sz w:val="20"/>
          <w:szCs w:val="20"/>
          <w:color w:val="auto"/>
        </w:rPr>
      </w:pPr>
      <w:r>
        <w:rPr>
          <w:rFonts w:ascii="Arial" w:cs="Arial" w:eastAsia="Arial" w:hAnsi="Arial"/>
          <w:sz w:val="12"/>
          <w:szCs w:val="12"/>
          <w:color w:val="auto"/>
        </w:rPr>
        <w:t>the Company’s exercise of its option to co-develop and co-promote such licensed product. If Gilead does not exercise an option to license a drug candidate, then the Gilead Agreement will terminate at the end of the last to expire option period.</w:t>
      </w:r>
    </w:p>
    <w:p>
      <w:pPr>
        <w:spacing w:after="0" w:line="43" w:lineRule="exact"/>
        <w:rPr>
          <w:sz w:val="20"/>
          <w:szCs w:val="20"/>
          <w:color w:val="auto"/>
        </w:rPr>
      </w:pPr>
    </w:p>
    <w:p>
      <w:pPr>
        <w:ind w:right="80" w:firstLine="513"/>
        <w:spacing w:after="0" w:line="254" w:lineRule="auto"/>
        <w:rPr>
          <w:sz w:val="20"/>
          <w:szCs w:val="20"/>
          <w:color w:val="auto"/>
        </w:rPr>
      </w:pPr>
      <w:r>
        <w:rPr>
          <w:rFonts w:ascii="Arial" w:cs="Arial" w:eastAsia="Arial" w:hAnsi="Arial"/>
          <w:sz w:val="12"/>
          <w:szCs w:val="12"/>
          <w:color w:val="auto"/>
        </w:rPr>
        <w:t>The Company identified the following promises in the Gilead Agreement: (1) the research licenses, (2) the research services, including selection campaign research services for certain replacement targets and (3) the obligation to share information during the research and to participate in the joint research committee and joint steering committee. The Company determined that the research licenses are not capable of being distinct due to the specialized nature of the research services to be provided by the Company, and, accordingly, this promise was combined with the research services and participation in the joint research committee as one single performance obligation. The Company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58" w:lineRule="exact"/>
        <w:rPr>
          <w:sz w:val="20"/>
          <w:szCs w:val="20"/>
          <w:color w:val="auto"/>
        </w:rPr>
      </w:pPr>
    </w:p>
    <w:p>
      <w:pPr>
        <w:ind w:right="100" w:firstLine="513"/>
        <w:spacing w:after="0" w:line="281" w:lineRule="auto"/>
        <w:rPr>
          <w:sz w:val="20"/>
          <w:szCs w:val="20"/>
          <w:color w:val="auto"/>
        </w:rPr>
      </w:pPr>
      <w:r>
        <w:rPr>
          <w:rFonts w:ascii="Arial" w:cs="Arial" w:eastAsia="Arial" w:hAnsi="Arial"/>
          <w:sz w:val="11"/>
          <w:szCs w:val="11"/>
          <w:color w:val="auto"/>
        </w:rPr>
        <w:t>In order to determine the transaction price, the Company evaluated all the payments to be received during the duration of the contract. Certain milestones and additional fees were considered variable consideration, which were not included in the transaction price based on the most likely amount method as of May 31, 2021. The Company will re-evaluate the transaction price in each reporting period and as uncertain events are resolved or other changes in circumstances occur. The Company determined that the transaction price at the inception of the Gilead Agreement consists of the upfront payment of $45.0 million and $3.0 million in additional fees. Subsequently, upon the achievement of research milestones and target reservations, $13.5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 The contract term was determined to be the five-year initial research term which represents the estimated timing of completion of the identified deliverables. Additionally, the Company considered the impact of Gilead terminating the agreement prior to the completion of the research services during the initial five-year research term and determined that there were significant economic costs to Gilead for doing so, and as such, did not adjust the contract term.</w:t>
      </w:r>
    </w:p>
    <w:p>
      <w:pPr>
        <w:spacing w:after="0" w:line="43" w:lineRule="exact"/>
        <w:rPr>
          <w:sz w:val="20"/>
          <w:szCs w:val="20"/>
          <w:color w:val="auto"/>
        </w:rPr>
      </w:pPr>
    </w:p>
    <w:p>
      <w:pPr>
        <w:jc w:val="both"/>
        <w:ind w:right="20" w:firstLine="513"/>
        <w:spacing w:after="0" w:line="298" w:lineRule="auto"/>
        <w:rPr>
          <w:sz w:val="20"/>
          <w:szCs w:val="20"/>
          <w:color w:val="auto"/>
        </w:rPr>
      </w:pPr>
      <w:r>
        <w:rPr>
          <w:rFonts w:ascii="Arial" w:cs="Arial" w:eastAsia="Arial" w:hAnsi="Arial"/>
          <w:sz w:val="11"/>
          <w:szCs w:val="11"/>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The cumulative effect of revisions to estimated costs to complete the Company’s performance obligation will be recorded in the period in which changes are identified and amounts can be reasonably estimated. These actual costs consist primarily of internal employee and third party contract costs related to the Gilead Agreement.</w:t>
      </w:r>
    </w:p>
    <w:p>
      <w:pPr>
        <w:spacing w:after="0" w:line="33" w:lineRule="exact"/>
        <w:rPr>
          <w:sz w:val="20"/>
          <w:szCs w:val="20"/>
          <w:color w:val="auto"/>
        </w:rPr>
      </w:pPr>
    </w:p>
    <w:p>
      <w:pPr>
        <w:ind w:right="100" w:firstLine="513"/>
        <w:spacing w:after="0" w:line="259" w:lineRule="auto"/>
        <w:rPr>
          <w:sz w:val="20"/>
          <w:szCs w:val="20"/>
          <w:color w:val="auto"/>
        </w:rPr>
      </w:pPr>
      <w:r>
        <w:rPr>
          <w:rFonts w:ascii="Arial" w:cs="Arial" w:eastAsia="Arial" w:hAnsi="Arial"/>
          <w:sz w:val="12"/>
          <w:szCs w:val="12"/>
          <w:color w:val="auto"/>
        </w:rPr>
        <w:t>For the three and six months ended May 31, 2021, the Company recognized collaboration revenue related to the Gilead Agreement of $3.7 million and $6.5 million, respectively, of which $2.9 million and $5.6 million, respectively, were included in deferred revenue as of November 30, 2020, and $0.6 million and $0.6 million, respectively, were related to activities satisfied in previous periods. For the three and six months ended May 31, 2020, the Company recognized revenue related to the Gilead Agreement of $2.4 million and $4.8 million, respectively. As of May 31, 2021, $40.2 million was recorded as deferred revenue, of which $14.7 million was current, on the condensed consolidated balance sheet related to the Gilead Agreement.</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Sanofi</w:t>
      </w:r>
    </w:p>
    <w:p>
      <w:pPr>
        <w:spacing w:after="0" w:line="78" w:lineRule="exact"/>
        <w:rPr>
          <w:sz w:val="20"/>
          <w:szCs w:val="20"/>
          <w:color w:val="auto"/>
        </w:rPr>
      </w:pPr>
    </w:p>
    <w:p>
      <w:pPr>
        <w:ind w:right="60" w:firstLine="518"/>
        <w:spacing w:after="0" w:line="285" w:lineRule="auto"/>
        <w:rPr>
          <w:sz w:val="20"/>
          <w:szCs w:val="20"/>
          <w:color w:val="auto"/>
        </w:rPr>
      </w:pPr>
      <w:r>
        <w:rPr>
          <w:rFonts w:ascii="Arial" w:cs="Arial" w:eastAsia="Arial" w:hAnsi="Arial"/>
          <w:sz w:val="11"/>
          <w:szCs w:val="11"/>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$22.0 million to exercise its option to expand the number of targets in the collaboration agreement from three to a total of five targets. The Company and Sanofi also entered into a first amendment to the collaboration agreement in January 2021 to modify the research term on all targets (the First Sanofi Amendment). Over time and subject to certain limitations, Sanofi may elect to replace the drug targets with other reserved targets.</w:t>
      </w:r>
    </w:p>
    <w:p>
      <w:pPr>
        <w:spacing w:after="0" w:line="41" w:lineRule="exact"/>
        <w:rPr>
          <w:sz w:val="20"/>
          <w:szCs w:val="20"/>
          <w:color w:val="auto"/>
        </w:rPr>
      </w:pPr>
    </w:p>
    <w:p>
      <w:pPr>
        <w:ind w:firstLine="518"/>
        <w:spacing w:after="0" w:line="256" w:lineRule="auto"/>
        <w:rPr>
          <w:sz w:val="20"/>
          <w:szCs w:val="20"/>
          <w:color w:val="auto"/>
        </w:rPr>
      </w:pPr>
      <w:r>
        <w:rPr>
          <w:rFonts w:ascii="Arial" w:cs="Arial" w:eastAsia="Arial" w:hAnsi="Arial"/>
          <w:sz w:val="12"/>
          <w:szCs w:val="12"/>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up to two targets, one of which must be selected from a list of targets designated at the execution of the Sanofi Agreement and one of which must be selected from targets identified by Sanofi as part of their recent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For drug targets that are subject to the collaboration, the Company has primary responsibility for conducting preclinical research</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15" w:name="page16"/>
    <w:bookmarkEnd w:id="15"/>
    <w:p>
      <w:pPr>
        <w:ind w:right="100"/>
        <w:spacing w:after="0" w:line="256" w:lineRule="auto"/>
        <w:rPr>
          <w:sz w:val="20"/>
          <w:szCs w:val="20"/>
          <w:color w:val="auto"/>
        </w:rPr>
      </w:pPr>
      <w:r>
        <w:rPr>
          <w:rFonts w:ascii="Arial" w:cs="Arial" w:eastAsia="Arial" w:hAnsi="Arial"/>
          <w:sz w:val="12"/>
          <w:szCs w:val="12"/>
          <w:color w:val="auto"/>
        </w:rPr>
        <w:t>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chimeric targeting molecules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56" w:lineRule="exact"/>
        <w:rPr>
          <w:sz w:val="20"/>
          <w:szCs w:val="20"/>
          <w:color w:val="auto"/>
        </w:rPr>
      </w:pPr>
    </w:p>
    <w:p>
      <w:pPr>
        <w:ind w:right="60" w:firstLine="518"/>
        <w:spacing w:after="0" w:line="283" w:lineRule="auto"/>
        <w:rPr>
          <w:sz w:val="20"/>
          <w:szCs w:val="20"/>
          <w:color w:val="auto"/>
        </w:rPr>
      </w:pPr>
      <w:r>
        <w:rPr>
          <w:rFonts w:ascii="Arial" w:cs="Arial" w:eastAsia="Arial" w:hAnsi="Arial"/>
          <w:sz w:val="11"/>
          <w:szCs w:val="11"/>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The Company is eligible to receive additional payments if Sanofi exercises an option to extend the license term with respect to a particular target. As of May 31, 2021, the Company is eligible to receive up to approximately $2.5 billion in total payments, including payments of up to $500.0 million upon the achievement of specified development milestones, up to $625.0 million upon the achievement of specified regulatory milestones and up to $1.3 billion upon the achievement of certain sales milestones, as well as up to $163.1 million in certain additional fees related to target licensing and reservation. In addition, the Company is eligible to receive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41"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are not capable of being distinct due to the specialized nature of the research services to be provided by the Company, and, accordingly, this promise was combined with the research services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56" w:lineRule="exact"/>
        <w:rPr>
          <w:sz w:val="20"/>
          <w:szCs w:val="20"/>
          <w:color w:val="auto"/>
        </w:rPr>
      </w:pPr>
    </w:p>
    <w:p>
      <w:pPr>
        <w:ind w:firstLine="513"/>
        <w:spacing w:after="0" w:line="278" w:lineRule="auto"/>
        <w:rPr>
          <w:sz w:val="20"/>
          <w:szCs w:val="20"/>
          <w:color w:val="auto"/>
        </w:rPr>
      </w:pPr>
      <w:r>
        <w:rPr>
          <w:rFonts w:ascii="Arial" w:cs="Arial" w:eastAsia="Arial" w:hAnsi="Arial"/>
          <w:sz w:val="11"/>
          <w:szCs w:val="11"/>
          <w:color w:val="auto"/>
        </w:rPr>
        <w:t>In order to determine the transaction price, the Company evaluated all the payments to be received during the duration of the contract. Milestone and additional fees were considered variable consideration, which were not included in the transaction price based on the most likely amount method as of May 31, 2021. The Company will re-evaluate the transaction price in each reporting period and as uncertain events are resolved or other changes in circumstances occur. At the inception of the Sanofi Agreement, the Company determined that the transaction price consists of the upfront payment of $55.0 million. To account for the material right related to the two additional targets, instead of determining the standalone selling price for the option directly, the Company applied the practical alternative to allocating the transaction price by determining the consideration that it expects to receive in exchange for the research activities that it expects to provide on the two additional targets for a total of five targets. The practical alternative can be applied as the research activities for the two additional targets are similar to the research activities for the initial three targets. Consequently, for the purpose of applying the practical alternative to estimating the standalone selling price of the material right, an expected consideration of $77.0 million was used for revenue recognition allocation, which represents the $55.0 million paid upfront for the three initial drug targets, and the $22.0 million for the additional consideration related to two additional targets which was included as part of applying the practical alternative, which was subsequently exercised by Sanofi. Revenue is recognized over the research term of 4.25 years, the revised research period which was agreed to in January 2021, using the cost-based input method, which the Company determined most faithfully depicts the transfer of its performance obligations to Sanofi,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 These actual costs consist primarily of internal employee and third party contract costs related to the Sanofi Agreement.</w:t>
      </w:r>
    </w:p>
    <w:p>
      <w:pPr>
        <w:spacing w:after="0" w:line="44"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The Company accounted for the First Sanofi Amendment as if it were part of the existing contract with Sanofi as the remaining goods and services to be provided after the contract modification are not distinct from the goods and services already provided and, therefore, form part of a single performance obligation that is partially satisfied at the date of the contract modification. The contract modification did not have an effect on the contract transaction price. The effect of the revised research period on the Company’s measure of progress toward complete satisfaction of the performance obligation was recognized as an adjustment to revenue at the date of the contract modification on a cumulative catch-up basis.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16" w:name="page17"/>
    <w:bookmarkEnd w:id="16"/>
    <w:p>
      <w:pPr>
        <w:ind w:firstLine="513"/>
        <w:spacing w:after="0" w:line="263" w:lineRule="auto"/>
        <w:rPr>
          <w:sz w:val="20"/>
          <w:szCs w:val="20"/>
          <w:color w:val="auto"/>
        </w:rPr>
      </w:pPr>
      <w:r>
        <w:rPr>
          <w:rFonts w:ascii="Arial" w:cs="Arial" w:eastAsia="Arial" w:hAnsi="Arial"/>
          <w:sz w:val="12"/>
          <w:szCs w:val="12"/>
          <w:color w:val="auto"/>
        </w:rPr>
        <w:t>For the three and six months ended May 31, 2021, the Company recognized collaboration revenue related to the Sanofi Agreement of $3.3 million and $5.6 million, respectively, all of which was included in deferred revenue as of November 30, 2020. For the three and six months ended May 31, 2020, the Company recognized revenue related to the Sanofi Agreement of $1.8 million and $2.2 million, respectively. As of May 31, 2021, $65.7 million was recorded as deferred revenue, of which $19.0 million was current, on the condensed consolidated balance sheet related to the Sanofi Agreement.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Condensed Consolidated Balance Sheet Components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 Net</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Property and equipment, net, consisted of the following (in thousands):</w:t>
      </w:r>
    </w:p>
    <w:p>
      <w:pPr>
        <w:spacing w:after="0" w:line="269"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1440" w:type="dxa"/>
            <w:vAlign w:val="bottom"/>
          </w:tcPr>
          <w:p>
            <w:pPr>
              <w:jc w:val="right"/>
              <w:ind w:right="212"/>
              <w:spacing w:after="0"/>
              <w:rPr>
                <w:sz w:val="20"/>
                <w:szCs w:val="20"/>
                <w:color w:val="auto"/>
              </w:rPr>
            </w:pPr>
            <w:r>
              <w:rPr>
                <w:rFonts w:ascii="Arial" w:cs="Arial" w:eastAsia="Arial" w:hAnsi="Arial"/>
                <w:sz w:val="10"/>
                <w:szCs w:val="10"/>
                <w:b w:val="1"/>
                <w:bCs w:val="1"/>
                <w:color w:val="auto"/>
              </w:rPr>
              <w:t>May 31,</w:t>
            </w: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0"/>
                <w:szCs w:val="10"/>
                <w:b w:val="1"/>
                <w:bCs w:val="1"/>
                <w:color w:val="auto"/>
              </w:rPr>
              <w:t>November 30,</w:t>
            </w:r>
          </w:p>
        </w:tc>
      </w:tr>
      <w:tr>
        <w:trPr>
          <w:trHeight w:val="142"/>
        </w:trPr>
        <w:tc>
          <w:tcPr>
            <w:tcW w:w="5640" w:type="dxa"/>
            <w:vAlign w:val="bottom"/>
            <w:tcBorders>
              <w:bottom w:val="single" w:sz="8" w:color="CFF0FC"/>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142"/>
        </w:trPr>
        <w:tc>
          <w:tcPr>
            <w:tcW w:w="5640" w:type="dxa"/>
            <w:vAlign w:val="bottom"/>
            <w:shd w:val="clear" w:color="auto" w:fill="CFF0FC"/>
          </w:tcPr>
          <w:p>
            <w:pPr>
              <w:spacing w:after="0"/>
              <w:rPr>
                <w:sz w:val="20"/>
                <w:szCs w:val="20"/>
                <w:color w:val="auto"/>
              </w:rPr>
            </w:pPr>
            <w:r>
              <w:rPr>
                <w:rFonts w:ascii="Arial" w:cs="Arial" w:eastAsia="Arial" w:hAnsi="Arial"/>
                <w:sz w:val="12"/>
                <w:szCs w:val="12"/>
                <w:color w:val="auto"/>
              </w:rPr>
              <w:t>Laboratory equipment</w:t>
            </w:r>
          </w:p>
        </w:tc>
        <w:tc>
          <w:tcPr>
            <w:tcW w:w="1440" w:type="dxa"/>
            <w:vAlign w:val="bottom"/>
            <w:shd w:val="clear" w:color="auto" w:fill="CFF0FC"/>
          </w:tcPr>
          <w:p>
            <w:pPr>
              <w:jc w:val="right"/>
              <w:ind w:right="133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15,885</w:t>
            </w: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14,120</w:t>
            </w:r>
          </w:p>
        </w:tc>
        <w:tc>
          <w:tcPr>
            <w:tcW w:w="100" w:type="dxa"/>
            <w:vAlign w:val="bottom"/>
            <w:shd w:val="clear" w:color="auto" w:fill="CFF0FC"/>
          </w:tcPr>
          <w:p>
            <w:pPr>
              <w:spacing w:after="0"/>
              <w:rPr>
                <w:sz w:val="12"/>
                <w:szCs w:val="12"/>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Leasehold improvements</w:t>
            </w:r>
          </w:p>
        </w:tc>
        <w:tc>
          <w:tcPr>
            <w:tcW w:w="14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2,821</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2,664</w:t>
            </w:r>
          </w:p>
        </w:tc>
        <w:tc>
          <w:tcPr>
            <w:tcW w:w="100" w:type="dxa"/>
            <w:vAlign w:val="bottom"/>
          </w:tcPr>
          <w:p>
            <w:pPr>
              <w:spacing w:after="0"/>
              <w:rPr>
                <w:sz w:val="13"/>
                <w:szCs w:val="13"/>
                <w:color w:val="auto"/>
              </w:rPr>
            </w:pPr>
          </w:p>
        </w:tc>
      </w:tr>
      <w:tr>
        <w:trPr>
          <w:trHeight w:val="153"/>
        </w:trPr>
        <w:tc>
          <w:tcPr>
            <w:tcW w:w="5640" w:type="dxa"/>
            <w:vAlign w:val="bottom"/>
            <w:shd w:val="clear" w:color="auto" w:fill="CFF0FC"/>
          </w:tcPr>
          <w:p>
            <w:pPr>
              <w:spacing w:after="0"/>
              <w:rPr>
                <w:sz w:val="20"/>
                <w:szCs w:val="20"/>
                <w:color w:val="auto"/>
              </w:rPr>
            </w:pPr>
            <w:r>
              <w:rPr>
                <w:rFonts w:ascii="Arial" w:cs="Arial" w:eastAsia="Arial" w:hAnsi="Arial"/>
                <w:sz w:val="12"/>
                <w:szCs w:val="12"/>
                <w:color w:val="auto"/>
              </w:rPr>
              <w:t>Computer equipment</w:t>
            </w:r>
          </w:p>
        </w:tc>
        <w:tc>
          <w:tcPr>
            <w:tcW w:w="14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745</w:t>
            </w:r>
          </w:p>
        </w:tc>
        <w:tc>
          <w:tcPr>
            <w:tcW w:w="3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745</w:t>
            </w:r>
          </w:p>
        </w:tc>
        <w:tc>
          <w:tcPr>
            <w:tcW w:w="100" w:type="dxa"/>
            <w:vAlign w:val="bottom"/>
            <w:shd w:val="clear" w:color="auto" w:fill="CFF0FC"/>
          </w:tcPr>
          <w:p>
            <w:pPr>
              <w:spacing w:after="0"/>
              <w:rPr>
                <w:sz w:val="13"/>
                <w:szCs w:val="13"/>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Furniture and fixtures</w:t>
            </w:r>
          </w:p>
        </w:tc>
        <w:tc>
          <w:tcPr>
            <w:tcW w:w="14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506</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506</w:t>
            </w:r>
          </w:p>
        </w:tc>
        <w:tc>
          <w:tcPr>
            <w:tcW w:w="100" w:type="dxa"/>
            <w:vAlign w:val="bottom"/>
          </w:tcPr>
          <w:p>
            <w:pPr>
              <w:spacing w:after="0"/>
              <w:rPr>
                <w:sz w:val="13"/>
                <w:szCs w:val="13"/>
                <w:color w:val="auto"/>
              </w:rPr>
            </w:pPr>
          </w:p>
        </w:tc>
      </w:tr>
      <w:tr>
        <w:trPr>
          <w:trHeight w:val="153"/>
        </w:trPr>
        <w:tc>
          <w:tcPr>
            <w:tcW w:w="5640" w:type="dxa"/>
            <w:vAlign w:val="bottom"/>
            <w:shd w:val="clear" w:color="auto" w:fill="CFF0FC"/>
          </w:tcPr>
          <w:p>
            <w:pPr>
              <w:spacing w:after="0"/>
              <w:rPr>
                <w:sz w:val="20"/>
                <w:szCs w:val="20"/>
                <w:color w:val="auto"/>
              </w:rPr>
            </w:pPr>
            <w:r>
              <w:rPr>
                <w:rFonts w:ascii="Arial" w:cs="Arial" w:eastAsia="Arial" w:hAnsi="Arial"/>
                <w:sz w:val="12"/>
                <w:szCs w:val="12"/>
                <w:color w:val="auto"/>
              </w:rPr>
              <w:t>Software</w:t>
            </w:r>
          </w:p>
        </w:tc>
        <w:tc>
          <w:tcPr>
            <w:tcW w:w="14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1,820</w:t>
            </w:r>
          </w:p>
        </w:tc>
        <w:tc>
          <w:tcPr>
            <w:tcW w:w="3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1,316</w:t>
            </w:r>
          </w:p>
        </w:tc>
        <w:tc>
          <w:tcPr>
            <w:tcW w:w="100" w:type="dxa"/>
            <w:vAlign w:val="bottom"/>
            <w:shd w:val="clear" w:color="auto" w:fill="CFF0FC"/>
          </w:tcPr>
          <w:p>
            <w:pPr>
              <w:spacing w:after="0"/>
              <w:rPr>
                <w:sz w:val="13"/>
                <w:szCs w:val="13"/>
                <w:color w:val="auto"/>
              </w:rPr>
            </w:pPr>
          </w:p>
        </w:tc>
      </w:tr>
      <w:tr>
        <w:trPr>
          <w:trHeight w:val="153"/>
        </w:trPr>
        <w:tc>
          <w:tcPr>
            <w:tcW w:w="56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Software in progress</w:t>
            </w:r>
          </w:p>
        </w:tc>
        <w:tc>
          <w:tcPr>
            <w:tcW w:w="14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1,039</w:t>
            </w:r>
          </w:p>
        </w:tc>
        <w:tc>
          <w:tcPr>
            <w:tcW w:w="3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504</w:t>
            </w:r>
          </w:p>
        </w:tc>
        <w:tc>
          <w:tcPr>
            <w:tcW w:w="100" w:type="dxa"/>
            <w:vAlign w:val="bottom"/>
            <w:tcBorders>
              <w:bottom w:val="single" w:sz="8" w:color="CFF0FC"/>
            </w:tcBorders>
          </w:tcPr>
          <w:p>
            <w:pPr>
              <w:spacing w:after="0"/>
              <w:rPr>
                <w:sz w:val="13"/>
                <w:szCs w:val="13"/>
                <w:color w:val="auto"/>
              </w:rPr>
            </w:pPr>
          </w:p>
        </w:tc>
      </w:tr>
      <w:tr>
        <w:trPr>
          <w:trHeight w:val="142"/>
        </w:trPr>
        <w:tc>
          <w:tcPr>
            <w:tcW w:w="56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property and equipment, gross</w:t>
            </w:r>
          </w:p>
        </w:tc>
        <w:tc>
          <w:tcPr>
            <w:tcW w:w="14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22,816</w:t>
            </w: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19,855</w:t>
            </w:r>
          </w:p>
        </w:tc>
        <w:tc>
          <w:tcPr>
            <w:tcW w:w="100" w:type="dxa"/>
            <w:vAlign w:val="bottom"/>
            <w:shd w:val="clear" w:color="auto" w:fill="CFF0FC"/>
          </w:tcPr>
          <w:p>
            <w:pPr>
              <w:spacing w:after="0"/>
              <w:rPr>
                <w:sz w:val="12"/>
                <w:szCs w:val="12"/>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Less: Accumulated depreciation and amortization</w:t>
            </w:r>
          </w:p>
        </w:tc>
        <w:tc>
          <w:tcPr>
            <w:tcW w:w="144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(14,471)</w:t>
            </w:r>
          </w:p>
        </w:tc>
        <w:tc>
          <w:tcPr>
            <w:tcW w:w="400" w:type="dxa"/>
            <w:vAlign w:val="bottom"/>
          </w:tcPr>
          <w:p>
            <w:pPr>
              <w:spacing w:after="0"/>
              <w:rPr>
                <w:sz w:val="13"/>
                <w:szCs w:val="13"/>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2"/>
                <w:szCs w:val="12"/>
                <w:color w:val="auto"/>
              </w:rPr>
              <w:t>(13,183)</w:t>
            </w:r>
          </w:p>
        </w:tc>
      </w:tr>
      <w:tr>
        <w:trPr>
          <w:trHeight w:val="149"/>
        </w:trPr>
        <w:tc>
          <w:tcPr>
            <w:tcW w:w="56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Total property and equipment, net</w:t>
            </w:r>
          </w:p>
        </w:tc>
        <w:tc>
          <w:tcPr>
            <w:tcW w:w="1440" w:type="dxa"/>
            <w:vAlign w:val="bottom"/>
            <w:tcBorders>
              <w:top w:val="single" w:sz="8" w:color="auto"/>
              <w:bottom w:val="single" w:sz="8" w:color="auto"/>
            </w:tcBorders>
            <w:shd w:val="clear" w:color="auto" w:fill="CFF0FC"/>
          </w:tcPr>
          <w:p>
            <w:pPr>
              <w:jc w:val="right"/>
              <w:ind w:right="133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8,345</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6,672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07"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Depreciation and amortization expense was $0.6 million and $0.5 million for the three months ended May 31, 2021 and 2020, respectively, and $1.3 million and $1.0 million for the six months ended May 31, 2021 and 2020, respectively. All long-lived assets are maintained in the 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Accrued and Other Current Liabilities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Accrued and other current liabilities consisted of the following (in thousands):</w:t>
      </w:r>
    </w:p>
    <w:p>
      <w:pPr>
        <w:spacing w:after="0" w:line="28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1480" w:type="dxa"/>
            <w:vAlign w:val="bottom"/>
          </w:tcPr>
          <w:p>
            <w:pPr>
              <w:jc w:val="right"/>
              <w:ind w:right="252"/>
              <w:spacing w:after="0"/>
              <w:rPr>
                <w:sz w:val="20"/>
                <w:szCs w:val="20"/>
                <w:color w:val="auto"/>
              </w:rPr>
            </w:pPr>
            <w:r>
              <w:rPr>
                <w:rFonts w:ascii="Arial" w:cs="Arial" w:eastAsia="Arial" w:hAnsi="Arial"/>
                <w:sz w:val="10"/>
                <w:szCs w:val="10"/>
                <w:b w:val="1"/>
                <w:bCs w:val="1"/>
                <w:color w:val="auto"/>
              </w:rPr>
              <w:t>May 31,</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40" w:type="dxa"/>
            <w:vAlign w:val="bottom"/>
            <w:gridSpan w:val="2"/>
          </w:tcPr>
          <w:p>
            <w:pPr>
              <w:ind w:left="340"/>
              <w:spacing w:after="0"/>
              <w:rPr>
                <w:sz w:val="20"/>
                <w:szCs w:val="20"/>
                <w:color w:val="auto"/>
              </w:rPr>
            </w:pPr>
            <w:r>
              <w:rPr>
                <w:rFonts w:ascii="Arial" w:cs="Arial" w:eastAsia="Arial" w:hAnsi="Arial"/>
                <w:sz w:val="10"/>
                <w:szCs w:val="10"/>
                <w:b w:val="1"/>
                <w:bCs w:val="1"/>
                <w:color w:val="auto"/>
              </w:rPr>
              <w:t>November 30,</w:t>
            </w:r>
          </w:p>
        </w:tc>
      </w:tr>
      <w:tr>
        <w:trPr>
          <w:trHeight w:val="142"/>
        </w:trPr>
        <w:tc>
          <w:tcPr>
            <w:tcW w:w="5640" w:type="dxa"/>
            <w:vAlign w:val="bottom"/>
            <w:tcBorders>
              <w:bottom w:val="single" w:sz="8" w:color="CFF0FC"/>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863"/>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142"/>
        </w:trPr>
        <w:tc>
          <w:tcPr>
            <w:tcW w:w="5640" w:type="dxa"/>
            <w:vAlign w:val="bottom"/>
            <w:shd w:val="clear" w:color="auto" w:fill="CFF0FC"/>
          </w:tcPr>
          <w:p>
            <w:pPr>
              <w:spacing w:after="0"/>
              <w:rPr>
                <w:sz w:val="20"/>
                <w:szCs w:val="20"/>
                <w:color w:val="auto"/>
              </w:rPr>
            </w:pPr>
            <w:r>
              <w:rPr>
                <w:rFonts w:ascii="Arial" w:cs="Arial" w:eastAsia="Arial" w:hAnsi="Arial"/>
                <w:sz w:val="12"/>
                <w:szCs w:val="12"/>
                <w:color w:val="auto"/>
              </w:rPr>
              <w:t>Accrued compensation</w:t>
            </w:r>
          </w:p>
        </w:tc>
        <w:tc>
          <w:tcPr>
            <w:tcW w:w="1480" w:type="dxa"/>
            <w:vAlign w:val="bottom"/>
            <w:shd w:val="clear" w:color="auto" w:fill="CFF0FC"/>
          </w:tcPr>
          <w:p>
            <w:pPr>
              <w:jc w:val="right"/>
              <w:ind w:right="137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4,986</w:t>
            </w: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5,725</w:t>
            </w:r>
          </w:p>
        </w:tc>
        <w:tc>
          <w:tcPr>
            <w:tcW w:w="100" w:type="dxa"/>
            <w:vAlign w:val="bottom"/>
            <w:shd w:val="clear" w:color="auto" w:fill="CFF0FC"/>
          </w:tcPr>
          <w:p>
            <w:pPr>
              <w:spacing w:after="0"/>
              <w:rPr>
                <w:sz w:val="12"/>
                <w:szCs w:val="12"/>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Accrued contract research and lab supplies</w:t>
            </w:r>
          </w:p>
        </w:tc>
        <w:tc>
          <w:tcPr>
            <w:tcW w:w="14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1,388</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1,238</w:t>
            </w:r>
          </w:p>
        </w:tc>
        <w:tc>
          <w:tcPr>
            <w:tcW w:w="100" w:type="dxa"/>
            <w:vAlign w:val="bottom"/>
          </w:tcPr>
          <w:p>
            <w:pPr>
              <w:spacing w:after="0"/>
              <w:rPr>
                <w:sz w:val="13"/>
                <w:szCs w:val="13"/>
                <w:color w:val="auto"/>
              </w:rPr>
            </w:pPr>
          </w:p>
        </w:tc>
      </w:tr>
      <w:tr>
        <w:trPr>
          <w:trHeight w:val="153"/>
        </w:trPr>
        <w:tc>
          <w:tcPr>
            <w:tcW w:w="5640" w:type="dxa"/>
            <w:vAlign w:val="bottom"/>
            <w:shd w:val="clear" w:color="auto" w:fill="CFF0FC"/>
          </w:tcPr>
          <w:p>
            <w:pPr>
              <w:spacing w:after="0"/>
              <w:rPr>
                <w:sz w:val="20"/>
                <w:szCs w:val="20"/>
                <w:color w:val="auto"/>
              </w:rPr>
            </w:pPr>
            <w:r>
              <w:rPr>
                <w:rFonts w:ascii="Arial" w:cs="Arial" w:eastAsia="Arial" w:hAnsi="Arial"/>
                <w:sz w:val="12"/>
                <w:szCs w:val="12"/>
                <w:color w:val="auto"/>
              </w:rPr>
              <w:t>Accrued professional services</w:t>
            </w:r>
          </w:p>
        </w:tc>
        <w:tc>
          <w:tcPr>
            <w:tcW w:w="14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703</w:t>
            </w:r>
          </w:p>
        </w:tc>
        <w:tc>
          <w:tcPr>
            <w:tcW w:w="3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591</w:t>
            </w:r>
          </w:p>
        </w:tc>
        <w:tc>
          <w:tcPr>
            <w:tcW w:w="100" w:type="dxa"/>
            <w:vAlign w:val="bottom"/>
            <w:shd w:val="clear" w:color="auto" w:fill="CFF0FC"/>
          </w:tcPr>
          <w:p>
            <w:pPr>
              <w:spacing w:after="0"/>
              <w:rPr>
                <w:sz w:val="13"/>
                <w:szCs w:val="13"/>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Accrued taxes</w:t>
            </w:r>
          </w:p>
        </w:tc>
        <w:tc>
          <w:tcPr>
            <w:tcW w:w="14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3"/>
                <w:szCs w:val="13"/>
                <w:color w:val="auto"/>
              </w:rPr>
            </w:pPr>
          </w:p>
        </w:tc>
      </w:tr>
      <w:tr>
        <w:trPr>
          <w:trHeight w:val="153"/>
        </w:trPr>
        <w:tc>
          <w:tcPr>
            <w:tcW w:w="564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14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601</w:t>
            </w:r>
          </w:p>
        </w:tc>
        <w:tc>
          <w:tcPr>
            <w:tcW w:w="32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700</w:t>
            </w:r>
          </w:p>
        </w:tc>
        <w:tc>
          <w:tcPr>
            <w:tcW w:w="100" w:type="dxa"/>
            <w:vAlign w:val="bottom"/>
            <w:shd w:val="clear" w:color="auto" w:fill="CFF0FC"/>
          </w:tcPr>
          <w:p>
            <w:pPr>
              <w:spacing w:after="0"/>
              <w:rPr>
                <w:sz w:val="13"/>
                <w:szCs w:val="13"/>
                <w:color w:val="auto"/>
              </w:rPr>
            </w:pPr>
          </w:p>
        </w:tc>
      </w:tr>
      <w:tr>
        <w:trPr>
          <w:trHeight w:val="149"/>
        </w:trPr>
        <w:tc>
          <w:tcPr>
            <w:tcW w:w="5640" w:type="dxa"/>
            <w:vAlign w:val="bottom"/>
          </w:tcPr>
          <w:p>
            <w:pPr>
              <w:spacing w:after="0"/>
              <w:rPr>
                <w:sz w:val="20"/>
                <w:szCs w:val="20"/>
                <w:color w:val="auto"/>
              </w:rPr>
            </w:pPr>
            <w:r>
              <w:rPr>
                <w:rFonts w:ascii="Arial" w:cs="Arial" w:eastAsia="Arial" w:hAnsi="Arial"/>
                <w:sz w:val="12"/>
                <w:szCs w:val="12"/>
                <w:color w:val="auto"/>
              </w:rPr>
              <w:t>Total</w:t>
            </w:r>
          </w:p>
        </w:tc>
        <w:tc>
          <w:tcPr>
            <w:tcW w:w="1480" w:type="dxa"/>
            <w:vAlign w:val="bottom"/>
            <w:tcBorders>
              <w:bottom w:val="single" w:sz="8" w:color="auto"/>
            </w:tcBorders>
          </w:tcPr>
          <w:p>
            <w:pPr>
              <w:jc w:val="right"/>
              <w:ind w:right="137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7,678</w:t>
            </w:r>
          </w:p>
        </w:tc>
        <w:tc>
          <w:tcPr>
            <w:tcW w:w="320" w:type="dxa"/>
            <w:vAlign w:val="bottom"/>
          </w:tcPr>
          <w:p>
            <w:pPr>
              <w:spacing w:after="0"/>
              <w:rPr>
                <w:sz w:val="12"/>
                <w:szCs w:val="12"/>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8,328</w:t>
            </w:r>
          </w:p>
        </w:tc>
        <w:tc>
          <w:tcPr>
            <w:tcW w:w="100" w:type="dxa"/>
            <w:vAlign w:val="bottom"/>
          </w:tcPr>
          <w:p>
            <w:pPr>
              <w:spacing w:after="0"/>
              <w:rPr>
                <w:sz w:val="12"/>
                <w:szCs w:val="12"/>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Fair Value Measurements</w:t>
      </w:r>
    </w:p>
    <w:p>
      <w:pPr>
        <w:spacing w:after="0" w:line="154" w:lineRule="exact"/>
        <w:rPr>
          <w:sz w:val="20"/>
          <w:szCs w:val="20"/>
          <w:color w:val="auto"/>
        </w:rPr>
      </w:pPr>
    </w:p>
    <w:p>
      <w:pPr>
        <w:ind w:firstLine="513"/>
        <w:spacing w:after="0" w:line="298" w:lineRule="auto"/>
        <w:rPr>
          <w:sz w:val="20"/>
          <w:szCs w:val="20"/>
          <w:color w:val="auto"/>
        </w:rPr>
      </w:pPr>
      <w:r>
        <w:rPr>
          <w:rFonts w:ascii="Arial" w:cs="Arial" w:eastAsia="Arial" w:hAnsi="Arial"/>
          <w:sz w:val="11"/>
          <w:szCs w:val="11"/>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Level 1—Inputs that reflect unadjusted quoted prices in active markets for identical assets or liabilities that the Company has the ability to access at the measurement date;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Level 2—Inputs other than quoted prices included within Level 1 that are observable for the asset or liability either directly or indirectly, including inputs in markets that are not considered to be active; and</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Level 3—Inputs that are unobservable.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00" w:top="347" w:right="359" w:bottom="1440" w:gutter="0" w:footer="0" w:header="0"/>
        </w:sectPr>
      </w:pPr>
    </w:p>
    <w:bookmarkStart w:id="17" w:name="page18"/>
    <w:bookmarkEnd w:id="17"/>
    <w:p>
      <w:pPr>
        <w:ind w:firstLine="513"/>
        <w:spacing w:after="0" w:line="276" w:lineRule="auto"/>
        <w:rPr>
          <w:sz w:val="20"/>
          <w:szCs w:val="20"/>
          <w:color w:val="auto"/>
        </w:rPr>
      </w:pPr>
      <w:r>
        <w:rPr>
          <w:rFonts w:ascii="Arial" w:cs="Arial" w:eastAsia="Arial" w:hAnsi="Arial"/>
          <w:sz w:val="12"/>
          <w:szCs w:val="12"/>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43"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The following tables presents the Company’s financial assets, which consist of cash equivalents and investments classified as available-for-sale investments, that are measured at fair value on a recurring basis as of May 31, 2021 and November 30, 2020 (in thousands):</w:t>
      </w:r>
    </w:p>
    <w:p>
      <w:pPr>
        <w:spacing w:after="0" w:line="102"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9"/>
              </w:rPr>
              <w:t>Amortized</w:t>
            </w:r>
          </w:p>
        </w:tc>
        <w:tc>
          <w:tcPr>
            <w:tcW w:w="18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6"/>
              </w:rPr>
              <w:t>Unrealized</w:t>
            </w:r>
          </w:p>
        </w:tc>
        <w:tc>
          <w:tcPr>
            <w:tcW w:w="200" w:type="dxa"/>
            <w:vAlign w:val="bottom"/>
          </w:tcPr>
          <w:p>
            <w:pPr>
              <w:spacing w:after="0"/>
              <w:rPr>
                <w:sz w:val="10"/>
                <w:szCs w:val="1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0"/>
              </w:rPr>
              <w:t>Unrealized</w:t>
            </w:r>
          </w:p>
        </w:tc>
        <w:tc>
          <w:tcPr>
            <w:tcW w:w="20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0"/>
                <w:szCs w:val="10"/>
                <w:b w:val="1"/>
                <w:bCs w:val="1"/>
                <w:color w:val="auto"/>
              </w:rPr>
              <w:t>Estimated</w:t>
            </w:r>
          </w:p>
        </w:tc>
      </w:tr>
      <w:tr>
        <w:trPr>
          <w:trHeight w:val="113"/>
        </w:trPr>
        <w:tc>
          <w:tcPr>
            <w:tcW w:w="35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May 31, 2021</w:t>
            </w:r>
          </w:p>
        </w:tc>
        <w:tc>
          <w:tcPr>
            <w:tcW w:w="140" w:type="dxa"/>
            <w:vAlign w:val="bottom"/>
            <w:tcBorders>
              <w:bottom w:val="single" w:sz="8" w:color="CFF0FC"/>
            </w:tcBorders>
          </w:tcPr>
          <w:p>
            <w:pPr>
              <w:spacing w:after="0"/>
              <w:rPr>
                <w:sz w:val="9"/>
                <w:szCs w:val="9"/>
                <w:color w:val="auto"/>
              </w:rPr>
            </w:pPr>
          </w:p>
        </w:tc>
        <w:tc>
          <w:tcPr>
            <w:tcW w:w="1180" w:type="dxa"/>
            <w:vAlign w:val="bottom"/>
            <w:tcBorders>
              <w:bottom w:val="single" w:sz="8" w:color="auto"/>
            </w:tcBorders>
          </w:tcPr>
          <w:p>
            <w:pPr>
              <w:ind w:left="480"/>
              <w:spacing w:after="0" w:line="114" w:lineRule="exact"/>
              <w:rPr>
                <w:sz w:val="20"/>
                <w:szCs w:val="20"/>
                <w:color w:val="auto"/>
              </w:rPr>
            </w:pPr>
            <w:r>
              <w:rPr>
                <w:rFonts w:ascii="Arial" w:cs="Arial" w:eastAsia="Arial" w:hAnsi="Arial"/>
                <w:sz w:val="10"/>
                <w:szCs w:val="10"/>
                <w:b w:val="1"/>
                <w:bCs w:val="1"/>
                <w:color w:val="auto"/>
              </w:rPr>
              <w:t>Level</w:t>
            </w:r>
          </w:p>
        </w:tc>
        <w:tc>
          <w:tcPr>
            <w:tcW w:w="1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42"/>
              <w:spacing w:after="0" w:line="114" w:lineRule="exact"/>
              <w:rPr>
                <w:sz w:val="20"/>
                <w:szCs w:val="20"/>
                <w:color w:val="auto"/>
              </w:rPr>
            </w:pPr>
            <w:r>
              <w:rPr>
                <w:rFonts w:ascii="Arial" w:cs="Arial" w:eastAsia="Arial" w:hAnsi="Arial"/>
                <w:sz w:val="10"/>
                <w:szCs w:val="10"/>
                <w:b w:val="1"/>
                <w:bCs w:val="1"/>
                <w:color w:val="auto"/>
                <w:w w:val="77"/>
              </w:rPr>
              <w:t>cost</w:t>
            </w: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142"/>
              <w:spacing w:after="0" w:line="114" w:lineRule="exact"/>
              <w:rPr>
                <w:sz w:val="20"/>
                <w:szCs w:val="20"/>
                <w:color w:val="auto"/>
              </w:rPr>
            </w:pPr>
            <w:r>
              <w:rPr>
                <w:rFonts w:ascii="Arial" w:cs="Arial" w:eastAsia="Arial" w:hAnsi="Arial"/>
                <w:sz w:val="10"/>
                <w:szCs w:val="10"/>
                <w:b w:val="1"/>
                <w:bCs w:val="1"/>
                <w:color w:val="auto"/>
                <w:w w:val="87"/>
              </w:rPr>
              <w:t>gain</w:t>
            </w: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8"/>
                <w:szCs w:val="8"/>
                <w:b w:val="1"/>
                <w:bCs w:val="1"/>
                <w:color w:val="auto"/>
                <w:w w:val="87"/>
              </w:rPr>
              <w:t>loss</w:t>
            </w: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ind w:left="160"/>
              <w:spacing w:after="0" w:line="114" w:lineRule="exact"/>
              <w:rPr>
                <w:sz w:val="20"/>
                <w:szCs w:val="20"/>
                <w:color w:val="auto"/>
              </w:rPr>
            </w:pPr>
            <w:r>
              <w:rPr>
                <w:rFonts w:ascii="Arial" w:cs="Arial" w:eastAsia="Arial" w:hAnsi="Arial"/>
                <w:sz w:val="10"/>
                <w:szCs w:val="10"/>
                <w:b w:val="1"/>
                <w:bCs w:val="1"/>
                <w:color w:val="auto"/>
              </w:rPr>
              <w:t>fair value</w:t>
            </w:r>
          </w:p>
        </w:tc>
        <w:tc>
          <w:tcPr>
            <w:tcW w:w="100" w:type="dxa"/>
            <w:vAlign w:val="bottom"/>
            <w:tcBorders>
              <w:bottom w:val="single" w:sz="8" w:color="CFF0FC"/>
            </w:tcBorders>
          </w:tcPr>
          <w:p>
            <w:pPr>
              <w:spacing w:after="0"/>
              <w:rPr>
                <w:sz w:val="9"/>
                <w:szCs w:val="9"/>
                <w:color w:val="auto"/>
              </w:rPr>
            </w:pPr>
          </w:p>
        </w:tc>
      </w:tr>
      <w:tr>
        <w:trPr>
          <w:trHeight w:val="142"/>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Money market funds</w:t>
            </w: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Level 1</w:t>
            </w: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168,067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168,067</w:t>
            </w:r>
          </w:p>
        </w:tc>
        <w:tc>
          <w:tcPr>
            <w:tcW w:w="100" w:type="dxa"/>
            <w:vAlign w:val="bottom"/>
            <w:shd w:val="clear" w:color="auto" w:fill="CFF0FC"/>
          </w:tcPr>
          <w:p>
            <w:pPr>
              <w:spacing w:after="0"/>
              <w:rPr>
                <w:sz w:val="12"/>
                <w:szCs w:val="12"/>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2"/>
                <w:szCs w:val="12"/>
                <w:color w:val="auto"/>
              </w:rPr>
              <w:t>U.S. treasury securities</w:t>
            </w:r>
          </w:p>
        </w:tc>
        <w:tc>
          <w:tcPr>
            <w:tcW w:w="1300" w:type="dxa"/>
            <w:vAlign w:val="bottom"/>
            <w:gridSpan w:val="2"/>
          </w:tcPr>
          <w:p>
            <w:pPr>
              <w:ind w:left="820"/>
              <w:spacing w:after="0"/>
              <w:rPr>
                <w:sz w:val="20"/>
                <w:szCs w:val="20"/>
                <w:color w:val="auto"/>
              </w:rPr>
            </w:pPr>
            <w:r>
              <w:rPr>
                <w:rFonts w:ascii="Arial" w:cs="Arial" w:eastAsia="Arial" w:hAnsi="Arial"/>
                <w:sz w:val="12"/>
                <w:szCs w:val="12"/>
                <w:color w:val="auto"/>
              </w:rPr>
              <w:t>Level 1</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16,571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16,572</w:t>
            </w:r>
          </w:p>
        </w:tc>
        <w:tc>
          <w:tcPr>
            <w:tcW w:w="100" w:type="dxa"/>
            <w:vAlign w:val="bottom"/>
          </w:tcPr>
          <w:p>
            <w:pPr>
              <w:spacing w:after="0"/>
              <w:rPr>
                <w:sz w:val="13"/>
                <w:szCs w:val="13"/>
                <w:color w:val="auto"/>
              </w:rPr>
            </w:pPr>
          </w:p>
        </w:tc>
      </w:tr>
      <w:tr>
        <w:trPr>
          <w:trHeight w:val="153"/>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Corporate debt securities</w:t>
            </w: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45,447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45,448</w:t>
            </w:r>
          </w:p>
        </w:tc>
        <w:tc>
          <w:tcPr>
            <w:tcW w:w="100" w:type="dxa"/>
            <w:vAlign w:val="bottom"/>
            <w:shd w:val="clear" w:color="auto" w:fill="CFF0FC"/>
          </w:tcPr>
          <w:p>
            <w:pPr>
              <w:spacing w:after="0"/>
              <w:rPr>
                <w:sz w:val="13"/>
                <w:szCs w:val="13"/>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2"/>
                <w:szCs w:val="12"/>
                <w:color w:val="auto"/>
              </w:rPr>
              <w:t>U.S. government agency securities</w:t>
            </w:r>
          </w:p>
        </w:tc>
        <w:tc>
          <w:tcPr>
            <w:tcW w:w="1300" w:type="dxa"/>
            <w:vAlign w:val="bottom"/>
            <w:gridSpan w:val="2"/>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r>
      <w:tr>
        <w:trPr>
          <w:trHeight w:val="153"/>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Corporate commercial paper</w:t>
            </w: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129,449</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129,449</w:t>
            </w:r>
          </w:p>
        </w:tc>
        <w:tc>
          <w:tcPr>
            <w:tcW w:w="100" w:type="dxa"/>
            <w:vAlign w:val="bottom"/>
            <w:shd w:val="clear" w:color="auto" w:fill="CFF0FC"/>
          </w:tcPr>
          <w:p>
            <w:pPr>
              <w:spacing w:after="0"/>
              <w:rPr>
                <w:sz w:val="13"/>
                <w:szCs w:val="13"/>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2"/>
                <w:szCs w:val="12"/>
                <w:color w:val="auto"/>
              </w:rPr>
              <w:t>Municipal securities</w:t>
            </w:r>
          </w:p>
        </w:tc>
        <w:tc>
          <w:tcPr>
            <w:tcW w:w="1300" w:type="dxa"/>
            <w:vAlign w:val="bottom"/>
            <w:gridSpan w:val="2"/>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5,338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5,345</w:t>
            </w:r>
          </w:p>
        </w:tc>
        <w:tc>
          <w:tcPr>
            <w:tcW w:w="100" w:type="dxa"/>
            <w:vAlign w:val="bottom"/>
          </w:tcPr>
          <w:p>
            <w:pPr>
              <w:spacing w:after="0"/>
              <w:rPr>
                <w:sz w:val="13"/>
                <w:szCs w:val="13"/>
                <w:color w:val="auto"/>
              </w:rPr>
            </w:pPr>
          </w:p>
        </w:tc>
      </w:tr>
      <w:tr>
        <w:trPr>
          <w:trHeight w:val="153"/>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Long-term investments:</w:t>
            </w: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2"/>
                <w:szCs w:val="12"/>
                <w:color w:val="auto"/>
              </w:rPr>
              <w:t>Corporate debt securities</w:t>
            </w:r>
          </w:p>
        </w:tc>
        <w:tc>
          <w:tcPr>
            <w:tcW w:w="1300" w:type="dxa"/>
            <w:vAlign w:val="bottom"/>
            <w:gridSpan w:val="2"/>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49,200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(41)</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49,175</w:t>
            </w:r>
          </w:p>
        </w:tc>
        <w:tc>
          <w:tcPr>
            <w:tcW w:w="100" w:type="dxa"/>
            <w:vAlign w:val="bottom"/>
          </w:tcPr>
          <w:p>
            <w:pPr>
              <w:spacing w:after="0"/>
              <w:rPr>
                <w:sz w:val="13"/>
                <w:szCs w:val="13"/>
                <w:color w:val="auto"/>
              </w:rPr>
            </w:pPr>
          </w:p>
        </w:tc>
      </w:tr>
      <w:tr>
        <w:trPr>
          <w:trHeight w:val="153"/>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U.S. government agency securities</w:t>
            </w: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52,434</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52,463</w:t>
            </w:r>
          </w:p>
        </w:tc>
        <w:tc>
          <w:tcPr>
            <w:tcW w:w="100" w:type="dxa"/>
            <w:vAlign w:val="bottom"/>
            <w:shd w:val="clear" w:color="auto" w:fill="CFF0FC"/>
          </w:tcPr>
          <w:p>
            <w:pPr>
              <w:spacing w:after="0"/>
              <w:rPr>
                <w:sz w:val="13"/>
                <w:szCs w:val="13"/>
                <w:color w:val="auto"/>
              </w:rPr>
            </w:pPr>
          </w:p>
        </w:tc>
      </w:tr>
      <w:tr>
        <w:trPr>
          <w:trHeight w:val="153"/>
        </w:trPr>
        <w:tc>
          <w:tcPr>
            <w:tcW w:w="372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Municipal securities</w:t>
            </w:r>
          </w:p>
        </w:tc>
        <w:tc>
          <w:tcPr>
            <w:tcW w:w="1300" w:type="dxa"/>
            <w:vAlign w:val="bottom"/>
            <w:tcBorders>
              <w:bottom w:val="single" w:sz="8" w:color="CFF0FC"/>
            </w:tcBorders>
            <w:gridSpan w:val="2"/>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8,785</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8,802</w:t>
            </w:r>
          </w:p>
        </w:tc>
        <w:tc>
          <w:tcPr>
            <w:tcW w:w="100" w:type="dxa"/>
            <w:vAlign w:val="bottom"/>
            <w:tcBorders>
              <w:bottom w:val="single" w:sz="8" w:color="CFF0FC"/>
            </w:tcBorders>
          </w:tcPr>
          <w:p>
            <w:pPr>
              <w:spacing w:after="0"/>
              <w:rPr>
                <w:sz w:val="13"/>
                <w:szCs w:val="13"/>
                <w:color w:val="auto"/>
              </w:rPr>
            </w:pPr>
          </w:p>
        </w:tc>
      </w:tr>
      <w:tr>
        <w:trPr>
          <w:trHeight w:val="162"/>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w:t>
            </w: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476,291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(49)</w:t>
            </w: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476,321</w:t>
            </w:r>
          </w:p>
        </w:tc>
        <w:tc>
          <w:tcPr>
            <w:tcW w:w="100" w:type="dxa"/>
            <w:vAlign w:val="bottom"/>
            <w:shd w:val="clear" w:color="auto" w:fill="CFF0FC"/>
          </w:tcPr>
          <w:p>
            <w:pPr>
              <w:spacing w:after="0"/>
              <w:rPr>
                <w:sz w:val="14"/>
                <w:szCs w:val="14"/>
                <w:color w:val="auto"/>
              </w:rPr>
            </w:pPr>
          </w:p>
        </w:tc>
      </w:tr>
      <w:tr>
        <w:trPr>
          <w:trHeight w:val="140"/>
        </w:trPr>
        <w:tc>
          <w:tcPr>
            <w:tcW w:w="3720" w:type="dxa"/>
            <w:vAlign w:val="bottom"/>
            <w:tcBorders>
              <w:top w:val="single" w:sz="8" w:color="CFF0FC"/>
            </w:tcBorders>
            <w:gridSpan w:val="2"/>
          </w:tcPr>
          <w:p>
            <w:pPr>
              <w:ind w:left="160"/>
              <w:spacing w:after="0"/>
              <w:rPr>
                <w:sz w:val="20"/>
                <w:szCs w:val="20"/>
                <w:color w:val="auto"/>
              </w:rPr>
            </w:pPr>
            <w:r>
              <w:rPr>
                <w:rFonts w:ascii="Arial" w:cs="Arial" w:eastAsia="Arial" w:hAnsi="Arial"/>
                <w:sz w:val="12"/>
                <w:szCs w:val="12"/>
                <w:color w:val="auto"/>
              </w:rPr>
              <w:t>Included in Cash and cash equivalents</w:t>
            </w:r>
          </w:p>
        </w:tc>
        <w:tc>
          <w:tcPr>
            <w:tcW w:w="11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168,067</w:t>
            </w: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168,067</w:t>
            </w:r>
          </w:p>
        </w:tc>
        <w:tc>
          <w:tcPr>
            <w:tcW w:w="100" w:type="dxa"/>
            <w:vAlign w:val="bottom"/>
            <w:tcBorders>
              <w:top w:val="single" w:sz="8" w:color="CFF0FC"/>
            </w:tcBorders>
          </w:tcPr>
          <w:p>
            <w:pPr>
              <w:spacing w:after="0"/>
              <w:rPr>
                <w:sz w:val="12"/>
                <w:szCs w:val="12"/>
                <w:color w:val="auto"/>
              </w:rPr>
            </w:pPr>
          </w:p>
        </w:tc>
      </w:tr>
      <w:tr>
        <w:trPr>
          <w:trHeight w:val="153"/>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Included in Short-term investments</w:t>
            </w: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197,805</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w:t>
            </w: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197,814</w:t>
            </w:r>
          </w:p>
        </w:tc>
        <w:tc>
          <w:tcPr>
            <w:tcW w:w="100" w:type="dxa"/>
            <w:vAlign w:val="bottom"/>
            <w:shd w:val="clear" w:color="auto" w:fill="CFF0FC"/>
          </w:tcPr>
          <w:p>
            <w:pPr>
              <w:spacing w:after="0"/>
              <w:rPr>
                <w:sz w:val="13"/>
                <w:szCs w:val="13"/>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2"/>
                <w:szCs w:val="12"/>
                <w:color w:val="auto"/>
              </w:rPr>
              <w:t>Included in Long-term investments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110,419</w:t>
            </w:r>
          </w:p>
        </w:tc>
        <w:tc>
          <w:tcPr>
            <w:tcW w:w="24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62</w:t>
            </w:r>
          </w:p>
        </w:tc>
        <w:tc>
          <w:tcPr>
            <w:tcW w:w="2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(41)</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110,440</w:t>
            </w:r>
          </w:p>
        </w:tc>
        <w:tc>
          <w:tcPr>
            <w:tcW w:w="100" w:type="dxa"/>
            <w:vAlign w:val="bottom"/>
          </w:tcPr>
          <w:p>
            <w:pPr>
              <w:spacing w:after="0"/>
              <w:rPr>
                <w:sz w:val="13"/>
                <w:szCs w:val="13"/>
                <w:color w:val="auto"/>
              </w:rPr>
            </w:pPr>
          </w:p>
        </w:tc>
      </w:tr>
      <w:tr>
        <w:trPr>
          <w:trHeight w:val="256"/>
        </w:trPr>
        <w:tc>
          <w:tcPr>
            <w:tcW w:w="3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9"/>
              </w:rPr>
              <w:t>Amortized</w:t>
            </w:r>
          </w:p>
        </w:tc>
        <w:tc>
          <w:tcPr>
            <w:tcW w:w="180" w:type="dxa"/>
            <w:vAlign w:val="bottom"/>
          </w:tcPr>
          <w:p>
            <w:pPr>
              <w:spacing w:after="0"/>
              <w:rPr>
                <w:sz w:val="22"/>
                <w:szCs w:val="22"/>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6"/>
              </w:rPr>
              <w:t>Unrealized</w:t>
            </w:r>
          </w:p>
        </w:tc>
        <w:tc>
          <w:tcPr>
            <w:tcW w:w="200" w:type="dxa"/>
            <w:vAlign w:val="bottom"/>
          </w:tcPr>
          <w:p>
            <w:pPr>
              <w:spacing w:after="0"/>
              <w:rPr>
                <w:sz w:val="22"/>
                <w:szCs w:val="22"/>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0"/>
              </w:rPr>
              <w:t>Unrealized</w:t>
            </w:r>
          </w:p>
        </w:tc>
        <w:tc>
          <w:tcPr>
            <w:tcW w:w="20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Arial" w:cs="Arial" w:eastAsia="Arial" w:hAnsi="Arial"/>
                <w:sz w:val="10"/>
                <w:szCs w:val="10"/>
                <w:b w:val="1"/>
                <w:bCs w:val="1"/>
                <w:color w:val="auto"/>
              </w:rPr>
              <w:t>Estimated</w:t>
            </w:r>
          </w:p>
        </w:tc>
      </w:tr>
      <w:tr>
        <w:trPr>
          <w:trHeight w:val="113"/>
        </w:trPr>
        <w:tc>
          <w:tcPr>
            <w:tcW w:w="35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November 30, 2020</w:t>
            </w:r>
          </w:p>
        </w:tc>
        <w:tc>
          <w:tcPr>
            <w:tcW w:w="140" w:type="dxa"/>
            <w:vAlign w:val="bottom"/>
            <w:tcBorders>
              <w:bottom w:val="single" w:sz="8" w:color="CFF0FC"/>
            </w:tcBorders>
          </w:tcPr>
          <w:p>
            <w:pPr>
              <w:spacing w:after="0"/>
              <w:rPr>
                <w:sz w:val="9"/>
                <w:szCs w:val="9"/>
                <w:color w:val="auto"/>
              </w:rPr>
            </w:pPr>
          </w:p>
        </w:tc>
        <w:tc>
          <w:tcPr>
            <w:tcW w:w="1180" w:type="dxa"/>
            <w:vAlign w:val="bottom"/>
            <w:tcBorders>
              <w:bottom w:val="single" w:sz="8" w:color="auto"/>
            </w:tcBorders>
          </w:tcPr>
          <w:p>
            <w:pPr>
              <w:ind w:left="480"/>
              <w:spacing w:after="0" w:line="114" w:lineRule="exact"/>
              <w:rPr>
                <w:sz w:val="20"/>
                <w:szCs w:val="20"/>
                <w:color w:val="auto"/>
              </w:rPr>
            </w:pPr>
            <w:r>
              <w:rPr>
                <w:rFonts w:ascii="Arial" w:cs="Arial" w:eastAsia="Arial" w:hAnsi="Arial"/>
                <w:sz w:val="10"/>
                <w:szCs w:val="10"/>
                <w:b w:val="1"/>
                <w:bCs w:val="1"/>
                <w:color w:val="auto"/>
              </w:rPr>
              <w:t>Level</w:t>
            </w:r>
          </w:p>
        </w:tc>
        <w:tc>
          <w:tcPr>
            <w:tcW w:w="1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42"/>
              <w:spacing w:after="0" w:line="114" w:lineRule="exact"/>
              <w:rPr>
                <w:sz w:val="20"/>
                <w:szCs w:val="20"/>
                <w:color w:val="auto"/>
              </w:rPr>
            </w:pPr>
            <w:r>
              <w:rPr>
                <w:rFonts w:ascii="Arial" w:cs="Arial" w:eastAsia="Arial" w:hAnsi="Arial"/>
                <w:sz w:val="10"/>
                <w:szCs w:val="10"/>
                <w:b w:val="1"/>
                <w:bCs w:val="1"/>
                <w:color w:val="auto"/>
                <w:w w:val="77"/>
              </w:rPr>
              <w:t>cost</w:t>
            </w: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142"/>
              <w:spacing w:after="0" w:line="114" w:lineRule="exact"/>
              <w:rPr>
                <w:sz w:val="20"/>
                <w:szCs w:val="20"/>
                <w:color w:val="auto"/>
              </w:rPr>
            </w:pPr>
            <w:r>
              <w:rPr>
                <w:rFonts w:ascii="Arial" w:cs="Arial" w:eastAsia="Arial" w:hAnsi="Arial"/>
                <w:sz w:val="10"/>
                <w:szCs w:val="10"/>
                <w:b w:val="1"/>
                <w:bCs w:val="1"/>
                <w:color w:val="auto"/>
                <w:w w:val="87"/>
              </w:rPr>
              <w:t>gain</w:t>
            </w: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8"/>
                <w:szCs w:val="8"/>
                <w:b w:val="1"/>
                <w:bCs w:val="1"/>
                <w:color w:val="auto"/>
                <w:w w:val="87"/>
              </w:rPr>
              <w:t>loss</w:t>
            </w: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ind w:left="160"/>
              <w:spacing w:after="0" w:line="114" w:lineRule="exact"/>
              <w:rPr>
                <w:sz w:val="20"/>
                <w:szCs w:val="20"/>
                <w:color w:val="auto"/>
              </w:rPr>
            </w:pPr>
            <w:r>
              <w:rPr>
                <w:rFonts w:ascii="Arial" w:cs="Arial" w:eastAsia="Arial" w:hAnsi="Arial"/>
                <w:sz w:val="10"/>
                <w:szCs w:val="10"/>
                <w:b w:val="1"/>
                <w:bCs w:val="1"/>
                <w:color w:val="auto"/>
              </w:rPr>
              <w:t>fair value</w:t>
            </w:r>
          </w:p>
        </w:tc>
        <w:tc>
          <w:tcPr>
            <w:tcW w:w="100" w:type="dxa"/>
            <w:vAlign w:val="bottom"/>
            <w:tcBorders>
              <w:bottom w:val="single" w:sz="8" w:color="CFF0FC"/>
            </w:tcBorders>
          </w:tcPr>
          <w:p>
            <w:pPr>
              <w:spacing w:after="0"/>
              <w:rPr>
                <w:sz w:val="9"/>
                <w:szCs w:val="9"/>
                <w:color w:val="auto"/>
              </w:rPr>
            </w:pPr>
          </w:p>
        </w:tc>
      </w:tr>
      <w:tr>
        <w:trPr>
          <w:trHeight w:val="142"/>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Money market funds</w:t>
            </w: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Level 1</w:t>
            </w: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114,357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114,357</w:t>
            </w:r>
          </w:p>
        </w:tc>
        <w:tc>
          <w:tcPr>
            <w:tcW w:w="100" w:type="dxa"/>
            <w:vAlign w:val="bottom"/>
            <w:shd w:val="clear" w:color="auto" w:fill="CFF0FC"/>
          </w:tcPr>
          <w:p>
            <w:pPr>
              <w:spacing w:after="0"/>
              <w:rPr>
                <w:sz w:val="12"/>
                <w:szCs w:val="12"/>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2"/>
                <w:szCs w:val="12"/>
                <w:color w:val="auto"/>
              </w:rPr>
              <w:t>U.S. treasury securities</w:t>
            </w:r>
          </w:p>
        </w:tc>
        <w:tc>
          <w:tcPr>
            <w:tcW w:w="1300" w:type="dxa"/>
            <w:vAlign w:val="bottom"/>
            <w:gridSpan w:val="2"/>
          </w:tcPr>
          <w:p>
            <w:pPr>
              <w:ind w:left="820"/>
              <w:spacing w:after="0"/>
              <w:rPr>
                <w:sz w:val="20"/>
                <w:szCs w:val="20"/>
                <w:color w:val="auto"/>
              </w:rPr>
            </w:pPr>
            <w:r>
              <w:rPr>
                <w:rFonts w:ascii="Arial" w:cs="Arial" w:eastAsia="Arial" w:hAnsi="Arial"/>
                <w:sz w:val="12"/>
                <w:szCs w:val="12"/>
                <w:color w:val="auto"/>
              </w:rPr>
              <w:t>Level 1</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48,002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48,023</w:t>
            </w:r>
          </w:p>
        </w:tc>
        <w:tc>
          <w:tcPr>
            <w:tcW w:w="100" w:type="dxa"/>
            <w:vAlign w:val="bottom"/>
          </w:tcPr>
          <w:p>
            <w:pPr>
              <w:spacing w:after="0"/>
              <w:rPr>
                <w:sz w:val="13"/>
                <w:szCs w:val="13"/>
                <w:color w:val="auto"/>
              </w:rPr>
            </w:pPr>
          </w:p>
        </w:tc>
      </w:tr>
      <w:tr>
        <w:trPr>
          <w:trHeight w:val="153"/>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Corporate debt securities</w:t>
            </w: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23,287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23,292</w:t>
            </w:r>
          </w:p>
        </w:tc>
        <w:tc>
          <w:tcPr>
            <w:tcW w:w="100" w:type="dxa"/>
            <w:vAlign w:val="bottom"/>
            <w:shd w:val="clear" w:color="auto" w:fill="CFF0FC"/>
          </w:tcPr>
          <w:p>
            <w:pPr>
              <w:spacing w:after="0"/>
              <w:rPr>
                <w:sz w:val="13"/>
                <w:szCs w:val="13"/>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2"/>
                <w:szCs w:val="12"/>
                <w:color w:val="auto"/>
              </w:rPr>
              <w:t>U.S. government agency securities</w:t>
            </w:r>
          </w:p>
        </w:tc>
        <w:tc>
          <w:tcPr>
            <w:tcW w:w="1300" w:type="dxa"/>
            <w:vAlign w:val="bottom"/>
            <w:gridSpan w:val="2"/>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9,011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9,026</w:t>
            </w:r>
          </w:p>
        </w:tc>
        <w:tc>
          <w:tcPr>
            <w:tcW w:w="100" w:type="dxa"/>
            <w:vAlign w:val="bottom"/>
          </w:tcPr>
          <w:p>
            <w:pPr>
              <w:spacing w:after="0"/>
              <w:rPr>
                <w:sz w:val="13"/>
                <w:szCs w:val="13"/>
                <w:color w:val="auto"/>
              </w:rPr>
            </w:pPr>
          </w:p>
        </w:tc>
      </w:tr>
      <w:tr>
        <w:trPr>
          <w:trHeight w:val="153"/>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Corporate commercial paper</w:t>
            </w: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80,411</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80,411</w:t>
            </w:r>
          </w:p>
        </w:tc>
        <w:tc>
          <w:tcPr>
            <w:tcW w:w="100" w:type="dxa"/>
            <w:vAlign w:val="bottom"/>
            <w:shd w:val="clear" w:color="auto" w:fill="CFF0FC"/>
          </w:tcPr>
          <w:p>
            <w:pPr>
              <w:spacing w:after="0"/>
              <w:rPr>
                <w:sz w:val="13"/>
                <w:szCs w:val="13"/>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2"/>
                <w:szCs w:val="12"/>
                <w:color w:val="auto"/>
              </w:rPr>
              <w:t>Municipal securities</w:t>
            </w:r>
          </w:p>
        </w:tc>
        <w:tc>
          <w:tcPr>
            <w:tcW w:w="1300" w:type="dxa"/>
            <w:vAlign w:val="bottom"/>
            <w:gridSpan w:val="2"/>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6,032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(2)</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6,039</w:t>
            </w:r>
          </w:p>
        </w:tc>
        <w:tc>
          <w:tcPr>
            <w:tcW w:w="100" w:type="dxa"/>
            <w:vAlign w:val="bottom"/>
          </w:tcPr>
          <w:p>
            <w:pPr>
              <w:spacing w:after="0"/>
              <w:rPr>
                <w:sz w:val="13"/>
                <w:szCs w:val="13"/>
                <w:color w:val="auto"/>
              </w:rPr>
            </w:pPr>
          </w:p>
        </w:tc>
      </w:tr>
      <w:tr>
        <w:trPr>
          <w:trHeight w:val="153"/>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Long-term investments:</w:t>
            </w: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2"/>
                <w:szCs w:val="12"/>
                <w:color w:val="auto"/>
              </w:rPr>
              <w:t>Corporate debt securities</w:t>
            </w:r>
          </w:p>
        </w:tc>
        <w:tc>
          <w:tcPr>
            <w:tcW w:w="1300" w:type="dxa"/>
            <w:vAlign w:val="bottom"/>
            <w:gridSpan w:val="2"/>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11,207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(10)</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11,208</w:t>
            </w:r>
          </w:p>
        </w:tc>
        <w:tc>
          <w:tcPr>
            <w:tcW w:w="100" w:type="dxa"/>
            <w:vAlign w:val="bottom"/>
          </w:tcPr>
          <w:p>
            <w:pPr>
              <w:spacing w:after="0"/>
              <w:rPr>
                <w:sz w:val="13"/>
                <w:szCs w:val="13"/>
                <w:color w:val="auto"/>
              </w:rPr>
            </w:pPr>
          </w:p>
        </w:tc>
      </w:tr>
      <w:tr>
        <w:trPr>
          <w:trHeight w:val="153"/>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U.S. government agency securities</w:t>
            </w: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70,373</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70,391</w:t>
            </w:r>
          </w:p>
        </w:tc>
        <w:tc>
          <w:tcPr>
            <w:tcW w:w="100" w:type="dxa"/>
            <w:vAlign w:val="bottom"/>
            <w:shd w:val="clear" w:color="auto" w:fill="CFF0FC"/>
          </w:tcPr>
          <w:p>
            <w:pPr>
              <w:spacing w:after="0"/>
              <w:rPr>
                <w:sz w:val="13"/>
                <w:szCs w:val="13"/>
                <w:color w:val="auto"/>
              </w:rPr>
            </w:pPr>
          </w:p>
        </w:tc>
      </w:tr>
      <w:tr>
        <w:trPr>
          <w:trHeight w:val="153"/>
        </w:trPr>
        <w:tc>
          <w:tcPr>
            <w:tcW w:w="372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Municipal securities</w:t>
            </w:r>
          </w:p>
        </w:tc>
        <w:tc>
          <w:tcPr>
            <w:tcW w:w="1300" w:type="dxa"/>
            <w:vAlign w:val="bottom"/>
            <w:tcBorders>
              <w:bottom w:val="single" w:sz="8" w:color="CFF0FC"/>
            </w:tcBorders>
            <w:gridSpan w:val="2"/>
          </w:tcPr>
          <w:p>
            <w:pPr>
              <w:ind w:left="820"/>
              <w:spacing w:after="0"/>
              <w:rPr>
                <w:sz w:val="20"/>
                <w:szCs w:val="20"/>
                <w:color w:val="auto"/>
              </w:rPr>
            </w:pPr>
            <w:r>
              <w:rPr>
                <w:rFonts w:ascii="Arial" w:cs="Arial" w:eastAsia="Arial" w:hAnsi="Arial"/>
                <w:sz w:val="12"/>
                <w:szCs w:val="12"/>
                <w:color w:val="auto"/>
              </w:rPr>
              <w:t>Level 2</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9,269</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9,291</w:t>
            </w:r>
          </w:p>
        </w:tc>
        <w:tc>
          <w:tcPr>
            <w:tcW w:w="100" w:type="dxa"/>
            <w:vAlign w:val="bottom"/>
            <w:tcBorders>
              <w:bottom w:val="single" w:sz="8" w:color="CFF0FC"/>
            </w:tcBorders>
          </w:tcPr>
          <w:p>
            <w:pPr>
              <w:spacing w:after="0"/>
              <w:rPr>
                <w:sz w:val="13"/>
                <w:szCs w:val="13"/>
                <w:color w:val="auto"/>
              </w:rPr>
            </w:pPr>
          </w:p>
        </w:tc>
      </w:tr>
      <w:tr>
        <w:trPr>
          <w:trHeight w:val="162"/>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w:t>
            </w: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371,949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w:t>
            </w: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372,038</w:t>
            </w:r>
          </w:p>
        </w:tc>
        <w:tc>
          <w:tcPr>
            <w:tcW w:w="100" w:type="dxa"/>
            <w:vAlign w:val="bottom"/>
            <w:shd w:val="clear" w:color="auto" w:fill="CFF0FC"/>
          </w:tcPr>
          <w:p>
            <w:pPr>
              <w:spacing w:after="0"/>
              <w:rPr>
                <w:sz w:val="14"/>
                <w:szCs w:val="14"/>
                <w:color w:val="auto"/>
              </w:rPr>
            </w:pPr>
          </w:p>
        </w:tc>
      </w:tr>
      <w:tr>
        <w:trPr>
          <w:trHeight w:val="140"/>
        </w:trPr>
        <w:tc>
          <w:tcPr>
            <w:tcW w:w="3720" w:type="dxa"/>
            <w:vAlign w:val="bottom"/>
            <w:tcBorders>
              <w:top w:val="single" w:sz="8" w:color="CFF0FC"/>
            </w:tcBorders>
            <w:gridSpan w:val="2"/>
          </w:tcPr>
          <w:p>
            <w:pPr>
              <w:ind w:left="160"/>
              <w:spacing w:after="0"/>
              <w:rPr>
                <w:sz w:val="20"/>
                <w:szCs w:val="20"/>
                <w:color w:val="auto"/>
              </w:rPr>
            </w:pPr>
            <w:r>
              <w:rPr>
                <w:rFonts w:ascii="Arial" w:cs="Arial" w:eastAsia="Arial" w:hAnsi="Arial"/>
                <w:sz w:val="12"/>
                <w:szCs w:val="12"/>
                <w:color w:val="auto"/>
              </w:rPr>
              <w:t>Included in Cash and cash equivalents</w:t>
            </w:r>
          </w:p>
        </w:tc>
        <w:tc>
          <w:tcPr>
            <w:tcW w:w="11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119,356</w:t>
            </w: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119,356</w:t>
            </w:r>
          </w:p>
        </w:tc>
        <w:tc>
          <w:tcPr>
            <w:tcW w:w="100" w:type="dxa"/>
            <w:vAlign w:val="bottom"/>
            <w:tcBorders>
              <w:top w:val="single" w:sz="8" w:color="CFF0FC"/>
            </w:tcBorders>
          </w:tcPr>
          <w:p>
            <w:pPr>
              <w:spacing w:after="0"/>
              <w:rPr>
                <w:sz w:val="12"/>
                <w:szCs w:val="12"/>
                <w:color w:val="auto"/>
              </w:rPr>
            </w:pPr>
          </w:p>
        </w:tc>
      </w:tr>
      <w:tr>
        <w:trPr>
          <w:trHeight w:val="153"/>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Included in Short-term investments</w:t>
            </w: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161,744</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w:t>
            </w: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161,792</w:t>
            </w:r>
          </w:p>
        </w:tc>
        <w:tc>
          <w:tcPr>
            <w:tcW w:w="100" w:type="dxa"/>
            <w:vAlign w:val="bottom"/>
            <w:shd w:val="clear" w:color="auto" w:fill="CFF0FC"/>
          </w:tcPr>
          <w:p>
            <w:pPr>
              <w:spacing w:after="0"/>
              <w:rPr>
                <w:sz w:val="13"/>
                <w:szCs w:val="13"/>
                <w:color w:val="auto"/>
              </w:rPr>
            </w:pPr>
          </w:p>
        </w:tc>
      </w:tr>
      <w:tr>
        <w:trPr>
          <w:trHeight w:val="153"/>
        </w:trPr>
        <w:tc>
          <w:tcPr>
            <w:tcW w:w="3720" w:type="dxa"/>
            <w:vAlign w:val="bottom"/>
            <w:gridSpan w:val="2"/>
          </w:tcPr>
          <w:p>
            <w:pPr>
              <w:ind w:left="160"/>
              <w:spacing w:after="0"/>
              <w:rPr>
                <w:sz w:val="20"/>
                <w:szCs w:val="20"/>
                <w:color w:val="auto"/>
              </w:rPr>
            </w:pPr>
            <w:r>
              <w:rPr>
                <w:rFonts w:ascii="Arial" w:cs="Arial" w:eastAsia="Arial" w:hAnsi="Arial"/>
                <w:sz w:val="12"/>
                <w:szCs w:val="12"/>
                <w:color w:val="auto"/>
              </w:rPr>
              <w:t>Included in Long-term investments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90,849</w:t>
            </w:r>
          </w:p>
        </w:tc>
        <w:tc>
          <w:tcPr>
            <w:tcW w:w="24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58</w:t>
            </w:r>
          </w:p>
        </w:tc>
        <w:tc>
          <w:tcPr>
            <w:tcW w:w="2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(17)</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90,890</w:t>
            </w:r>
          </w:p>
        </w:tc>
        <w:tc>
          <w:tcPr>
            <w:tcW w:w="100" w:type="dxa"/>
            <w:vAlign w:val="bottom"/>
          </w:tcPr>
          <w:p>
            <w:pPr>
              <w:spacing w:after="0"/>
              <w:rPr>
                <w:sz w:val="13"/>
                <w:szCs w:val="13"/>
                <w:color w:val="auto"/>
              </w:rPr>
            </w:pPr>
          </w:p>
        </w:tc>
      </w:tr>
    </w:tbl>
    <w:p>
      <w:pPr>
        <w:spacing w:after="0" w:line="63" w:lineRule="exact"/>
        <w:rPr>
          <w:sz w:val="20"/>
          <w:szCs w:val="20"/>
          <w:color w:val="auto"/>
        </w:rPr>
      </w:pPr>
    </w:p>
    <w:p>
      <w:pPr>
        <w:ind w:left="500"/>
        <w:spacing w:after="0"/>
        <w:rPr>
          <w:sz w:val="20"/>
          <w:szCs w:val="20"/>
          <w:color w:val="auto"/>
        </w:rPr>
      </w:pPr>
      <w:r>
        <w:rPr>
          <w:rFonts w:ascii="Arial" w:cs="Arial" w:eastAsia="Arial" w:hAnsi="Arial"/>
          <w:sz w:val="10"/>
          <w:szCs w:val="10"/>
          <w:color w:val="auto"/>
        </w:rPr>
        <w:t>The Company classifies its money market funds and U.S. treasury securities, which are valued based on quoted market prices in active markets with no valuation adjustment, as Level 1 assets within the fair value hierarchy.</w:t>
      </w:r>
    </w:p>
    <w:p>
      <w:pPr>
        <w:spacing w:after="0" w:line="101"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The Company classifies its investments in corporate debt securities, U.S. government agency securities, corporate commercial paper, and municipal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52"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As of May 31, 2021 and November 30, 2020, none of the Company’s available-for-sale investments that were in an unrealized loss position had been in an unrealized loss position for more than 12 months. During the three and six months ended May 31, 2021 and 2020, the Company did not recognize any other-than-temporary impairment losses.</w:t>
      </w:r>
    </w:p>
    <w:p>
      <w:pPr>
        <w:spacing w:after="0" w:line="43" w:lineRule="exact"/>
        <w:rPr>
          <w:sz w:val="20"/>
          <w:szCs w:val="20"/>
          <w:color w:val="auto"/>
        </w:rPr>
      </w:pPr>
    </w:p>
    <w:p>
      <w:pPr>
        <w:ind w:right="120" w:firstLine="513"/>
        <w:spacing w:after="0" w:line="276" w:lineRule="auto"/>
        <w:rPr>
          <w:sz w:val="20"/>
          <w:szCs w:val="20"/>
          <w:color w:val="auto"/>
        </w:rPr>
      </w:pPr>
      <w:r>
        <w:rPr>
          <w:rFonts w:ascii="Arial" w:cs="Arial" w:eastAsia="Arial" w:hAnsi="Arial"/>
          <w:sz w:val="12"/>
          <w:szCs w:val="12"/>
          <w:color w:val="auto"/>
        </w:rPr>
        <w:t>The Company’s short-term investments have maturities of less than one year from the respective condensed consolidated balance sheet dates. The Company’s long-term investments have maturities of between one and two years from the respective condensed consolidated balance sheet dates.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6. Commitments and Contingencies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78" w:lineRule="exact"/>
        <w:rPr>
          <w:sz w:val="20"/>
          <w:szCs w:val="20"/>
          <w:color w:val="auto"/>
        </w:rPr>
      </w:pPr>
    </w:p>
    <w:p>
      <w:pPr>
        <w:jc w:val="both"/>
        <w:ind w:right="100" w:firstLine="513"/>
        <w:spacing w:after="0" w:line="263" w:lineRule="auto"/>
        <w:rPr>
          <w:sz w:val="20"/>
          <w:szCs w:val="20"/>
          <w:color w:val="auto"/>
        </w:rPr>
      </w:pPr>
      <w:r>
        <w:rPr>
          <w:rFonts w:ascii="Arial" w:cs="Arial" w:eastAsia="Arial" w:hAnsi="Arial"/>
          <w:sz w:val="12"/>
          <w:szCs w:val="12"/>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May 31, 2021, the Company had no outstanding, pending or threatened litigation.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Indemnifications</w:t>
      </w:r>
    </w:p>
    <w:p>
      <w:pPr>
        <w:spacing w:after="0" w:line="78"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56" w:lineRule="exact"/>
        <w:rPr>
          <w:sz w:val="20"/>
          <w:szCs w:val="20"/>
          <w:color w:val="auto"/>
        </w:rPr>
      </w:pPr>
    </w:p>
    <w:p>
      <w:pPr>
        <w:ind w:right="220" w:firstLine="513"/>
        <w:spacing w:after="0" w:line="326" w:lineRule="auto"/>
        <w:rPr>
          <w:sz w:val="20"/>
          <w:szCs w:val="20"/>
          <w:color w:val="auto"/>
        </w:rPr>
      </w:pPr>
      <w:r>
        <w:rPr>
          <w:rFonts w:ascii="Arial" w:cs="Arial" w:eastAsia="Arial" w:hAnsi="Arial"/>
          <w:sz w:val="10"/>
          <w:szCs w:val="10"/>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Leases</w:t>
      </w:r>
    </w:p>
    <w:p>
      <w:pPr>
        <w:spacing w:after="0" w:line="78" w:lineRule="exact"/>
        <w:rPr>
          <w:sz w:val="20"/>
          <w:szCs w:val="20"/>
          <w:color w:val="auto"/>
        </w:rPr>
      </w:pPr>
    </w:p>
    <w:p>
      <w:pPr>
        <w:ind w:right="20" w:firstLine="513"/>
        <w:spacing w:after="0" w:line="281" w:lineRule="auto"/>
        <w:rPr>
          <w:sz w:val="20"/>
          <w:szCs w:val="20"/>
          <w:color w:val="auto"/>
        </w:rPr>
      </w:pPr>
      <w:r>
        <w:rPr>
          <w:rFonts w:ascii="Arial" w:cs="Arial" w:eastAsia="Arial" w:hAnsi="Arial"/>
          <w:sz w:val="11"/>
          <w:szCs w:val="11"/>
          <w:color w:val="auto"/>
        </w:rPr>
        <w:t>The Company leases office and laboratory facilities in San Francisco, California under a lease agreement. The original lease term was scheduled to end 60 months following the Company’s full occupancy of the leased premises, which occurred in April 2015. In October 2015, the Company entered into a second lease agreement for additional space in the same building as its existing office and laboratory facilities. In November 2017, the Company entered into a second amendment to its original lease agreement that combined the Company’s two leases into a single lease agreement and extended the term of the lease agreement through April 30, 2025. In March 2021, the Company entered into a third amendment to its original lease agreement to add additional office space in the same building. The Company is required to pay base rent plus the tenant’s proportionate share of operating expenses as defined in the lease agreement. Under the terms of the lease agreement, the Company paid the landlord security deposits totaling $91,000 and issued a letter of credit to the landlord in the amount of $70,000, which is collateralized by a restricted deposit of $70,000. In June 2020, the Company entered into a new lease agreement for additional space in the same building as the Company’s existing office for a 14-month term ending on July 31, 2021. Rent expense was $0.9 million and $0.7 million for the three months ended May 31, 2021 and 2020, respectively, and $1.7 million and $1.5 million for the six months ended May 31, 2021 and 2020, respectively.</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Future minimum lease payments under the Company’s lease agreement as of May 31, 2021 were as follows (in thousands):</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7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 ending November 30,</w:t>
            </w:r>
          </w:p>
        </w:tc>
        <w:tc>
          <w:tcPr>
            <w:tcW w:w="280" w:type="dxa"/>
            <w:vAlign w:val="bottom"/>
            <w:tcBorders>
              <w:bottom w:val="single" w:sz="8" w:color="CFF0FC"/>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jc w:val="right"/>
              <w:ind w:right="922"/>
              <w:spacing w:after="0"/>
              <w:rPr>
                <w:sz w:val="20"/>
                <w:szCs w:val="20"/>
                <w:color w:val="auto"/>
              </w:rPr>
            </w:pPr>
            <w:r>
              <w:rPr>
                <w:rFonts w:ascii="Arial" w:cs="Arial" w:eastAsia="Arial" w:hAnsi="Arial"/>
                <w:sz w:val="10"/>
                <w:szCs w:val="10"/>
                <w:b w:val="1"/>
                <w:bCs w:val="1"/>
                <w:color w:val="auto"/>
              </w:rPr>
              <w:t>Operating Leases</w:t>
            </w:r>
          </w:p>
        </w:tc>
        <w:tc>
          <w:tcPr>
            <w:tcW w:w="100" w:type="dxa"/>
            <w:vAlign w:val="bottom"/>
            <w:tcBorders>
              <w:bottom w:val="single" w:sz="8" w:color="CFF0FC"/>
            </w:tcBorders>
          </w:tcPr>
          <w:p>
            <w:pPr>
              <w:spacing w:after="0"/>
              <w:rPr>
                <w:sz w:val="10"/>
                <w:szCs w:val="10"/>
                <w:color w:val="auto"/>
              </w:rPr>
            </w:pPr>
          </w:p>
        </w:tc>
      </w:tr>
      <w:tr>
        <w:trPr>
          <w:trHeight w:val="142"/>
        </w:trPr>
        <w:tc>
          <w:tcPr>
            <w:tcW w:w="7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2021 (remaining 6 months)</w:t>
            </w:r>
          </w:p>
        </w:tc>
        <w:tc>
          <w:tcPr>
            <w:tcW w:w="520" w:type="dxa"/>
            <w:vAlign w:val="bottom"/>
            <w:shd w:val="clear" w:color="auto" w:fill="CFF0FC"/>
          </w:tcPr>
          <w:p>
            <w:pPr>
              <w:jc w:val="right"/>
              <w:ind w:right="412"/>
              <w:spacing w:after="0"/>
              <w:rPr>
                <w:sz w:val="20"/>
                <w:szCs w:val="20"/>
                <w:color w:val="auto"/>
              </w:rPr>
            </w:pPr>
            <w:r>
              <w:rPr>
                <w:rFonts w:ascii="Arial" w:cs="Arial" w:eastAsia="Arial" w:hAnsi="Arial"/>
                <w:sz w:val="10"/>
                <w:szCs w:val="10"/>
                <w:color w:val="auto"/>
                <w:w w:val="71"/>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1,592</w:t>
            </w:r>
          </w:p>
        </w:tc>
        <w:tc>
          <w:tcPr>
            <w:tcW w:w="100" w:type="dxa"/>
            <w:vAlign w:val="bottom"/>
            <w:shd w:val="clear" w:color="auto" w:fill="CFF0FC"/>
          </w:tcPr>
          <w:p>
            <w:pPr>
              <w:spacing w:after="0"/>
              <w:rPr>
                <w:sz w:val="12"/>
                <w:szCs w:val="12"/>
                <w:color w:val="auto"/>
              </w:rPr>
            </w:pP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2022</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3,897</w:t>
            </w:r>
          </w:p>
        </w:tc>
        <w:tc>
          <w:tcPr>
            <w:tcW w:w="100" w:type="dxa"/>
            <w:vAlign w:val="bottom"/>
          </w:tcPr>
          <w:p>
            <w:pPr>
              <w:spacing w:after="0"/>
              <w:rPr>
                <w:sz w:val="13"/>
                <w:szCs w:val="13"/>
                <w:color w:val="auto"/>
              </w:rPr>
            </w:pPr>
          </w:p>
        </w:tc>
      </w:tr>
      <w:tr>
        <w:trPr>
          <w:trHeight w:val="153"/>
        </w:trPr>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3,986</w:t>
            </w:r>
          </w:p>
        </w:tc>
        <w:tc>
          <w:tcPr>
            <w:tcW w:w="100" w:type="dxa"/>
            <w:vAlign w:val="bottom"/>
            <w:shd w:val="clear" w:color="auto" w:fill="CFF0FC"/>
          </w:tcPr>
          <w:p>
            <w:pPr>
              <w:spacing w:after="0"/>
              <w:rPr>
                <w:sz w:val="13"/>
                <w:szCs w:val="13"/>
                <w:color w:val="auto"/>
              </w:rPr>
            </w:pPr>
          </w:p>
        </w:tc>
      </w:t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2024</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4,105</w:t>
            </w:r>
          </w:p>
        </w:tc>
        <w:tc>
          <w:tcPr>
            <w:tcW w:w="100" w:type="dxa"/>
            <w:vAlign w:val="bottom"/>
          </w:tcPr>
          <w:p>
            <w:pPr>
              <w:spacing w:after="0"/>
              <w:rPr>
                <w:sz w:val="13"/>
                <w:szCs w:val="13"/>
                <w:color w:val="auto"/>
              </w:rPr>
            </w:pPr>
          </w:p>
        </w:tc>
      </w:tr>
      <w:tr>
        <w:trPr>
          <w:trHeight w:val="153"/>
        </w:trPr>
        <w:tc>
          <w:tcPr>
            <w:tcW w:w="712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28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1,732</w:t>
            </w:r>
          </w:p>
        </w:tc>
        <w:tc>
          <w:tcPr>
            <w:tcW w:w="100" w:type="dxa"/>
            <w:vAlign w:val="bottom"/>
            <w:shd w:val="clear" w:color="auto" w:fill="CFF0FC"/>
          </w:tcPr>
          <w:p>
            <w:pPr>
              <w:spacing w:after="0"/>
              <w:rPr>
                <w:sz w:val="13"/>
                <w:szCs w:val="13"/>
                <w:color w:val="auto"/>
              </w:rPr>
            </w:pPr>
          </w:p>
        </w:tc>
      </w:tr>
      <w:tr>
        <w:trPr>
          <w:trHeight w:val="149"/>
        </w:trPr>
        <w:tc>
          <w:tcPr>
            <w:tcW w:w="7400" w:type="dxa"/>
            <w:vAlign w:val="bottom"/>
            <w:gridSpan w:val="2"/>
          </w:tcPr>
          <w:p>
            <w:pPr>
              <w:ind w:left="160"/>
              <w:spacing w:after="0"/>
              <w:rPr>
                <w:sz w:val="20"/>
                <w:szCs w:val="20"/>
                <w:color w:val="auto"/>
              </w:rPr>
            </w:pPr>
            <w:r>
              <w:rPr>
                <w:rFonts w:ascii="Arial" w:cs="Arial" w:eastAsia="Arial" w:hAnsi="Arial"/>
                <w:sz w:val="12"/>
                <w:szCs w:val="12"/>
                <w:color w:val="auto"/>
              </w:rPr>
              <w:t>Total minimum lease payments</w:t>
            </w: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15,312</w:t>
            </w:r>
          </w:p>
        </w:tc>
        <w:tc>
          <w:tcPr>
            <w:tcW w:w="100" w:type="dxa"/>
            <w:vAlign w:val="bottom"/>
          </w:tcPr>
          <w:p>
            <w:pPr>
              <w:spacing w:after="0"/>
              <w:rPr>
                <w:sz w:val="12"/>
                <w:szCs w:val="12"/>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Common Stock</w:t>
      </w:r>
    </w:p>
    <w:p>
      <w:pPr>
        <w:spacing w:after="0" w:line="82"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The Company’s Certificate of Incorporation, as amended, authorizes the Company to issue up to 500,000,000 shares of $0.001 par value common stock. The holder of each share of common stock is entitled to one vote. As of May 31, 2021, no dividends have been declared.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19" w:name="page20"/>
    <w:bookmarkEnd w:id="19"/>
    <w:p>
      <w:pPr>
        <w:ind w:left="508"/>
        <w:spacing w:after="0"/>
        <w:rPr>
          <w:sz w:val="20"/>
          <w:szCs w:val="20"/>
          <w:color w:val="auto"/>
        </w:rPr>
      </w:pPr>
      <w:r>
        <w:rPr>
          <w:rFonts w:ascii="Arial" w:cs="Arial" w:eastAsia="Arial" w:hAnsi="Arial"/>
          <w:sz w:val="12"/>
          <w:szCs w:val="12"/>
          <w:color w:val="auto"/>
        </w:rPr>
        <w:t>Common stock reserved for future issuance, on an as-if converted basis, as of May 31, 2021 and November 30, 2020, consists of the following and has been adjusted for the 1-for-3 reverse stock split:</w:t>
      </w:r>
    </w:p>
    <w:p>
      <w:pPr>
        <w:spacing w:after="0" w:line="197" w:lineRule="exact"/>
        <w:rPr>
          <w:sz w:val="20"/>
          <w:szCs w:val="20"/>
          <w:color w:val="auto"/>
        </w:rPr>
      </w:pPr>
    </w:p>
    <w:tbl>
      <w:tblPr>
        <w:tblLayout w:type="fixed"/>
        <w:tblInd w:w="568" w:type="dxa"/>
        <w:tblCellMar>
          <w:top w:w="0" w:type="dxa"/>
          <w:left w:w="0" w:type="dxa"/>
          <w:bottom w:w="0" w:type="dxa"/>
          <w:right w:w="0" w:type="dxa"/>
        </w:tblCellMar>
      </w:tblPr>
      <w:tr>
        <w:trPr>
          <w:trHeight w:val="115"/>
        </w:trPr>
        <w:tc>
          <w:tcPr>
            <w:tcW w:w="6540" w:type="dxa"/>
            <w:vAlign w:val="bottom"/>
          </w:tcPr>
          <w:p>
            <w:pPr>
              <w:spacing w:after="0"/>
              <w:rPr>
                <w:sz w:val="10"/>
                <w:szCs w:val="10"/>
                <w:color w:val="auto"/>
              </w:rPr>
            </w:pPr>
          </w:p>
        </w:tc>
        <w:tc>
          <w:tcPr>
            <w:tcW w:w="1040" w:type="dxa"/>
            <w:vAlign w:val="bottom"/>
            <w:tcBorders>
              <w:bottom w:val="single" w:sz="8" w:color="auto"/>
            </w:tcBorders>
          </w:tcPr>
          <w:p>
            <w:pPr>
              <w:jc w:val="center"/>
              <w:ind w:left="512"/>
              <w:spacing w:after="0"/>
              <w:rPr>
                <w:sz w:val="20"/>
                <w:szCs w:val="20"/>
                <w:color w:val="auto"/>
              </w:rPr>
            </w:pPr>
            <w:r>
              <w:rPr>
                <w:rFonts w:ascii="Arial" w:cs="Arial" w:eastAsia="Arial" w:hAnsi="Arial"/>
                <w:sz w:val="10"/>
                <w:szCs w:val="10"/>
                <w:b w:val="1"/>
                <w:bCs w:val="1"/>
                <w:color w:val="auto"/>
                <w:w w:val="88"/>
              </w:rPr>
              <w:t>May 31,</w:t>
            </w: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November 30,</w:t>
            </w:r>
          </w:p>
        </w:tc>
        <w:tc>
          <w:tcPr>
            <w:tcW w:w="100" w:type="dxa"/>
            <w:vAlign w:val="bottom"/>
          </w:tcPr>
          <w:p>
            <w:pPr>
              <w:spacing w:after="0"/>
              <w:rPr>
                <w:sz w:val="10"/>
                <w:szCs w:val="10"/>
                <w:color w:val="auto"/>
              </w:rPr>
            </w:pPr>
          </w:p>
        </w:tc>
      </w:tr>
      <w:tr>
        <w:trPr>
          <w:trHeight w:val="142"/>
        </w:trPr>
        <w:tc>
          <w:tcPr>
            <w:tcW w:w="654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620" w:type="dxa"/>
            <w:vAlign w:val="bottom"/>
            <w:tcBorders>
              <w:bottom w:val="single" w:sz="8" w:color="auto"/>
            </w:tcBorders>
          </w:tcPr>
          <w:p>
            <w:pPr>
              <w:jc w:val="right"/>
              <w:ind w:right="664"/>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142"/>
        </w:trPr>
        <w:tc>
          <w:tcPr>
            <w:tcW w:w="75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Issuance of options under stock option plan</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5,141,041</w:t>
            </w:r>
          </w:p>
        </w:tc>
        <w:tc>
          <w:tcPr>
            <w:tcW w:w="28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4,387,862</w:t>
            </w:r>
          </w:p>
        </w:tc>
        <w:tc>
          <w:tcPr>
            <w:tcW w:w="100" w:type="dxa"/>
            <w:vAlign w:val="bottom"/>
            <w:shd w:val="clear" w:color="auto" w:fill="CFF0FC"/>
          </w:tcPr>
          <w:p>
            <w:pPr>
              <w:spacing w:after="0"/>
              <w:rPr>
                <w:sz w:val="12"/>
                <w:szCs w:val="12"/>
                <w:color w:val="auto"/>
              </w:rPr>
            </w:pPr>
          </w:p>
        </w:tc>
      </w:tr>
      <w:tr>
        <w:trPr>
          <w:trHeight w:val="153"/>
        </w:trPr>
        <w:tc>
          <w:tcPr>
            <w:tcW w:w="7580" w:type="dxa"/>
            <w:vAlign w:val="bottom"/>
            <w:gridSpan w:val="2"/>
          </w:tcPr>
          <w:p>
            <w:pPr>
              <w:spacing w:after="0"/>
              <w:rPr>
                <w:sz w:val="20"/>
                <w:szCs w:val="20"/>
                <w:color w:val="auto"/>
              </w:rPr>
            </w:pPr>
            <w:r>
              <w:rPr>
                <w:rFonts w:ascii="Arial" w:cs="Arial" w:eastAsia="Arial" w:hAnsi="Arial"/>
                <w:sz w:val="12"/>
                <w:szCs w:val="12"/>
                <w:color w:val="auto"/>
              </w:rPr>
              <w:t>Shares available for future stock option grants</w:t>
            </w:r>
          </w:p>
        </w:tc>
        <w:tc>
          <w:tcPr>
            <w:tcW w:w="580" w:type="dxa"/>
            <w:vAlign w:val="bottom"/>
          </w:tcPr>
          <w:p>
            <w:pPr>
              <w:jc w:val="right"/>
              <w:spacing w:after="0"/>
              <w:rPr>
                <w:sz w:val="20"/>
                <w:szCs w:val="20"/>
                <w:color w:val="auto"/>
              </w:rPr>
            </w:pPr>
            <w:r>
              <w:rPr>
                <w:rFonts w:ascii="Arial" w:cs="Arial" w:eastAsia="Arial" w:hAnsi="Arial"/>
                <w:sz w:val="12"/>
                <w:szCs w:val="12"/>
                <w:color w:val="auto"/>
              </w:rPr>
              <w:t>3,542,030</w:t>
            </w:r>
          </w:p>
        </w:tc>
        <w:tc>
          <w:tcPr>
            <w:tcW w:w="2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3,035,684</w:t>
            </w:r>
          </w:p>
        </w:tc>
        <w:tc>
          <w:tcPr>
            <w:tcW w:w="100" w:type="dxa"/>
            <w:vAlign w:val="bottom"/>
          </w:tcPr>
          <w:p>
            <w:pPr>
              <w:spacing w:after="0"/>
              <w:rPr>
                <w:sz w:val="13"/>
                <w:szCs w:val="13"/>
                <w:color w:val="auto"/>
              </w:rPr>
            </w:pPr>
          </w:p>
        </w:tc>
      </w:tr>
      <w:tr>
        <w:trPr>
          <w:trHeight w:val="153"/>
        </w:trPr>
        <w:tc>
          <w:tcPr>
            <w:tcW w:w="6540" w:type="dxa"/>
            <w:vAlign w:val="bottom"/>
            <w:shd w:val="clear" w:color="auto" w:fill="CFF0FC"/>
          </w:tcPr>
          <w:p>
            <w:pPr>
              <w:spacing w:after="0"/>
              <w:rPr>
                <w:sz w:val="20"/>
                <w:szCs w:val="20"/>
                <w:color w:val="auto"/>
              </w:rPr>
            </w:pPr>
            <w:r>
              <w:rPr>
                <w:rFonts w:ascii="Arial" w:cs="Arial" w:eastAsia="Arial" w:hAnsi="Arial"/>
                <w:sz w:val="12"/>
                <w:szCs w:val="12"/>
                <w:color w:val="auto"/>
              </w:rPr>
              <w:t>Shares available for issuance under employee stock purchase plan</w:t>
            </w:r>
          </w:p>
        </w:tc>
        <w:tc>
          <w:tcPr>
            <w:tcW w:w="104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1,054,059</w:t>
            </w:r>
          </w:p>
        </w:tc>
        <w:tc>
          <w:tcPr>
            <w:tcW w:w="280" w:type="dxa"/>
            <w:vAlign w:val="bottom"/>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730,000</w:t>
            </w:r>
          </w:p>
        </w:tc>
        <w:tc>
          <w:tcPr>
            <w:tcW w:w="100" w:type="dxa"/>
            <w:vAlign w:val="bottom"/>
            <w:shd w:val="clear" w:color="auto" w:fill="CFF0FC"/>
          </w:tcPr>
          <w:p>
            <w:pPr>
              <w:spacing w:after="0"/>
              <w:rPr>
                <w:sz w:val="13"/>
                <w:szCs w:val="13"/>
                <w:color w:val="auto"/>
              </w:rPr>
            </w:pPr>
          </w:p>
        </w:tc>
      </w:tr>
      <w:tr>
        <w:trPr>
          <w:trHeight w:val="149"/>
        </w:trPr>
        <w:tc>
          <w:tcPr>
            <w:tcW w:w="6540" w:type="dxa"/>
            <w:vAlign w:val="bottom"/>
          </w:tcPr>
          <w:p>
            <w:pPr>
              <w:ind w:left="160"/>
              <w:spacing w:after="0"/>
              <w:rPr>
                <w:sz w:val="20"/>
                <w:szCs w:val="20"/>
                <w:color w:val="auto"/>
              </w:rPr>
            </w:pPr>
            <w:r>
              <w:rPr>
                <w:rFonts w:ascii="Arial" w:cs="Arial" w:eastAsia="Arial" w:hAnsi="Arial"/>
                <w:sz w:val="12"/>
                <w:szCs w:val="12"/>
                <w:color w:val="auto"/>
              </w:rPr>
              <w:t>Total common stock reserved for future issuance</w:t>
            </w:r>
          </w:p>
        </w:tc>
        <w:tc>
          <w:tcPr>
            <w:tcW w:w="10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9,737,130</w:t>
            </w:r>
          </w:p>
        </w:tc>
        <w:tc>
          <w:tcPr>
            <w:tcW w:w="280" w:type="dxa"/>
            <w:vAlign w:val="bottom"/>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8,153,546</w:t>
            </w:r>
          </w:p>
        </w:tc>
        <w:tc>
          <w:tcPr>
            <w:tcW w:w="100" w:type="dxa"/>
            <w:vAlign w:val="bottom"/>
          </w:tcPr>
          <w:p>
            <w:pPr>
              <w:spacing w:after="0"/>
              <w:rPr>
                <w:sz w:val="12"/>
                <w:szCs w:val="12"/>
                <w:color w:val="auto"/>
              </w:rPr>
            </w:pPr>
          </w:p>
        </w:tc>
      </w:tr>
    </w:tbl>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8. Stock-Based Compensation</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2020 Equity Incentive Plan</w:t>
      </w:r>
    </w:p>
    <w:p>
      <w:pPr>
        <w:spacing w:after="0" w:line="78" w:lineRule="exact"/>
        <w:rPr>
          <w:sz w:val="20"/>
          <w:szCs w:val="20"/>
          <w:color w:val="auto"/>
        </w:rPr>
      </w:pPr>
    </w:p>
    <w:p>
      <w:pPr>
        <w:ind w:left="8" w:right="40" w:firstLine="513"/>
        <w:spacing w:after="0" w:line="255" w:lineRule="auto"/>
        <w:rPr>
          <w:sz w:val="20"/>
          <w:szCs w:val="20"/>
          <w:color w:val="auto"/>
        </w:rPr>
      </w:pPr>
      <w:r>
        <w:rPr>
          <w:rFonts w:ascii="Arial" w:cs="Arial" w:eastAsia="Arial" w:hAnsi="Arial"/>
          <w:sz w:val="12"/>
          <w:szCs w:val="12"/>
          <w:color w:val="auto"/>
        </w:rPr>
        <w:t>In July 2020, the Company’s board of directors approved, and the Company adopted the 2020 Equity Incentive Plan (the 2020 Plan). The 2020 Plan became effective on July 22, 2020. The 2020 Plan provides for the granting of stock options, stock appreciation rights (SARs), restricted stock awards (RSAs), restricted stock units (RSUs), performance awards and stock bonus awards to employees, directors, consultants, independent contractors and advisors of the Company. Under the 2020 Plan, the Company generally grants stock-based awards with service-based vesting conditions only. Options granted typically vest over a four-year period but may be granted with different vesting terms.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the award shall expire five years from the date of grant. In the case of all other stock options, the per share exercise price shall be no less than 100% of the fair value per share on the date of grant.</w:t>
      </w:r>
    </w:p>
    <w:p>
      <w:pPr>
        <w:spacing w:after="0" w:line="56" w:lineRule="exact"/>
        <w:rPr>
          <w:sz w:val="20"/>
          <w:szCs w:val="20"/>
          <w:color w:val="auto"/>
        </w:rPr>
      </w:pPr>
    </w:p>
    <w:p>
      <w:pPr>
        <w:ind w:left="8" w:firstLine="513"/>
        <w:spacing w:after="0" w:line="263" w:lineRule="auto"/>
        <w:rPr>
          <w:sz w:val="20"/>
          <w:szCs w:val="20"/>
          <w:color w:val="auto"/>
        </w:rPr>
      </w:pPr>
      <w:r>
        <w:rPr>
          <w:rFonts w:ascii="Arial" w:cs="Arial" w:eastAsia="Arial" w:hAnsi="Arial"/>
          <w:sz w:val="12"/>
          <w:szCs w:val="12"/>
          <w:color w:val="auto"/>
        </w:rPr>
        <w:t>Following the effectiveness of the 2020 Plan, the Company ceased making grants under the 2012 Equity Incentive Plan (the 2012 Plan). However, the 2012 Plan continues to govern the terms and conditions of the outstanding awards granted under it. Shares of common stock subject to awards granted under the 2012 Plan that cease to be subject to such awards by forfeiture or otherwise after the termination of the 2012 Plan will be available for issuance under the 2020 Plan.</w:t>
      </w:r>
    </w:p>
    <w:p>
      <w:pPr>
        <w:spacing w:after="0" w:line="50" w:lineRule="exact"/>
        <w:rPr>
          <w:sz w:val="20"/>
          <w:szCs w:val="20"/>
          <w:color w:val="auto"/>
        </w:rPr>
      </w:pPr>
    </w:p>
    <w:p>
      <w:pPr>
        <w:ind w:left="508"/>
        <w:spacing w:after="0"/>
        <w:rPr>
          <w:sz w:val="20"/>
          <w:szCs w:val="20"/>
          <w:color w:val="auto"/>
        </w:rPr>
      </w:pPr>
      <w:r>
        <w:rPr>
          <w:rFonts w:ascii="Arial" w:cs="Arial" w:eastAsia="Arial" w:hAnsi="Arial"/>
          <w:sz w:val="12"/>
          <w:szCs w:val="12"/>
          <w:color w:val="auto"/>
        </w:rPr>
        <w:t>As of May 31, 2021, there were 3,542,030 shares of common stock reserved for future issuance pursuant to the 2020 Plan.</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2012 Equity Incentive Plan</w:t>
      </w:r>
    </w:p>
    <w:p>
      <w:pPr>
        <w:spacing w:after="0" w:line="78" w:lineRule="exact"/>
        <w:rPr>
          <w:sz w:val="20"/>
          <w:szCs w:val="20"/>
          <w:color w:val="auto"/>
        </w:rPr>
      </w:pPr>
    </w:p>
    <w:p>
      <w:pPr>
        <w:jc w:val="both"/>
        <w:ind w:left="8" w:right="40" w:firstLine="513"/>
        <w:spacing w:after="0" w:line="263" w:lineRule="auto"/>
        <w:rPr>
          <w:sz w:val="20"/>
          <w:szCs w:val="20"/>
          <w:color w:val="auto"/>
        </w:rPr>
      </w:pPr>
      <w:r>
        <w:rPr>
          <w:rFonts w:ascii="Arial" w:cs="Arial" w:eastAsia="Arial" w:hAnsi="Arial"/>
          <w:sz w:val="12"/>
          <w:szCs w:val="12"/>
          <w:color w:val="auto"/>
        </w:rPr>
        <w:t>In April 2012, the Company’s board of directors approved, and the Company adopted the 2012 Plan. The 2012 Plan provides for the granting of stock options, SARs, RSAs, and RSUs to employees, directors, consultants and advisors of the Company. Options granted under the 2012 Plan generally vest over four years. Options granted under the 2012 Plan may, but need not, be exercisable immediately, with any shares issued on exercise being subject to the Company’s right of repurchase.</w:t>
      </w:r>
    </w:p>
    <w:p>
      <w:pPr>
        <w:spacing w:after="0" w:line="50" w:lineRule="exact"/>
        <w:rPr>
          <w:sz w:val="20"/>
          <w:szCs w:val="20"/>
          <w:color w:val="auto"/>
        </w:rPr>
      </w:pPr>
    </w:p>
    <w:p>
      <w:pPr>
        <w:ind w:left="508"/>
        <w:spacing w:after="0"/>
        <w:rPr>
          <w:sz w:val="20"/>
          <w:szCs w:val="20"/>
          <w:color w:val="auto"/>
        </w:rPr>
      </w:pPr>
      <w:r>
        <w:rPr>
          <w:rFonts w:ascii="Arial" w:cs="Arial" w:eastAsia="Arial" w:hAnsi="Arial"/>
          <w:sz w:val="12"/>
          <w:szCs w:val="12"/>
          <w:color w:val="auto"/>
        </w:rPr>
        <w:t>As of May 31, 2021, there were no shares of common stock reserved for issuance pursuant to the 2012 Plan.</w:t>
      </w:r>
    </w:p>
    <w:p>
      <w:pPr>
        <w:spacing w:after="0" w:line="78" w:lineRule="exact"/>
        <w:rPr>
          <w:sz w:val="20"/>
          <w:szCs w:val="20"/>
          <w:color w:val="auto"/>
        </w:rPr>
      </w:pPr>
    </w:p>
    <w:p>
      <w:pPr>
        <w:ind w:left="508"/>
        <w:spacing w:after="0"/>
        <w:rPr>
          <w:sz w:val="20"/>
          <w:szCs w:val="20"/>
          <w:color w:val="auto"/>
        </w:rPr>
      </w:pPr>
      <w:r>
        <w:rPr>
          <w:rFonts w:ascii="Arial" w:cs="Arial" w:eastAsia="Arial" w:hAnsi="Arial"/>
          <w:sz w:val="12"/>
          <w:szCs w:val="12"/>
          <w:color w:val="auto"/>
        </w:rPr>
        <w:t>Activity under the 2020 Plan and 2012 Plan is set forth below and has been adjusted for the 1-for-3 reverse stock split (in thousands, except per share data):</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ind w:left="232"/>
              <w:spacing w:after="0"/>
              <w:rPr>
                <w:sz w:val="20"/>
                <w:szCs w:val="20"/>
                <w:color w:val="auto"/>
              </w:rPr>
            </w:pPr>
            <w:r>
              <w:rPr>
                <w:rFonts w:ascii="Arial" w:cs="Arial" w:eastAsia="Arial" w:hAnsi="Arial"/>
                <w:sz w:val="10"/>
                <w:szCs w:val="10"/>
                <w:b w:val="1"/>
                <w:bCs w:val="1"/>
                <w:color w:val="auto"/>
                <w:w w:val="86"/>
              </w:rPr>
              <w:t>Weighted-</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5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center"/>
              <w:ind w:left="272"/>
              <w:spacing w:after="0" w:line="99" w:lineRule="exact"/>
              <w:rPr>
                <w:sz w:val="20"/>
                <w:szCs w:val="20"/>
                <w:color w:val="auto"/>
              </w:rPr>
            </w:pPr>
            <w:r>
              <w:rPr>
                <w:rFonts w:ascii="Arial" w:cs="Arial" w:eastAsia="Arial" w:hAnsi="Arial"/>
                <w:sz w:val="10"/>
                <w:szCs w:val="10"/>
                <w:b w:val="1"/>
                <w:bCs w:val="1"/>
                <w:color w:val="auto"/>
                <w:w w:val="86"/>
              </w:rPr>
              <w:t>Weighted-</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4"/>
              </w:rPr>
              <w:t>average</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46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Number of</w:t>
            </w:r>
          </w:p>
        </w:tc>
        <w:tc>
          <w:tcPr>
            <w:tcW w:w="900" w:type="dxa"/>
            <w:vAlign w:val="bottom"/>
          </w:tcPr>
          <w:p>
            <w:pPr>
              <w:jc w:val="center"/>
              <w:ind w:left="292"/>
              <w:spacing w:after="0" w:line="99" w:lineRule="exact"/>
              <w:rPr>
                <w:sz w:val="20"/>
                <w:szCs w:val="20"/>
                <w:color w:val="auto"/>
              </w:rPr>
            </w:pPr>
            <w:r>
              <w:rPr>
                <w:rFonts w:ascii="Arial" w:cs="Arial" w:eastAsia="Arial" w:hAnsi="Arial"/>
                <w:sz w:val="10"/>
                <w:szCs w:val="10"/>
                <w:b w:val="1"/>
                <w:bCs w:val="1"/>
                <w:color w:val="auto"/>
                <w:w w:val="84"/>
              </w:rPr>
              <w:t>average</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8"/>
              </w:rPr>
              <w:t>contractual</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4"/>
              </w:rPr>
              <w:t>Aggregate</w:t>
            </w:r>
          </w:p>
        </w:tc>
      </w:tr>
      <w:tr>
        <w:trPr>
          <w:trHeight w:val="99"/>
        </w:trPr>
        <w:tc>
          <w:tcPr>
            <w:tcW w:w="5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4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2"/>
              </w:rPr>
              <w:t>options</w:t>
            </w:r>
          </w:p>
        </w:tc>
        <w:tc>
          <w:tcPr>
            <w:tcW w:w="900" w:type="dxa"/>
            <w:vAlign w:val="bottom"/>
          </w:tcPr>
          <w:p>
            <w:pPr>
              <w:jc w:val="center"/>
              <w:ind w:left="292"/>
              <w:spacing w:after="0" w:line="99" w:lineRule="exact"/>
              <w:rPr>
                <w:sz w:val="20"/>
                <w:szCs w:val="20"/>
                <w:color w:val="auto"/>
              </w:rPr>
            </w:pPr>
            <w:r>
              <w:rPr>
                <w:rFonts w:ascii="Arial" w:cs="Arial" w:eastAsia="Arial" w:hAnsi="Arial"/>
                <w:sz w:val="10"/>
                <w:szCs w:val="10"/>
                <w:b w:val="1"/>
                <w:bCs w:val="1"/>
                <w:color w:val="auto"/>
                <w:w w:val="79"/>
              </w:rPr>
              <w:t>exercise</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2"/>
              </w:rPr>
              <w:t>life</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7"/>
              </w:rPr>
              <w:t>intrinsic</w:t>
            </w:r>
          </w:p>
        </w:tc>
      </w:tr>
      <w:tr>
        <w:trPr>
          <w:trHeight w:val="113"/>
        </w:trPr>
        <w:tc>
          <w:tcPr>
            <w:tcW w:w="5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3"/>
              </w:rPr>
              <w:t>outstanding</w:t>
            </w:r>
          </w:p>
        </w:tc>
        <w:tc>
          <w:tcPr>
            <w:tcW w:w="900" w:type="dxa"/>
            <w:vAlign w:val="bottom"/>
          </w:tcPr>
          <w:p>
            <w:pPr>
              <w:jc w:val="center"/>
              <w:ind w:left="292"/>
              <w:spacing w:after="0" w:line="114" w:lineRule="exact"/>
              <w:rPr>
                <w:sz w:val="20"/>
                <w:szCs w:val="20"/>
                <w:color w:val="auto"/>
              </w:rPr>
            </w:pPr>
            <w:r>
              <w:rPr>
                <w:rFonts w:ascii="Arial" w:cs="Arial" w:eastAsia="Arial" w:hAnsi="Arial"/>
                <w:sz w:val="10"/>
                <w:szCs w:val="10"/>
                <w:b w:val="1"/>
                <w:bCs w:val="1"/>
                <w:color w:val="auto"/>
                <w:w w:val="83"/>
              </w:rPr>
              <w:t>price</w:t>
            </w: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jc w:val="center"/>
              <w:ind w:left="252"/>
              <w:spacing w:after="0" w:line="114" w:lineRule="exact"/>
              <w:rPr>
                <w:sz w:val="20"/>
                <w:szCs w:val="20"/>
                <w:color w:val="auto"/>
              </w:rPr>
            </w:pPr>
            <w:r>
              <w:rPr>
                <w:rFonts w:ascii="Arial" w:cs="Arial" w:eastAsia="Arial" w:hAnsi="Arial"/>
                <w:sz w:val="10"/>
                <w:szCs w:val="10"/>
                <w:b w:val="1"/>
                <w:bCs w:val="1"/>
                <w:color w:val="auto"/>
                <w:w w:val="89"/>
              </w:rPr>
              <w:t>(in years)</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90"/>
              </w:rPr>
              <w:t>value</w:t>
            </w:r>
            <w:r>
              <w:rPr>
                <w:rFonts w:ascii="Arial" w:cs="Arial" w:eastAsia="Arial" w:hAnsi="Arial"/>
                <w:sz w:val="8"/>
                <w:szCs w:val="8"/>
                <w:b w:val="1"/>
                <w:bCs w:val="1"/>
                <w:color w:val="auto"/>
                <w:w w:val="90"/>
              </w:rPr>
              <w:t>(1)</w:t>
            </w:r>
          </w:p>
        </w:tc>
      </w:tr>
      <w:tr>
        <w:trPr>
          <w:trHeight w:val="142"/>
        </w:trPr>
        <w:tc>
          <w:tcPr>
            <w:tcW w:w="560" w:type="dxa"/>
            <w:vAlign w:val="bottom"/>
          </w:tcPr>
          <w:p>
            <w:pPr>
              <w:spacing w:after="0"/>
              <w:rPr>
                <w:sz w:val="12"/>
                <w:szCs w:val="12"/>
                <w:color w:val="auto"/>
              </w:rPr>
            </w:pPr>
          </w:p>
        </w:tc>
        <w:tc>
          <w:tcPr>
            <w:tcW w:w="4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Balances as of November 30,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4,387,862</w:t>
            </w:r>
          </w:p>
        </w:tc>
        <w:tc>
          <w:tcPr>
            <w:tcW w:w="24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ind w:right="79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10.43</w:t>
            </w:r>
          </w:p>
        </w:tc>
        <w:tc>
          <w:tcPr>
            <w:tcW w:w="24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9.02</w:t>
            </w:r>
          </w:p>
        </w:tc>
        <w:tc>
          <w:tcPr>
            <w:tcW w:w="2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141,249</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4400" w:type="dxa"/>
            <w:vAlign w:val="bottom"/>
            <w:gridSpan w:val="2"/>
          </w:tcPr>
          <w:p>
            <w:pPr>
              <w:ind w:left="160"/>
              <w:spacing w:after="0"/>
              <w:rPr>
                <w:sz w:val="20"/>
                <w:szCs w:val="20"/>
                <w:color w:val="auto"/>
              </w:rPr>
            </w:pPr>
            <w:r>
              <w:rPr>
                <w:rFonts w:ascii="Arial" w:cs="Arial" w:eastAsia="Arial" w:hAnsi="Arial"/>
                <w:sz w:val="12"/>
                <w:szCs w:val="12"/>
                <w:color w:val="auto"/>
              </w:rPr>
              <w:t>Options granted</w:t>
            </w:r>
          </w:p>
        </w:tc>
        <w:tc>
          <w:tcPr>
            <w:tcW w:w="1220" w:type="dxa"/>
            <w:vAlign w:val="bottom"/>
          </w:tcPr>
          <w:p>
            <w:pPr>
              <w:jc w:val="right"/>
              <w:spacing w:after="0"/>
              <w:rPr>
                <w:sz w:val="20"/>
                <w:szCs w:val="20"/>
                <w:color w:val="auto"/>
              </w:rPr>
            </w:pPr>
            <w:r>
              <w:rPr>
                <w:rFonts w:ascii="Arial" w:cs="Arial" w:eastAsia="Arial" w:hAnsi="Arial"/>
                <w:sz w:val="12"/>
                <w:szCs w:val="12"/>
                <w:color w:val="auto"/>
              </w:rPr>
              <w:t>1,208,332</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37.30</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44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Options exercised</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(300,057)</w:t>
            </w:r>
          </w:p>
        </w:tc>
        <w:tc>
          <w:tcPr>
            <w:tcW w:w="9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w:t>
            </w: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9,985</w:t>
            </w:r>
          </w:p>
        </w:tc>
        <w:tc>
          <w:tcPr>
            <w:tcW w:w="100" w:type="dxa"/>
            <w:vAlign w:val="bottom"/>
            <w:shd w:val="clear" w:color="auto" w:fill="CFF0FC"/>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4400" w:type="dxa"/>
            <w:vAlign w:val="bottom"/>
            <w:gridSpan w:val="2"/>
          </w:tcPr>
          <w:p>
            <w:pPr>
              <w:ind w:left="160"/>
              <w:spacing w:after="0"/>
              <w:rPr>
                <w:sz w:val="20"/>
                <w:szCs w:val="20"/>
                <w:color w:val="auto"/>
              </w:rPr>
            </w:pPr>
            <w:r>
              <w:rPr>
                <w:rFonts w:ascii="Arial" w:cs="Arial" w:eastAsia="Arial" w:hAnsi="Arial"/>
                <w:sz w:val="12"/>
                <w:szCs w:val="12"/>
                <w:color w:val="auto"/>
              </w:rPr>
              <w:t>Options forfeited</w:t>
            </w: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(155,096)</w:t>
            </w:r>
          </w:p>
        </w:tc>
        <w:tc>
          <w:tcPr>
            <w:tcW w:w="9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16.01</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60" w:type="dxa"/>
            <w:vAlign w:val="bottom"/>
          </w:tcPr>
          <w:p>
            <w:pPr>
              <w:spacing w:after="0"/>
              <w:rPr>
                <w:sz w:val="14"/>
                <w:szCs w:val="14"/>
                <w:color w:val="auto"/>
              </w:rPr>
            </w:pPr>
          </w:p>
        </w:tc>
        <w:tc>
          <w:tcPr>
            <w:tcW w:w="4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Balances as of May 31,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5,141,041</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900" w:type="dxa"/>
            <w:vAlign w:val="bottom"/>
            <w:tcBorders>
              <w:top w:val="single" w:sz="8" w:color="CFF0FC"/>
              <w:bottom w:val="single" w:sz="8" w:color="CFF0FC"/>
            </w:tcBorders>
            <w:shd w:val="clear" w:color="auto" w:fill="CFF0FC"/>
          </w:tcPr>
          <w:p>
            <w:pPr>
              <w:jc w:val="right"/>
              <w:ind w:right="79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17.06</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94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8.87</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66,785</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47"/>
        </w:trPr>
        <w:tc>
          <w:tcPr>
            <w:tcW w:w="560" w:type="dxa"/>
            <w:vAlign w:val="bottom"/>
          </w:tcPr>
          <w:p>
            <w:pPr>
              <w:spacing w:after="0"/>
              <w:rPr>
                <w:sz w:val="12"/>
                <w:szCs w:val="12"/>
                <w:color w:val="auto"/>
              </w:rPr>
            </w:pPr>
          </w:p>
        </w:tc>
        <w:tc>
          <w:tcPr>
            <w:tcW w:w="44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Options vested and expected to vest as of May 31, 2021</w:t>
            </w:r>
            <w:r>
              <w:rPr>
                <w:rFonts w:ascii="Arial" w:cs="Arial" w:eastAsia="Arial" w:hAnsi="Arial"/>
                <w:sz w:val="10"/>
                <w:szCs w:val="10"/>
                <w:color w:val="auto"/>
              </w:rPr>
              <w:t>(2)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5,216,165</w:t>
            </w:r>
          </w:p>
        </w:tc>
        <w:tc>
          <w:tcPr>
            <w:tcW w:w="24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tcPr>
          <w:p>
            <w:pPr>
              <w:jc w:val="right"/>
              <w:ind w:right="79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16.86</w:t>
            </w:r>
          </w:p>
        </w:tc>
        <w:tc>
          <w:tcPr>
            <w:tcW w:w="240" w:type="dxa"/>
            <w:vAlign w:val="bottom"/>
            <w:tcBorders>
              <w:bottom w:val="single" w:sz="8" w:color="CFF0FC"/>
            </w:tcBorders>
          </w:tcPr>
          <w:p>
            <w:pPr>
              <w:spacing w:after="0"/>
              <w:rPr>
                <w:sz w:val="12"/>
                <w:szCs w:val="12"/>
                <w:color w:val="auto"/>
              </w:rPr>
            </w:pPr>
          </w:p>
        </w:tc>
        <w:tc>
          <w:tcPr>
            <w:tcW w:w="94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8.85</w:t>
            </w:r>
          </w:p>
        </w:tc>
        <w:tc>
          <w:tcPr>
            <w:tcW w:w="2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68,670</w:t>
            </w:r>
          </w:p>
        </w:tc>
        <w:tc>
          <w:tcPr>
            <w:tcW w:w="100" w:type="dxa"/>
            <w:vAlign w:val="bottom"/>
            <w:tcBorders>
              <w:bottom w:val="single" w:sz="8" w:color="CFF0FC"/>
            </w:tcBorders>
          </w:tcPr>
          <w:p>
            <w:pPr>
              <w:spacing w:after="0"/>
              <w:rPr>
                <w:sz w:val="12"/>
                <w:szCs w:val="12"/>
                <w:color w:val="auto"/>
              </w:rPr>
            </w:pPr>
          </w:p>
        </w:tc>
      </w:tr>
      <w:tr>
        <w:trPr>
          <w:trHeight w:val="160"/>
        </w:trPr>
        <w:tc>
          <w:tcPr>
            <w:tcW w:w="560" w:type="dxa"/>
            <w:vAlign w:val="bottom"/>
          </w:tcPr>
          <w:p>
            <w:pPr>
              <w:spacing w:after="0"/>
              <w:rPr>
                <w:sz w:val="13"/>
                <w:szCs w:val="13"/>
                <w:color w:val="auto"/>
              </w:rPr>
            </w:pPr>
          </w:p>
        </w:tc>
        <w:tc>
          <w:tcPr>
            <w:tcW w:w="4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Options exercisable as of May 31, 2021</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2,805,638</w:t>
            </w:r>
          </w:p>
        </w:tc>
        <w:tc>
          <w:tcPr>
            <w:tcW w:w="2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jc w:val="right"/>
              <w:ind w:right="79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7.16</w:t>
            </w:r>
          </w:p>
        </w:tc>
        <w:tc>
          <w:tcPr>
            <w:tcW w:w="24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8.36</w:t>
            </w:r>
          </w:p>
        </w:tc>
        <w:tc>
          <w:tcPr>
            <w:tcW w:w="2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58,678</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90"/>
        </w:trPr>
        <w:tc>
          <w:tcPr>
            <w:tcW w:w="56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63" w:lineRule="exact"/>
        <w:rPr>
          <w:sz w:val="20"/>
          <w:szCs w:val="20"/>
          <w:color w:val="auto"/>
        </w:rPr>
      </w:pPr>
    </w:p>
    <w:p>
      <w:pPr>
        <w:ind w:left="508" w:right="180" w:hanging="508"/>
        <w:spacing w:after="0" w:line="199" w:lineRule="auto"/>
        <w:tabs>
          <w:tab w:leader="none" w:pos="508" w:val="left"/>
        </w:tabs>
        <w:numPr>
          <w:ilvl w:val="0"/>
          <w:numId w:val="5"/>
        </w:numPr>
        <w:rPr>
          <w:rFonts w:ascii="Arial" w:cs="Arial" w:eastAsia="Arial" w:hAnsi="Arial"/>
          <w:sz w:val="19"/>
          <w:szCs w:val="19"/>
          <w:color w:val="auto"/>
          <w:vertAlign w:val="superscript"/>
        </w:rPr>
      </w:pPr>
      <w:r>
        <w:rPr>
          <w:rFonts w:ascii="Arial" w:cs="Arial" w:eastAsia="Arial" w:hAnsi="Arial"/>
          <w:sz w:val="12"/>
          <w:szCs w:val="12"/>
          <w:color w:val="auto"/>
        </w:rPr>
        <w:t>The aggregate intrinsic values were calculated as the pre-tax difference between the exercise price of stock options and the quoted market price of the Company’s common stock on May 31, 2021 for all in-the-money stock options.</w:t>
      </w:r>
    </w:p>
    <w:p>
      <w:pPr>
        <w:spacing w:after="0" w:line="64" w:lineRule="exact"/>
        <w:rPr>
          <w:rFonts w:ascii="Arial" w:cs="Arial" w:eastAsia="Arial" w:hAnsi="Arial"/>
          <w:sz w:val="19"/>
          <w:szCs w:val="19"/>
          <w:color w:val="auto"/>
          <w:vertAlign w:val="superscript"/>
        </w:rPr>
      </w:pPr>
    </w:p>
    <w:p>
      <w:pPr>
        <w:ind w:left="508" w:right="180" w:hanging="508"/>
        <w:spacing w:after="0" w:line="199" w:lineRule="auto"/>
        <w:tabs>
          <w:tab w:leader="none" w:pos="508" w:val="left"/>
        </w:tabs>
        <w:numPr>
          <w:ilvl w:val="0"/>
          <w:numId w:val="5"/>
        </w:numPr>
        <w:rPr>
          <w:rFonts w:ascii="Arial" w:cs="Arial" w:eastAsia="Arial" w:hAnsi="Arial"/>
          <w:sz w:val="19"/>
          <w:szCs w:val="19"/>
          <w:color w:val="auto"/>
          <w:vertAlign w:val="superscript"/>
        </w:rPr>
      </w:pPr>
      <w:r>
        <w:rPr>
          <w:rFonts w:ascii="Arial" w:cs="Arial" w:eastAsia="Arial" w:hAnsi="Arial"/>
          <w:sz w:val="12"/>
          <w:szCs w:val="12"/>
          <w:color w:val="auto"/>
        </w:rPr>
        <w:t>Certain stock options granted by the Company prior to the date of IPO are exercisable at the date of grant, with unvested shares subject to repurchase by the Company in the event of voluntary or involuntary termination of employment of the stockholder.</w:t>
      </w:r>
    </w:p>
    <w:p>
      <w:pPr>
        <w:spacing w:after="0" w:line="1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347" w:right="299" w:bottom="1440" w:gutter="0" w:footer="0" w:header="0"/>
        </w:sectPr>
      </w:pPr>
    </w:p>
    <w:bookmarkStart w:id="20" w:name="page21"/>
    <w:bookmarkEnd w:id="20"/>
    <w:p>
      <w:pPr>
        <w:ind w:left="500"/>
        <w:spacing w:after="0" w:line="263" w:lineRule="auto"/>
        <w:rPr>
          <w:sz w:val="20"/>
          <w:szCs w:val="20"/>
          <w:color w:val="auto"/>
        </w:rPr>
      </w:pPr>
      <w:r>
        <w:rPr>
          <w:rFonts w:ascii="Arial" w:cs="Arial" w:eastAsia="Arial" w:hAnsi="Arial"/>
          <w:sz w:val="12"/>
          <w:szCs w:val="12"/>
          <w:color w:val="auto"/>
        </w:rPr>
        <w:t>Such exercises are recorded as a liability in the condensed consolidated balance sheets and reclassified into equity as the options vest. As of May 31, 2021, a total of 95,124 shares of common stock were subject to repurchase by the Company at the lower of (i) the fair market value of such shares on the date of repurchase, or (ii) the original exercise price of such shares. The corresponding exercise value of $0.4 million as of May 31, 2021 is recorded in share-based compensation liability.</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2020 Employee Stock Purchase Plan</w:t>
      </w:r>
    </w:p>
    <w:p>
      <w:pPr>
        <w:spacing w:after="0" w:line="78" w:lineRule="exact"/>
        <w:rPr>
          <w:sz w:val="20"/>
          <w:szCs w:val="20"/>
          <w:color w:val="auto"/>
        </w:rPr>
      </w:pPr>
    </w:p>
    <w:p>
      <w:pPr>
        <w:ind w:right="40" w:firstLine="513"/>
        <w:spacing w:after="0" w:line="289" w:lineRule="auto"/>
        <w:rPr>
          <w:sz w:val="20"/>
          <w:szCs w:val="20"/>
          <w:color w:val="auto"/>
        </w:rPr>
      </w:pPr>
      <w:r>
        <w:rPr>
          <w:rFonts w:ascii="Arial" w:cs="Arial" w:eastAsia="Arial" w:hAnsi="Arial"/>
          <w:sz w:val="11"/>
          <w:szCs w:val="11"/>
          <w:color w:val="auto"/>
        </w:rPr>
        <w:t>In July 2020, the Company’s board of directors adopted the 2020 Employee Stock Purchase Plan (the 2020 ESPP) that became effective upon the date of the IPO in order to enable eligible employees to purchase shares of common stock with accumulated payroll deductions. The 2020 ESPP is intended to qualify under Section 423 of the Internal Revenue Code, as amended. Under the 2020 ESPP, eligible employees are offered the option to purchase shares of common stock at a discount over a series of offering periods. Each offering period may consist of one or more purchase periods. The purchase price for shares of common stock purchased under the 2020 ESPP will be 85% of the lesser of the fair market value of the Company’s common stock on (i) the first trading day of the applicable offering period or (ii) the last trading day of each purchase period in the applicable offering period.</w:t>
      </w:r>
    </w:p>
    <w:p>
      <w:pPr>
        <w:spacing w:after="0" w:line="39"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As of May 31, 2021, there were 1,054,059 shares of common stock reserved for issuance pursuant to the 2020 ESPP. The first offering period commenced as of July 23, 2020, the date on which the Company’s registration statement on Form S-1 relating to its IPO of common stock became effective and ended on February 15, 2021. The first purchase period was the same as the first offering period and the first purchase date was the last trading day of the purchase period, which was February 12, 2021.</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sets forth stock-based compensation expense related to stock options and ESPP that is included in the Company’s condensed consolidated statements of operations (in thousands):</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0"/>
                <w:szCs w:val="10"/>
                <w:b w:val="1"/>
                <w:bCs w:val="1"/>
                <w:color w:val="auto"/>
                <w:w w:val="88"/>
              </w:rPr>
              <w:t>Three Months Ended May 31,</w:t>
            </w:r>
          </w:p>
        </w:tc>
        <w:tc>
          <w:tcPr>
            <w:tcW w:w="3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May 31,</w:t>
            </w: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2"/>
        </w:trPr>
        <w:tc>
          <w:tcPr>
            <w:tcW w:w="440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65"/>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FF0FC"/>
            </w:tcBorders>
          </w:tcPr>
          <w:p>
            <w:pPr>
              <w:spacing w:after="0"/>
              <w:rPr>
                <w:sz w:val="12"/>
                <w:szCs w:val="12"/>
                <w:color w:val="auto"/>
              </w:rPr>
            </w:pPr>
          </w:p>
        </w:tc>
      </w:tr>
      <w:tr>
        <w:trPr>
          <w:trHeight w:val="142"/>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w:t>
            </w:r>
          </w:p>
        </w:tc>
        <w:tc>
          <w:tcPr>
            <w:tcW w:w="720" w:type="dxa"/>
            <w:vAlign w:val="bottom"/>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2,015</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267</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3,238</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363</w:t>
            </w:r>
          </w:p>
        </w:tc>
        <w:tc>
          <w:tcPr>
            <w:tcW w:w="100" w:type="dxa"/>
            <w:vAlign w:val="bottom"/>
            <w:shd w:val="clear" w:color="auto" w:fill="CFF0FC"/>
          </w:tcPr>
          <w:p>
            <w:pPr>
              <w:spacing w:after="0"/>
              <w:rPr>
                <w:sz w:val="12"/>
                <w:szCs w:val="12"/>
                <w:color w:val="auto"/>
              </w:rPr>
            </w:pPr>
          </w:p>
        </w:tc>
      </w:tr>
      <w:tr>
        <w:trPr>
          <w:trHeight w:val="153"/>
        </w:trPr>
        <w:tc>
          <w:tcPr>
            <w:tcW w:w="44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General and administrative</w:t>
            </w: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1,929</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3,406</w:t>
            </w:r>
          </w:p>
        </w:tc>
        <w:tc>
          <w:tcPr>
            <w:tcW w:w="24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w:t>
            </w:r>
          </w:p>
        </w:tc>
        <w:tc>
          <w:tcPr>
            <w:tcW w:w="100" w:type="dxa"/>
            <w:vAlign w:val="bottom"/>
            <w:tcBorders>
              <w:bottom w:val="single" w:sz="8" w:color="CFF0FC"/>
            </w:tcBorders>
          </w:tcPr>
          <w:p>
            <w:pPr>
              <w:spacing w:after="0"/>
              <w:rPr>
                <w:sz w:val="13"/>
                <w:szCs w:val="13"/>
                <w:color w:val="auto"/>
              </w:rPr>
            </w:pPr>
          </w:p>
        </w:tc>
      </w:tr>
      <w:tr>
        <w:trPr>
          <w:trHeight w:val="149"/>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stock-based compensation</w:t>
            </w:r>
          </w:p>
        </w:tc>
        <w:tc>
          <w:tcPr>
            <w:tcW w:w="720" w:type="dxa"/>
            <w:vAlign w:val="bottom"/>
            <w:tcBorders>
              <w:bottom w:val="single" w:sz="8" w:color="auto"/>
            </w:tcBorders>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3,944</w:t>
            </w:r>
          </w:p>
        </w:tc>
        <w:tc>
          <w:tcPr>
            <w:tcW w:w="2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474</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6,644</w:t>
            </w:r>
          </w:p>
        </w:tc>
        <w:tc>
          <w:tcPr>
            <w:tcW w:w="24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650</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7" w:lineRule="exact"/>
        <w:rPr>
          <w:sz w:val="20"/>
          <w:szCs w:val="20"/>
          <w:color w:val="auto"/>
        </w:rPr>
      </w:pPr>
    </w:p>
    <w:p>
      <w:pPr>
        <w:ind w:right="160" w:firstLine="513"/>
        <w:spacing w:after="0" w:line="276" w:lineRule="auto"/>
        <w:rPr>
          <w:sz w:val="20"/>
          <w:szCs w:val="20"/>
          <w:color w:val="auto"/>
        </w:rPr>
      </w:pPr>
      <w:r>
        <w:rPr>
          <w:rFonts w:ascii="Arial" w:cs="Arial" w:eastAsia="Arial" w:hAnsi="Arial"/>
          <w:sz w:val="12"/>
          <w:szCs w:val="12"/>
          <w:color w:val="auto"/>
        </w:rPr>
        <w:t>As of May 31, 2021, the total compensation cost related to stock-based awards not yet recognized was $48.9 million, which is expected to be amortized on a straight-line basis over the weighted-average remaining vesting period of approximately 3.3 years.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Defined Contribution Plan</w:t>
      </w:r>
    </w:p>
    <w:p>
      <w:pPr>
        <w:spacing w:after="0" w:line="82" w:lineRule="exact"/>
        <w:rPr>
          <w:sz w:val="20"/>
          <w:szCs w:val="20"/>
          <w:color w:val="auto"/>
        </w:rPr>
      </w:pPr>
    </w:p>
    <w:p>
      <w:pPr>
        <w:ind w:right="160" w:firstLine="513"/>
        <w:spacing w:after="0" w:line="289" w:lineRule="auto"/>
        <w:rPr>
          <w:sz w:val="20"/>
          <w:szCs w:val="20"/>
          <w:color w:val="auto"/>
        </w:rPr>
      </w:pPr>
      <w:r>
        <w:rPr>
          <w:rFonts w:ascii="Arial" w:cs="Arial" w:eastAsia="Arial" w:hAnsi="Arial"/>
          <w:sz w:val="11"/>
          <w:szCs w:val="11"/>
          <w:color w:val="auto"/>
        </w:rPr>
        <w:t>The Company sponsors a defined-contribution savings plan under Section 401(k) of the Internal Revenue Code (the 401(k) Plan), which provides for the Company to make discretionary matching or discretionary annual contributions to the 401(k) Plan, for its employees. Substantially all of the Company’s employees are eligible to participate. Employees may contribute a percentage of their annual compensation to the plan, subject to statutory limitations. During the three and six months ended May 31, 2021 and 2020, the Company made contributions to the 401(k) Plan. The Company recorded contribution expense of $0.2 million and $0.2 million during the three months ended May 31, 2021 and 2020, respectively and $0.4 million and $0.3 million during the six months ended May 31, 2021 and 2020,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Income Taxes</w:t>
      </w:r>
    </w:p>
    <w:p>
      <w:pPr>
        <w:spacing w:after="0" w:line="82" w:lineRule="exact"/>
        <w:rPr>
          <w:sz w:val="20"/>
          <w:szCs w:val="20"/>
          <w:color w:val="auto"/>
        </w:rPr>
      </w:pPr>
    </w:p>
    <w:p>
      <w:pPr>
        <w:ind w:right="40" w:firstLine="513"/>
        <w:spacing w:after="0" w:line="289" w:lineRule="auto"/>
        <w:rPr>
          <w:sz w:val="20"/>
          <w:szCs w:val="20"/>
          <w:color w:val="auto"/>
        </w:rPr>
      </w:pPr>
      <w:r>
        <w:rPr>
          <w:rFonts w:ascii="Arial" w:cs="Arial" w:eastAsia="Arial" w:hAnsi="Arial"/>
          <w:sz w:val="11"/>
          <w:szCs w:val="11"/>
          <w:color w:val="auto"/>
        </w:rPr>
        <w:t>Income tax expense was $0.1 million and $0.2 million for the three and six months ended May 31, 2021. Income tax benefit was $20.6 million for the three and six months ended May 31, 2020.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May 31, 2021 and November 30, 2020 due to the uncertainty of realizing future tax benefits from its NOL carryforwards and other deferred tax assets.</w:t>
      </w:r>
    </w:p>
    <w:p>
      <w:pPr>
        <w:spacing w:after="0" w:line="39" w:lineRule="exact"/>
        <w:rPr>
          <w:sz w:val="20"/>
          <w:szCs w:val="20"/>
          <w:color w:val="auto"/>
        </w:rPr>
      </w:pPr>
    </w:p>
    <w:p>
      <w:pPr>
        <w:ind w:right="60" w:firstLine="513"/>
        <w:spacing w:after="0" w:line="256" w:lineRule="auto"/>
        <w:rPr>
          <w:sz w:val="20"/>
          <w:szCs w:val="20"/>
          <w:color w:val="auto"/>
        </w:rPr>
      </w:pPr>
      <w:r>
        <w:rPr>
          <w:rFonts w:ascii="Arial" w:cs="Arial" w:eastAsia="Arial" w:hAnsi="Arial"/>
          <w:sz w:val="12"/>
          <w:szCs w:val="12"/>
          <w:color w:val="auto"/>
        </w:rPr>
        <w:t>On March 27, 2020, the Coronavirus Aid, Relief, and Economic Security Act (the CARES Act) was enacted in response to the COVID-19 pandemic. The CARES Act, among other things, permits net operating loss (NOL) carryovers and carrybacks to offset 100% of taxable income for taxable years beginning before 2021. In addition, the CARES Act allows NOLs incurred in taxable years 2018, 2019, and 2020 to be carried back to each of the five preceding taxable years to generate a refund of previously paid income taxes. Any tax benefit as a result of the CARES Act is primarily due to the carryback of NOLs to prior taxable years and increased interest expense deductions. In fiscal 2020, the Company filed refund claims of $19.6 million to carryback its NOLs generated in the fiscal years ended November 30, 2018 and 2019. In fiscal 2020, the Company received cash of $16.3 million including interest income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21" w:name="page22"/>
    <w:bookmarkEnd w:id="21"/>
    <w:p>
      <w:pPr>
        <w:ind w:right="220"/>
        <w:spacing w:after="0" w:line="276" w:lineRule="auto"/>
        <w:rPr>
          <w:sz w:val="20"/>
          <w:szCs w:val="20"/>
          <w:color w:val="auto"/>
        </w:rPr>
      </w:pPr>
      <w:r>
        <w:rPr>
          <w:rFonts w:ascii="Arial" w:cs="Arial" w:eastAsia="Arial" w:hAnsi="Arial"/>
          <w:sz w:val="12"/>
          <w:szCs w:val="12"/>
          <w:color w:val="auto"/>
        </w:rPr>
        <w:t>of $0.6 million. In March 2021, the Company received cash of $0.8 million. As of May 31, 2021, the Company has an income tax receivable of $3.1 million on the condensed consolidated balance sheet for the remaining tax refund claims, which includes interest accrued of $0.1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Net Income (Loss) Per Share</w:t>
      </w:r>
    </w:p>
    <w:p>
      <w:pPr>
        <w:spacing w:after="0" w:line="82" w:lineRule="exact"/>
        <w:rPr>
          <w:sz w:val="20"/>
          <w:szCs w:val="20"/>
          <w:color w:val="auto"/>
        </w:rPr>
      </w:pPr>
    </w:p>
    <w:p>
      <w:pPr>
        <w:ind w:firstLine="513"/>
        <w:spacing w:after="0" w:line="289" w:lineRule="auto"/>
        <w:rPr>
          <w:sz w:val="20"/>
          <w:szCs w:val="20"/>
          <w:color w:val="auto"/>
        </w:rPr>
      </w:pPr>
      <w:r>
        <w:rPr>
          <w:rFonts w:ascii="Arial" w:cs="Arial" w:eastAsia="Arial" w:hAnsi="Arial"/>
          <w:sz w:val="11"/>
          <w:szCs w:val="11"/>
          <w:color w:val="auto"/>
        </w:rPr>
        <w:t>The Company follows the two-class method when computing net income (loss) per common share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 receive dividends as if all income for the period had been distributed. The Company’s redeemable convertible preferred stock contractually entitles the holders of such shares to participate in dividends but does not contractually require the holders of such shares to participate in the Company’s losses.</w:t>
      </w:r>
    </w:p>
    <w:p>
      <w:pPr>
        <w:spacing w:after="0" w:line="39" w:lineRule="exact"/>
        <w:rPr>
          <w:sz w:val="20"/>
          <w:szCs w:val="20"/>
          <w:color w:val="auto"/>
        </w:rPr>
      </w:pPr>
    </w:p>
    <w:p>
      <w:pPr>
        <w:ind w:right="80" w:firstLine="513"/>
        <w:spacing w:after="0" w:line="255" w:lineRule="auto"/>
        <w:rPr>
          <w:sz w:val="20"/>
          <w:szCs w:val="20"/>
          <w:color w:val="auto"/>
        </w:rPr>
      </w:pPr>
      <w:r>
        <w:rPr>
          <w:rFonts w:ascii="Arial" w:cs="Arial" w:eastAsia="Arial" w:hAnsi="Arial"/>
          <w:sz w:val="12"/>
          <w:szCs w:val="12"/>
          <w:color w:val="auto"/>
        </w:rPr>
        <w:t xml:space="preserve">The holders of redeemable convertible preferred stock are entitled to participate in noncumulative dividends on common stock at the rate of 8% of the applicable original issue price per share per annum based on the number of shares of common stock held on an as-converted basis. As of May 31, 2021, no dividends on redeemable convertible preferred stock or common stock were declared or have ever been declared by the Company’s board of directors. However, in accordance with ASC 260, </w:t>
      </w:r>
      <w:r>
        <w:rPr>
          <w:rFonts w:ascii="Arial" w:cs="Arial" w:eastAsia="Arial" w:hAnsi="Arial"/>
          <w:sz w:val="12"/>
          <w:szCs w:val="12"/>
          <w:i w:val="1"/>
          <w:iCs w:val="1"/>
          <w:color w:val="auto"/>
        </w:rPr>
        <w:t>Earnings Per Share</w:t>
      </w:r>
      <w:r>
        <w:rPr>
          <w:rFonts w:ascii="Arial" w:cs="Arial" w:eastAsia="Arial" w:hAnsi="Arial"/>
          <w:sz w:val="12"/>
          <w:szCs w:val="12"/>
          <w:color w:val="auto"/>
        </w:rPr>
        <w:t>, undistributed earnings are hypothetically allocated to holders of redeemable convertible preferred stock and are subtracted from net income in determining net income attributable to common stockholders. Basic net income (loss) per share is computed by dividing net income attributable to common stockholders by the weighted-average number of shares of common stock outstanding. For periods in which the Company reports net losses, diluted net loss per common share attributable to common stockholders is the same as basic net loss per common share attributable to common stockholders because potentially dilutive shares of common stock are not assumed to have been issued if their effect is anti-dilutive.</w:t>
      </w:r>
    </w:p>
    <w:p>
      <w:pPr>
        <w:spacing w:after="0" w:line="56" w:lineRule="exact"/>
        <w:rPr>
          <w:sz w:val="20"/>
          <w:szCs w:val="20"/>
          <w:color w:val="auto"/>
        </w:rPr>
      </w:pPr>
    </w:p>
    <w:p>
      <w:pPr>
        <w:ind w:right="220" w:firstLine="754"/>
        <w:spacing w:after="0" w:line="276" w:lineRule="auto"/>
        <w:rPr>
          <w:sz w:val="20"/>
          <w:szCs w:val="20"/>
          <w:color w:val="auto"/>
        </w:rPr>
      </w:pPr>
      <w:r>
        <w:rPr>
          <w:rFonts w:ascii="Arial" w:cs="Arial" w:eastAsia="Arial" w:hAnsi="Arial"/>
          <w:sz w:val="12"/>
          <w:szCs w:val="12"/>
          <w:color w:val="auto"/>
        </w:rPr>
        <w:t>The following table sets forth the computation of the Company’s basic and diluted net income (loss) per share attributable to common stockholders, which excludes shares which are legally outstanding but subject to repurchase by the Company (in thousands, except share and per share data):</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4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Three Months Ended May 31,</w:t>
            </w:r>
          </w:p>
        </w:tc>
        <w:tc>
          <w:tcPr>
            <w:tcW w:w="280" w:type="dxa"/>
            <w:vAlign w:val="bottom"/>
          </w:tcPr>
          <w:p>
            <w:pPr>
              <w:spacing w:after="0"/>
              <w:rPr>
                <w:sz w:val="10"/>
                <w:szCs w:val="10"/>
                <w:color w:val="auto"/>
              </w:rPr>
            </w:pPr>
          </w:p>
        </w:tc>
        <w:tc>
          <w:tcPr>
            <w:tcW w:w="166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 May 31,</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2"/>
        </w:trPr>
        <w:tc>
          <w:tcPr>
            <w:tcW w:w="446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2021</w:t>
            </w:r>
          </w:p>
        </w:tc>
        <w:tc>
          <w:tcPr>
            <w:tcW w:w="26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 xml:space="preserve">2020 </w:t>
            </w:r>
            <w:r>
              <w:rPr>
                <w:rFonts w:ascii="Arial" w:cs="Arial" w:eastAsia="Arial" w:hAnsi="Arial"/>
                <w:sz w:val="11"/>
                <w:szCs w:val="11"/>
                <w:b w:val="1"/>
                <w:bCs w:val="1"/>
                <w:color w:val="auto"/>
              </w:rPr>
              <w:t>(1)</w:t>
            </w:r>
          </w:p>
        </w:tc>
        <w:tc>
          <w:tcPr>
            <w:tcW w:w="24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top w:val="single" w:sz="8" w:color="auto"/>
              <w:bottom w:val="single" w:sz="8" w:color="CFF0FC"/>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FF0FC"/>
            </w:tcBorders>
          </w:tcPr>
          <w:p>
            <w:pPr>
              <w:spacing w:after="0"/>
              <w:rPr>
                <w:sz w:val="12"/>
                <w:szCs w:val="12"/>
                <w:color w:val="auto"/>
              </w:rPr>
            </w:pPr>
          </w:p>
        </w:tc>
      </w:tr>
      <w:tr>
        <w:trPr>
          <w:trHeight w:val="142"/>
        </w:trPr>
        <w:tc>
          <w:tcPr>
            <w:tcW w:w="4460" w:type="dxa"/>
            <w:vAlign w:val="bottom"/>
            <w:shd w:val="clear" w:color="auto" w:fill="CFF0FC"/>
          </w:tcPr>
          <w:p>
            <w:pPr>
              <w:spacing w:after="0"/>
              <w:rPr>
                <w:sz w:val="20"/>
                <w:szCs w:val="20"/>
                <w:color w:val="auto"/>
              </w:rPr>
            </w:pPr>
            <w:r>
              <w:rPr>
                <w:rFonts w:ascii="Arial" w:cs="Arial" w:eastAsia="Arial" w:hAnsi="Arial"/>
                <w:sz w:val="12"/>
                <w:szCs w:val="12"/>
                <w:color w:val="auto"/>
              </w:rPr>
              <w:t>Numerator:</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4460" w:type="dxa"/>
            <w:vAlign w:val="bottom"/>
          </w:tcPr>
          <w:p>
            <w:pPr>
              <w:ind w:left="160"/>
              <w:spacing w:after="0"/>
              <w:rPr>
                <w:sz w:val="20"/>
                <w:szCs w:val="20"/>
                <w:color w:val="auto"/>
              </w:rPr>
            </w:pPr>
            <w:r>
              <w:rPr>
                <w:rFonts w:ascii="Arial" w:cs="Arial" w:eastAsia="Arial" w:hAnsi="Arial"/>
                <w:sz w:val="12"/>
                <w:szCs w:val="12"/>
                <w:color w:val="auto"/>
              </w:rPr>
              <w:t>Net income (loss)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(26,382)</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7,580</w:t>
            </w:r>
          </w:p>
        </w:tc>
        <w:tc>
          <w:tcPr>
            <w:tcW w:w="24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(50,657)</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(4,811)</w:t>
            </w:r>
          </w:p>
        </w:tc>
      </w:tr>
      <w:tr>
        <w:trPr>
          <w:trHeight w:val="144"/>
        </w:trPr>
        <w:tc>
          <w:tcPr>
            <w:tcW w:w="4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Less: noncumulative dividend to</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446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preferred stockholders</w:t>
            </w: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(7,580)</w:t>
            </w: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33"/>
        </w:trPr>
        <w:tc>
          <w:tcPr>
            <w:tcW w:w="4460" w:type="dxa"/>
            <w:vAlign w:val="bottom"/>
          </w:tcPr>
          <w:p>
            <w:pPr>
              <w:ind w:left="80"/>
              <w:spacing w:after="0" w:line="133" w:lineRule="exact"/>
              <w:rPr>
                <w:sz w:val="20"/>
                <w:szCs w:val="20"/>
                <w:color w:val="auto"/>
              </w:rPr>
            </w:pPr>
            <w:r>
              <w:rPr>
                <w:rFonts w:ascii="Arial" w:cs="Arial" w:eastAsia="Arial" w:hAnsi="Arial"/>
                <w:sz w:val="12"/>
                <w:szCs w:val="12"/>
                <w:color w:val="auto"/>
              </w:rPr>
              <w:t>Net income (loss) attributable to common</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4460" w:type="dxa"/>
            <w:vAlign w:val="bottom"/>
          </w:tcPr>
          <w:p>
            <w:pPr>
              <w:ind w:left="180"/>
              <w:spacing w:after="0"/>
              <w:rPr>
                <w:sz w:val="20"/>
                <w:szCs w:val="20"/>
                <w:color w:val="auto"/>
              </w:rPr>
            </w:pPr>
            <w:r>
              <w:rPr>
                <w:rFonts w:ascii="Arial" w:cs="Arial" w:eastAsia="Arial" w:hAnsi="Arial"/>
                <w:sz w:val="12"/>
                <w:szCs w:val="12"/>
                <w:color w:val="auto"/>
              </w:rPr>
              <w:t>stockholders, basic and diluted</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(26,382)</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(50,657)</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(4,811)</w:t>
            </w:r>
          </w:p>
        </w:tc>
      </w:tr>
      <w:tr>
        <w:trPr>
          <w:trHeight w:val="153"/>
        </w:trPr>
        <w:tc>
          <w:tcPr>
            <w:tcW w:w="4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Denominator:</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4460" w:type="dxa"/>
            <w:vAlign w:val="bottom"/>
            <w:shd w:val="clear" w:color="auto" w:fill="CFF0FC"/>
          </w:tcPr>
          <w:p>
            <w:pPr>
              <w:ind w:left="80"/>
              <w:spacing w:after="0"/>
              <w:rPr>
                <w:sz w:val="20"/>
                <w:szCs w:val="20"/>
                <w:color w:val="auto"/>
              </w:rPr>
            </w:pPr>
            <w:r>
              <w:rPr>
                <w:rFonts w:ascii="Arial" w:cs="Arial" w:eastAsia="Arial" w:hAnsi="Arial"/>
                <w:sz w:val="12"/>
                <w:szCs w:val="12"/>
                <w:color w:val="auto"/>
              </w:rPr>
              <w:t>Weighted-average number of shares</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44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outstanding, basic</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43,804,066</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3,731,838</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41,318,281</w:t>
            </w: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3,636,140</w:t>
            </w:r>
          </w:p>
        </w:tc>
        <w:tc>
          <w:tcPr>
            <w:tcW w:w="100" w:type="dxa"/>
            <w:vAlign w:val="bottom"/>
            <w:shd w:val="clear" w:color="auto" w:fill="CFF0FC"/>
          </w:tcPr>
          <w:p>
            <w:pPr>
              <w:spacing w:after="0"/>
              <w:rPr>
                <w:sz w:val="13"/>
                <w:szCs w:val="13"/>
                <w:color w:val="auto"/>
              </w:rPr>
            </w:pPr>
          </w:p>
        </w:tc>
      </w:tr>
      <w:tr>
        <w:trPr>
          <w:trHeight w:val="144"/>
        </w:trPr>
        <w:tc>
          <w:tcPr>
            <w:tcW w:w="4460" w:type="dxa"/>
            <w:vAlign w:val="bottom"/>
          </w:tcPr>
          <w:p>
            <w:pPr>
              <w:ind w:left="160"/>
              <w:spacing w:after="0"/>
              <w:rPr>
                <w:sz w:val="20"/>
                <w:szCs w:val="20"/>
                <w:color w:val="auto"/>
              </w:rPr>
            </w:pPr>
            <w:r>
              <w:rPr>
                <w:rFonts w:ascii="Arial" w:cs="Arial" w:eastAsia="Arial" w:hAnsi="Arial"/>
                <w:sz w:val="12"/>
                <w:szCs w:val="12"/>
                <w:color w:val="auto"/>
              </w:rPr>
              <w:t>Weighted-average dilutive effect of</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46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2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1,177,991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3"/>
        </w:trPr>
        <w:tc>
          <w:tcPr>
            <w:tcW w:w="4460" w:type="dxa"/>
            <w:vAlign w:val="bottom"/>
            <w:tcBorders>
              <w:top w:val="single" w:sz="8" w:color="CFF0FC"/>
            </w:tcBorders>
            <w:shd w:val="clear" w:color="auto" w:fill="CFF0FC"/>
          </w:tcPr>
          <w:p>
            <w:pPr>
              <w:ind w:left="80"/>
              <w:spacing w:after="0" w:line="133" w:lineRule="exact"/>
              <w:rPr>
                <w:sz w:val="20"/>
                <w:szCs w:val="20"/>
                <w:color w:val="auto"/>
              </w:rPr>
            </w:pPr>
            <w:r>
              <w:rPr>
                <w:rFonts w:ascii="Arial" w:cs="Arial" w:eastAsia="Arial" w:hAnsi="Arial"/>
                <w:sz w:val="12"/>
                <w:szCs w:val="12"/>
                <w:color w:val="auto"/>
              </w:rPr>
              <w:t>Weighted-average number of shares</w:t>
            </w:r>
          </w:p>
        </w:tc>
        <w:tc>
          <w:tcPr>
            <w:tcW w:w="2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53"/>
        </w:trPr>
        <w:tc>
          <w:tcPr>
            <w:tcW w:w="44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outstanding, diluted</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43,804,066</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4,909,829</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41,318,281</w:t>
            </w: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3,636,140</w:t>
            </w:r>
          </w:p>
        </w:tc>
        <w:tc>
          <w:tcPr>
            <w:tcW w:w="100" w:type="dxa"/>
            <w:vAlign w:val="bottom"/>
            <w:shd w:val="clear" w:color="auto" w:fill="CFF0FC"/>
          </w:tcPr>
          <w:p>
            <w:pPr>
              <w:spacing w:after="0"/>
              <w:rPr>
                <w:sz w:val="13"/>
                <w:szCs w:val="13"/>
                <w:color w:val="auto"/>
              </w:rPr>
            </w:pPr>
          </w:p>
        </w:tc>
      </w:tr>
      <w:tr>
        <w:trPr>
          <w:trHeight w:val="153"/>
        </w:trPr>
        <w:tc>
          <w:tcPr>
            <w:tcW w:w="4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446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 per share attributable to</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3"/>
        </w:trPr>
        <w:tc>
          <w:tcPr>
            <w:tcW w:w="4460" w:type="dxa"/>
            <w:vAlign w:val="bottom"/>
            <w:shd w:val="clear" w:color="auto" w:fill="CFF0FC"/>
          </w:tcPr>
          <w:p>
            <w:pPr>
              <w:ind w:left="80"/>
              <w:spacing w:after="0"/>
              <w:rPr>
                <w:sz w:val="20"/>
                <w:szCs w:val="20"/>
                <w:color w:val="auto"/>
              </w:rPr>
            </w:pPr>
            <w:r>
              <w:rPr>
                <w:rFonts w:ascii="Arial" w:cs="Arial" w:eastAsia="Arial" w:hAnsi="Arial"/>
                <w:sz w:val="12"/>
                <w:szCs w:val="12"/>
                <w:color w:val="auto"/>
              </w:rPr>
              <w:t>common stockholders, basic</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(0.60)</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(1.23)</w:t>
            </w:r>
          </w:p>
        </w:tc>
        <w:tc>
          <w:tcPr>
            <w:tcW w:w="480" w:type="dxa"/>
            <w:vAlign w:val="bottom"/>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(1.32)</w:t>
            </w:r>
          </w:p>
        </w:tc>
      </w:tr>
      <w:tr>
        <w:trPr>
          <w:trHeight w:val="131"/>
        </w:trPr>
        <w:tc>
          <w:tcPr>
            <w:tcW w:w="446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Net income (loss) per share attributable to</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53"/>
        </w:trPr>
        <w:tc>
          <w:tcPr>
            <w:tcW w:w="4460" w:type="dxa"/>
            <w:vAlign w:val="bottom"/>
          </w:tcPr>
          <w:p>
            <w:pPr>
              <w:ind w:left="80"/>
              <w:spacing w:after="0"/>
              <w:rPr>
                <w:sz w:val="20"/>
                <w:szCs w:val="20"/>
                <w:color w:val="auto"/>
              </w:rPr>
            </w:pPr>
            <w:r>
              <w:rPr>
                <w:rFonts w:ascii="Arial" w:cs="Arial" w:eastAsia="Arial" w:hAnsi="Arial"/>
                <w:sz w:val="12"/>
                <w:szCs w:val="12"/>
                <w:color w:val="auto"/>
              </w:rPr>
              <w:t>common stockholders, diluted</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(0.60)</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(1.23)</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(1.32)</w:t>
            </w:r>
          </w:p>
        </w:tc>
      </w:tr>
      <w:tr>
        <w:trPr>
          <w:trHeight w:val="27"/>
        </w:trPr>
        <w:tc>
          <w:tcPr>
            <w:tcW w:w="4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7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(1)Q2 2020 Revision of Basic and Diluted Net Income (Loss) per Share</w:t>
      </w:r>
    </w:p>
    <w:p>
      <w:pPr>
        <w:spacing w:after="0" w:line="78" w:lineRule="exact"/>
        <w:rPr>
          <w:sz w:val="20"/>
          <w:szCs w:val="20"/>
          <w:color w:val="auto"/>
        </w:rPr>
      </w:pPr>
    </w:p>
    <w:p>
      <w:pPr>
        <w:jc w:val="both"/>
        <w:ind w:left="740" w:right="20"/>
        <w:spacing w:after="0" w:line="298" w:lineRule="auto"/>
        <w:rPr>
          <w:sz w:val="20"/>
          <w:szCs w:val="20"/>
          <w:color w:val="auto"/>
        </w:rPr>
      </w:pPr>
      <w:r>
        <w:rPr>
          <w:rFonts w:ascii="Arial" w:cs="Arial" w:eastAsia="Arial" w:hAnsi="Arial"/>
          <w:sz w:val="11"/>
          <w:szCs w:val="11"/>
          <w:color w:val="auto"/>
        </w:rPr>
        <w:t>During the second quarter of 2021, the Company identified an error in the computation and disclosure of the basic and diluted net income per share and the diluted weighted-average number of shares outstanding for the three months ended May 31, 2020 included in the Quarterly Financial Information (unaudited) footnote in its Annual Report on Form 10-K for the fiscal year ended November 31, 2020. The three months ended May 31, 2020 was the first and only time the Company was in a net income position for the fiscal year ended November 30, 2020. The error resulted from the exclusion of a hypothetical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22" w:name="page23"/>
    <w:bookmarkEnd w:id="22"/>
    <w:p>
      <w:pPr>
        <w:ind w:left="740" w:right="80"/>
        <w:spacing w:after="0" w:line="326" w:lineRule="auto"/>
        <w:rPr>
          <w:sz w:val="20"/>
          <w:szCs w:val="20"/>
          <w:color w:val="auto"/>
        </w:rPr>
      </w:pPr>
      <w:r>
        <w:rPr>
          <w:rFonts w:ascii="Arial" w:cs="Arial" w:eastAsia="Arial" w:hAnsi="Arial"/>
          <w:sz w:val="10"/>
          <w:szCs w:val="10"/>
          <w:color w:val="auto"/>
        </w:rPr>
        <w:t xml:space="preserve">noncumulative dividend attributable to participating preferred stockholders from net income and the exclusion of dilutive stock options from diluted weighted-average number of shares outstanding. The Company evaluated the materiality of the error in accordance with SEC Staff Accounting Bulletin No. 99, </w:t>
      </w:r>
      <w:r>
        <w:rPr>
          <w:rFonts w:ascii="Arial" w:cs="Arial" w:eastAsia="Arial" w:hAnsi="Arial"/>
          <w:sz w:val="10"/>
          <w:szCs w:val="10"/>
          <w:i w:val="1"/>
          <w:iCs w:val="1"/>
          <w:color w:val="auto"/>
        </w:rPr>
        <w:t>Materiality</w:t>
      </w:r>
      <w:r>
        <w:rPr>
          <w:rFonts w:ascii="Arial" w:cs="Arial" w:eastAsia="Arial" w:hAnsi="Arial"/>
          <w:sz w:val="10"/>
          <w:szCs w:val="10"/>
          <w:color w:val="auto"/>
        </w:rPr>
        <w:t xml:space="preserve"> and ASC 250, </w:t>
      </w:r>
      <w:r>
        <w:rPr>
          <w:rFonts w:ascii="Arial" w:cs="Arial" w:eastAsia="Arial" w:hAnsi="Arial"/>
          <w:sz w:val="10"/>
          <w:szCs w:val="10"/>
          <w:i w:val="1"/>
          <w:iCs w:val="1"/>
          <w:color w:val="auto"/>
        </w:rPr>
        <w:t>Accounting for Changes and Error Corrections</w:t>
      </w:r>
      <w:r>
        <w:rPr>
          <w:rFonts w:ascii="Arial" w:cs="Arial" w:eastAsia="Arial" w:hAnsi="Arial"/>
          <w:sz w:val="10"/>
          <w:szCs w:val="10"/>
          <w:color w:val="auto"/>
        </w:rPr>
        <w:t>, and concluded the error was not material to the previously issued consolidated financial statements. However, the Company has revised its previously reported diluted weighted-average number of shares outstanding and basic and diluted net income per share, which increases the diluted weighted-average number of shares outstanding from 3,731,838 to 4,909,829 and decreases the basic and diluted net income per share from $2.03 to $0.00 for the three months ended May 31, 2020.</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 following potentially dilutive securities were excluded from the computation of the diluted net income (loss) per share of common stock for the periods presented because their effect would have been anti-dilutive: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88"/>
              </w:rPr>
              <w:t>Three Months Ended May 31,</w:t>
            </w:r>
          </w:p>
        </w:tc>
        <w:tc>
          <w:tcPr>
            <w:tcW w:w="7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w w:val="90"/>
              </w:rPr>
              <w:t>Six Months Ended May 31,</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2"/>
        </w:trPr>
        <w:tc>
          <w:tcPr>
            <w:tcW w:w="560" w:type="dxa"/>
            <w:vAlign w:val="bottom"/>
          </w:tcPr>
          <w:p>
            <w:pPr>
              <w:spacing w:after="0"/>
              <w:rPr>
                <w:sz w:val="12"/>
                <w:szCs w:val="12"/>
                <w:color w:val="auto"/>
              </w:rPr>
            </w:pPr>
          </w:p>
        </w:tc>
        <w:tc>
          <w:tcPr>
            <w:tcW w:w="446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80"/>
              </w:rPr>
              <w:t>2020</w:t>
            </w:r>
          </w:p>
        </w:tc>
        <w:tc>
          <w:tcPr>
            <w:tcW w:w="240" w:type="dxa"/>
            <w:vAlign w:val="bottom"/>
            <w:tcBorders>
              <w:bottom w:val="single" w:sz="8" w:color="CFF0FC"/>
            </w:tcBorders>
          </w:tcPr>
          <w:p>
            <w:pPr>
              <w:spacing w:after="0"/>
              <w:rPr>
                <w:sz w:val="12"/>
                <w:szCs w:val="12"/>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FF0FC"/>
            </w:tcBorders>
          </w:tcPr>
          <w:p>
            <w:pPr>
              <w:spacing w:after="0"/>
              <w:rPr>
                <w:sz w:val="12"/>
                <w:szCs w:val="12"/>
                <w:color w:val="auto"/>
              </w:rPr>
            </w:pPr>
          </w:p>
        </w:tc>
        <w:tc>
          <w:tcPr>
            <w:tcW w:w="600" w:type="dxa"/>
            <w:vAlign w:val="bottom"/>
          </w:tcPr>
          <w:p>
            <w:pPr>
              <w:spacing w:after="0"/>
              <w:rPr>
                <w:sz w:val="12"/>
                <w:szCs w:val="12"/>
                <w:color w:val="auto"/>
              </w:rPr>
            </w:pPr>
          </w:p>
        </w:tc>
      </w:tr>
      <w:tr>
        <w:trPr>
          <w:trHeight w:val="133"/>
        </w:trPr>
        <w:tc>
          <w:tcPr>
            <w:tcW w:w="560" w:type="dxa"/>
            <w:vAlign w:val="bottom"/>
          </w:tcPr>
          <w:p>
            <w:pPr>
              <w:spacing w:after="0"/>
              <w:rPr>
                <w:sz w:val="11"/>
                <w:szCs w:val="11"/>
                <w:color w:val="auto"/>
              </w:rPr>
            </w:pPr>
          </w:p>
        </w:tc>
        <w:tc>
          <w:tcPr>
            <w:tcW w:w="5160" w:type="dxa"/>
            <w:vAlign w:val="bottom"/>
            <w:gridSpan w:val="2"/>
            <w:shd w:val="clear" w:color="auto" w:fill="CFF0FC"/>
          </w:tcPr>
          <w:p>
            <w:pPr>
              <w:spacing w:after="0" w:line="133" w:lineRule="exact"/>
              <w:rPr>
                <w:sz w:val="20"/>
                <w:szCs w:val="20"/>
                <w:color w:val="auto"/>
              </w:rPr>
            </w:pPr>
            <w:r>
              <w:rPr>
                <w:rFonts w:ascii="Arial" w:cs="Arial" w:eastAsia="Arial" w:hAnsi="Arial"/>
                <w:sz w:val="12"/>
                <w:szCs w:val="12"/>
                <w:color w:val="auto"/>
              </w:rPr>
              <w:t>Redeemable convertible preferred stock</w:t>
            </w: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tcPr>
          <w:p>
            <w:pPr>
              <w:spacing w:after="0"/>
              <w:rPr>
                <w:sz w:val="11"/>
                <w:szCs w:val="11"/>
                <w:color w:val="auto"/>
              </w:rPr>
            </w:pPr>
          </w:p>
        </w:tc>
      </w:tr>
      <w:tr>
        <w:trPr>
          <w:trHeight w:val="153"/>
        </w:trPr>
        <w:tc>
          <w:tcPr>
            <w:tcW w:w="560" w:type="dxa"/>
            <w:vAlign w:val="bottom"/>
          </w:tcPr>
          <w:p>
            <w:pPr>
              <w:spacing w:after="0"/>
              <w:rPr>
                <w:sz w:val="13"/>
                <w:szCs w:val="13"/>
                <w:color w:val="auto"/>
              </w:rPr>
            </w:pPr>
          </w:p>
        </w:tc>
        <w:tc>
          <w:tcPr>
            <w:tcW w:w="516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on an as-converted basis</w:t>
            </w:r>
          </w:p>
        </w:tc>
        <w:tc>
          <w:tcPr>
            <w:tcW w:w="1260" w:type="dxa"/>
            <w:vAlign w:val="bottom"/>
            <w:gridSpan w:val="3"/>
            <w:shd w:val="clear" w:color="auto" w:fill="CFF0FC"/>
          </w:tcPr>
          <w:p>
            <w:pPr>
              <w:jc w:val="right"/>
              <w:ind w:righ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22,245,251</w:t>
            </w:r>
          </w:p>
        </w:tc>
        <w:tc>
          <w:tcPr>
            <w:tcW w:w="240" w:type="dxa"/>
            <w:vAlign w:val="bottom"/>
            <w:shd w:val="clear" w:color="auto" w:fill="CFF0FC"/>
          </w:tcPr>
          <w:p>
            <w:pPr>
              <w:spacing w:after="0"/>
              <w:rPr>
                <w:sz w:val="13"/>
                <w:szCs w:val="13"/>
                <w:color w:val="auto"/>
              </w:rPr>
            </w:pPr>
          </w:p>
        </w:tc>
        <w:tc>
          <w:tcPr>
            <w:tcW w:w="1940" w:type="dxa"/>
            <w:vAlign w:val="bottom"/>
            <w:gridSpan w:val="3"/>
            <w:shd w:val="clear" w:color="auto" w:fill="CFF0FC"/>
          </w:tcPr>
          <w:p>
            <w:pPr>
              <w:jc w:val="right"/>
              <w:ind w:right="7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22,245,251</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5160" w:type="dxa"/>
            <w:vAlign w:val="bottom"/>
            <w:gridSpan w:val="2"/>
          </w:tcPr>
          <w:p>
            <w:pPr>
              <w:spacing w:after="0"/>
              <w:rPr>
                <w:sz w:val="20"/>
                <w:szCs w:val="20"/>
                <w:color w:val="auto"/>
              </w:rPr>
            </w:pPr>
            <w:r>
              <w:rPr>
                <w:rFonts w:ascii="Arial" w:cs="Arial" w:eastAsia="Arial" w:hAnsi="Arial"/>
                <w:sz w:val="12"/>
                <w:szCs w:val="12"/>
                <w:color w:val="auto"/>
              </w:rPr>
              <w:t>Options to purchase common stock</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5,141,041</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1,152,002</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5,141,041</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2,930,466</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Options early exercised subject to vesting</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95,124</w:t>
            </w: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105,014</w:t>
            </w: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95,124</w:t>
            </w: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105,014</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44"/>
        </w:trPr>
        <w:tc>
          <w:tcPr>
            <w:tcW w:w="560" w:type="dxa"/>
            <w:vAlign w:val="bottom"/>
          </w:tcPr>
          <w:p>
            <w:pPr>
              <w:spacing w:after="0"/>
              <w:rPr>
                <w:sz w:val="12"/>
                <w:szCs w:val="12"/>
                <w:color w:val="auto"/>
              </w:rPr>
            </w:pPr>
          </w:p>
        </w:tc>
        <w:tc>
          <w:tcPr>
            <w:tcW w:w="5160" w:type="dxa"/>
            <w:vAlign w:val="bottom"/>
            <w:gridSpan w:val="2"/>
          </w:tcPr>
          <w:p>
            <w:pPr>
              <w:spacing w:after="0"/>
              <w:rPr>
                <w:sz w:val="20"/>
                <w:szCs w:val="20"/>
                <w:color w:val="auto"/>
              </w:rPr>
            </w:pPr>
            <w:r>
              <w:rPr>
                <w:rFonts w:ascii="Arial" w:cs="Arial" w:eastAsia="Arial" w:hAnsi="Arial"/>
                <w:sz w:val="12"/>
                <w:szCs w:val="12"/>
                <w:color w:val="auto"/>
              </w:rPr>
              <w:t>Shares expected to be purchased under</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Arial" w:cs="Arial" w:eastAsia="Arial" w:hAnsi="Arial"/>
                <w:sz w:val="12"/>
                <w:szCs w:val="12"/>
                <w:color w:val="auto"/>
              </w:rPr>
              <w:t>employee stock purchase plan</w:t>
            </w:r>
          </w:p>
        </w:tc>
        <w:tc>
          <w:tcPr>
            <w:tcW w:w="7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40,486</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40,486</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r>
      <w:tr>
        <w:trPr>
          <w:trHeight w:val="149"/>
        </w:trPr>
        <w:tc>
          <w:tcPr>
            <w:tcW w:w="560" w:type="dxa"/>
            <w:vAlign w:val="bottom"/>
          </w:tcPr>
          <w:p>
            <w:pPr>
              <w:spacing w:after="0"/>
              <w:rPr>
                <w:sz w:val="12"/>
                <w:szCs w:val="12"/>
                <w:color w:val="auto"/>
              </w:rPr>
            </w:pPr>
          </w:p>
        </w:tc>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70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5,276,651</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23,502,267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5,276,651</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25,280,731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0" w:type="dxa"/>
            <w:vAlign w:val="bottom"/>
          </w:tcPr>
          <w:p>
            <w:pPr>
              <w:spacing w:after="0"/>
              <w:rPr>
                <w:sz w:val="12"/>
                <w:szCs w:val="12"/>
                <w:color w:val="auto"/>
              </w:rPr>
            </w:pPr>
          </w:p>
        </w:tc>
      </w:tr>
      <w:tr>
        <w:trPr>
          <w:trHeight w:val="594"/>
        </w:trPr>
        <w:tc>
          <w:tcPr>
            <w:tcW w:w="560" w:type="dxa"/>
            <w:vAlign w:val="bottom"/>
          </w:tcPr>
          <w:p>
            <w:pPr>
              <w:spacing w:after="0"/>
              <w:rPr>
                <w:sz w:val="24"/>
                <w:szCs w:val="24"/>
                <w:color w:val="auto"/>
              </w:rPr>
            </w:pPr>
          </w:p>
        </w:tc>
        <w:tc>
          <w:tcPr>
            <w:tcW w:w="5160" w:type="dxa"/>
            <w:vAlign w:val="bottom"/>
            <w:gridSpan w:val="2"/>
          </w:tcPr>
          <w:p>
            <w:pPr>
              <w:jc w:val="right"/>
              <w:spacing w:after="0"/>
              <w:rPr>
                <w:sz w:val="20"/>
                <w:szCs w:val="20"/>
                <w:color w:val="auto"/>
              </w:rPr>
            </w:pPr>
            <w:r>
              <w:rPr>
                <w:rFonts w:ascii="Arial" w:cs="Arial" w:eastAsia="Arial" w:hAnsi="Arial"/>
                <w:sz w:val="12"/>
                <w:szCs w:val="12"/>
                <w:color w:val="auto"/>
              </w:rPr>
              <w:t>20</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44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347" w:right="27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t>12. Subsequent Events</w:t>
      </w:r>
    </w:p>
    <w:p>
      <w:pPr>
        <w:spacing w:after="0" w:line="82"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On July 8, 2021, the Company entered into a lease agreement for the lease of approximately 19,320 square feet of office space located at 455 Mission Bay Boulevard South, San Francisco, California, for a research and development laboratory and related uses. The commencement date of the lease is expected to be on or about December 1, 2021 and the lease will expire on June 30, 2024, unless terminated earlier. The minimum rent payable by the Company under the lease will be approximately $0.1 million per month, beginning on December 1, 2021, which amount will increase by 3% per year over the term. The Company will also be responsible for the payment of additional rent to cover the Company’s share of the annual operating and tax expenses and utilities costs for the building.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180"/>
          </w:cols>
          <w:pgMar w:left="300" w:top="487" w:right="41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82" w:lineRule="exact"/>
        <w:rPr>
          <w:sz w:val="20"/>
          <w:szCs w:val="20"/>
          <w:color w:val="auto"/>
        </w:rPr>
      </w:pPr>
    </w:p>
    <w:p>
      <w:pPr>
        <w:ind w:firstLine="513"/>
        <w:spacing w:after="0" w:line="255"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10-Q and (2) the audited consolidated financial statements and related notes and management’s discussion and analysis of financial condition and results of operations for the fiscal year ended November 30, 2020 included in our Annual Report on Form 10-K filed on February 16, 2021 (2020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firstLine="513"/>
        <w:spacing w:after="0" w:line="277" w:lineRule="auto"/>
        <w:rPr>
          <w:sz w:val="20"/>
          <w:szCs w:val="20"/>
          <w:color w:val="auto"/>
        </w:rPr>
      </w:pPr>
      <w:r>
        <w:rPr>
          <w:rFonts w:ascii="Arial" w:cs="Arial" w:eastAsia="Arial" w:hAnsi="Arial"/>
          <w:sz w:val="11"/>
          <w:szCs w:val="11"/>
          <w:color w:val="auto"/>
        </w:rPr>
        <w:t>We are a biopharmaceutical company focused on the discovery, development and commercialization of small molecule therapies designed to modulate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pipeline comprises targeted protein degraders of Bruton’s tyrosine kinase (BTK), a B-cell signaling protein, and inhibitors of Casitas B-lineage lymphoma proto-oncogene B (CBL-B), an E3 ligase that regulates T cell activation. Our lead drug candidate from our protein degradation portfolio, NX-2127, is an orally bioavailable BTK degrader for the treatment of relapsed or refractory B-cell malignancies. We filed an investigational new drug application (IND) for NX-2127 in December 2020 and received clearance by the U.S. Food and Drug Administration (FDA) to initiate human clinical trials. Clinical sites are actively recruiting patients for our Phase 1 clinical trial of NX-2127. Our second drug candidate from our protein degradation portfolio, NX-5948, is also an orally bioavailable BTK degrader for the treatment of relapsed or refractory B-cell malignancies and potentially autoimmune diseases. We anticipate commencing a Phase 1 trial for NX-5948 in the second half of 2021. Our lead drug candidate from our E3 ligase inhibitor portfolio, NX-1607, is an orally bioavailable CBL-B inhibitor for immuno-oncology indications. We expect to commence a Phase 1 clinical trial in the second half of 2021. We are also advancing the development of a CBL-B inhibitor, NX-0255, for ex vivo use to enhance adoptive T-cell therapy. We anticipate commencing a Phase 1 clinical trial for our first cell therapy candidate, DeTIL-0255, in the second half of 2021. All expected Phase 1 clinical trial commencements are based on calendar years. Beyond these clinical candidates, we are advancing additional wholly owned, preclinical programs that may expand our therapeutic areas beyond oncology to autoimmune disease and viral diseases, including COVID-19. Our therapeutic areas may be further expanded through our established strategic collaborations with Sanofi S.A. (Sanofi), and Gilead Sciences, Inc. (Gilead).</w:t>
      </w:r>
    </w:p>
    <w:p>
      <w:pPr>
        <w:spacing w:after="0" w:line="48" w:lineRule="exact"/>
        <w:rPr>
          <w:sz w:val="20"/>
          <w:szCs w:val="20"/>
          <w:color w:val="auto"/>
        </w:rPr>
      </w:pPr>
    </w:p>
    <w:p>
      <w:pPr>
        <w:ind w:right="100" w:firstLine="513"/>
        <w:spacing w:after="0" w:line="289" w:lineRule="auto"/>
        <w:rPr>
          <w:sz w:val="20"/>
          <w:szCs w:val="20"/>
          <w:color w:val="auto"/>
        </w:rPr>
      </w:pPr>
      <w:r>
        <w:rPr>
          <w:rFonts w:ascii="Arial" w:cs="Arial" w:eastAsia="Arial" w:hAnsi="Arial"/>
          <w:sz w:val="11"/>
          <w:szCs w:val="11"/>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(Celgene) and the issuance and sale of common and redeemable convertible preferred stock. We do not expect to generate product revenue unless and until we successfully develop and obtain approval for the commercialization of a drug candidate, and we cannot assure you that we will ever generate significant revenue or profits.</w:t>
      </w:r>
    </w:p>
    <w:p>
      <w:pPr>
        <w:spacing w:after="0" w:line="39" w:lineRule="exact"/>
        <w:rPr>
          <w:sz w:val="20"/>
          <w:szCs w:val="20"/>
          <w:color w:val="auto"/>
        </w:rPr>
      </w:pPr>
    </w:p>
    <w:p>
      <w:pPr>
        <w:ind w:right="100" w:firstLine="513"/>
        <w:spacing w:after="0" w:line="263" w:lineRule="auto"/>
        <w:rPr>
          <w:sz w:val="20"/>
          <w:szCs w:val="20"/>
          <w:color w:val="auto"/>
        </w:rPr>
      </w:pPr>
      <w:r>
        <w:rPr>
          <w:rFonts w:ascii="Arial" w:cs="Arial" w:eastAsia="Arial" w:hAnsi="Arial"/>
          <w:sz w:val="12"/>
          <w:szCs w:val="12"/>
          <w:color w:val="auto"/>
        </w:rPr>
        <w:t>Since inception, we have generally incurred significant losses and negative cash flows from operations. During the six months ended May 31, 2021 and 2020, we incurred net losses of $50.7 million and $4.8 million, respectively. As of May 31, 2021, we had an accumulated deficit of $154.4 million. These losses have resulted primarily from costs incurred in connection with research and development activities and general and administrative costs associated with our operations.</w:t>
      </w:r>
    </w:p>
    <w:p>
      <w:pPr>
        <w:spacing w:after="0" w:line="50" w:lineRule="exact"/>
        <w:rPr>
          <w:sz w:val="20"/>
          <w:szCs w:val="20"/>
          <w:color w:val="auto"/>
        </w:rPr>
      </w:pPr>
    </w:p>
    <w:p>
      <w:pPr>
        <w:ind w:firstLine="513"/>
        <w:spacing w:after="0" w:line="283" w:lineRule="auto"/>
        <w:rPr>
          <w:sz w:val="20"/>
          <w:szCs w:val="20"/>
          <w:color w:val="auto"/>
        </w:rPr>
      </w:pPr>
      <w:r>
        <w:rPr>
          <w:rFonts w:ascii="Arial" w:cs="Arial" w:eastAsia="Arial" w:hAnsi="Arial"/>
          <w:sz w:val="11"/>
          <w:szCs w:val="11"/>
          <w:color w:val="auto"/>
        </w:rPr>
        <w:t>We do not expect to generate any revenue from commercial product sales unless and until we successfully complete development and obtain regulatory approval for one or more of our drug candidates, which we expect will take a number of years. We expect our expenses will increase substantially as we advance our drug candidates through preclinical and into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to incur additional costs associated with operating as a public company, including significant legal, accounting, insurance, investor relations and other administrative and professional services expenses.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5" w:right="319" w:bottom="1440" w:gutter="0" w:footer="0" w:header="0"/>
        </w:sectPr>
      </w:pPr>
    </w:p>
    <w:bookmarkStart w:id="25" w:name="page26"/>
    <w:bookmarkEnd w:id="25"/>
    <w:p>
      <w:pPr>
        <w:ind w:right="100" w:firstLine="513"/>
        <w:spacing w:after="0" w:line="263" w:lineRule="auto"/>
        <w:rPr>
          <w:sz w:val="20"/>
          <w:szCs w:val="20"/>
          <w:color w:val="auto"/>
        </w:rPr>
      </w:pPr>
      <w:r>
        <w:rPr>
          <w:rFonts w:ascii="Arial" w:cs="Arial" w:eastAsia="Arial" w:hAnsi="Arial"/>
          <w:sz w:val="12"/>
          <w:szCs w:val="12"/>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50" w:lineRule="exact"/>
        <w:rPr>
          <w:sz w:val="20"/>
          <w:szCs w:val="20"/>
          <w:color w:val="auto"/>
        </w:rPr>
      </w:pPr>
    </w:p>
    <w:p>
      <w:pPr>
        <w:ind w:right="20" w:firstLine="513"/>
        <w:spacing w:after="0" w:line="280" w:lineRule="auto"/>
        <w:rPr>
          <w:sz w:val="20"/>
          <w:szCs w:val="20"/>
          <w:color w:val="auto"/>
        </w:rPr>
      </w:pPr>
      <w:r>
        <w:rPr>
          <w:rFonts w:ascii="Arial" w:cs="Arial" w:eastAsia="Arial" w:hAnsi="Arial"/>
          <w:sz w:val="11"/>
          <w:szCs w:val="11"/>
          <w:color w:val="auto"/>
        </w:rPr>
        <w:t>As of May 31, 2021, we had $496.5 million in cash, cash equivalents and investments. In July 2020, we closed our initial public offering and issued 12,550,000 shares of our common stock (including the exercise by the underwriters of their option to purchase an additional 1,550,000 shares of common stock in August 2020) at a price to the public of $19.00 per share for net proceeds of approximately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approximately $150.1 million, after deducting underwriting discounts and commissions of $9.6 million and expenses of $0.7 million. We expect that our existing cash, cash equivalents and investments are sufficient to fund our operations for at least the next 12 months. See the section titled “—Liquidity and capital resources” for more information. We will need to raise substantial additional capital to complete the development and commercialization of our drug candidates and pursue our long-term business plan.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43" w:lineRule="exact"/>
        <w:rPr>
          <w:sz w:val="20"/>
          <w:szCs w:val="20"/>
          <w:color w:val="auto"/>
        </w:rPr>
      </w:pPr>
    </w:p>
    <w:p>
      <w:pPr>
        <w:ind w:right="100" w:firstLine="513"/>
        <w:spacing w:after="0" w:line="259" w:lineRule="auto"/>
        <w:rPr>
          <w:sz w:val="20"/>
          <w:szCs w:val="20"/>
          <w:color w:val="auto"/>
        </w:rPr>
      </w:pPr>
      <w:r>
        <w:rPr>
          <w:rFonts w:ascii="Arial" w:cs="Arial" w:eastAsia="Arial" w:hAnsi="Arial"/>
          <w:sz w:val="12"/>
          <w:szCs w:val="12"/>
          <w:color w:val="auto"/>
        </w:rPr>
        <w:t>We are subject to risks and uncertainties as a result of the current coronavirus (COVID-19) pandemic. The COVID-19 pandemic, which is impacting worldwide economic activity,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COVID-19 pandemic to our current operations has been minimal, the extent to which the COVID-19 pandemic will impact our business, financial condition, liquidity and results of operations in the future will depend on future developments that are highly uncertain and cannot be predicted at this time.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Collaborations and License Agreements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Sanofi Collaboration and License Agreement</w:t>
      </w:r>
    </w:p>
    <w:p>
      <w:pPr>
        <w:spacing w:after="0" w:line="78" w:lineRule="exact"/>
        <w:rPr>
          <w:sz w:val="20"/>
          <w:szCs w:val="20"/>
          <w:color w:val="auto"/>
        </w:rPr>
      </w:pPr>
    </w:p>
    <w:p>
      <w:pPr>
        <w:ind w:right="180" w:firstLine="518"/>
        <w:spacing w:after="0" w:line="256" w:lineRule="auto"/>
        <w:rPr>
          <w:sz w:val="20"/>
          <w:szCs w:val="20"/>
          <w:color w:val="auto"/>
        </w:rPr>
      </w:pPr>
      <w:r>
        <w:rPr>
          <w:rFonts w:ascii="Arial" w:cs="Arial" w:eastAsia="Arial" w:hAnsi="Arial"/>
          <w:sz w:val="12"/>
          <w:szCs w:val="12"/>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collaboration, Sanofi paid us $22 million to exercise its option to expand the number of targets in the collaboration agreement from three to a total of five targets. Over time and subject to certain limitations, Sanofi may elect to replace the drug targets with other reserved targets. We also entered into the First Sanofi Amendment to the collaboration agreement with Sanofi in January 2021 to modify the research term on all targets.</w:t>
      </w:r>
    </w:p>
    <w:p>
      <w:pPr>
        <w:spacing w:after="0" w:line="56" w:lineRule="exact"/>
        <w:rPr>
          <w:sz w:val="20"/>
          <w:szCs w:val="20"/>
          <w:color w:val="auto"/>
        </w:rPr>
      </w:pPr>
    </w:p>
    <w:p>
      <w:pPr>
        <w:ind w:right="100" w:firstLine="518"/>
        <w:spacing w:after="0" w:line="263" w:lineRule="auto"/>
        <w:rPr>
          <w:sz w:val="20"/>
          <w:szCs w:val="20"/>
          <w:color w:val="auto"/>
        </w:rPr>
      </w:pPr>
      <w:r>
        <w:rPr>
          <w:rFonts w:ascii="Arial" w:cs="Arial" w:eastAsia="Arial" w:hAnsi="Arial"/>
          <w:sz w:val="12"/>
          <w:szCs w:val="12"/>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50" w:lineRule="exact"/>
        <w:rPr>
          <w:sz w:val="20"/>
          <w:szCs w:val="20"/>
          <w:color w:val="auto"/>
        </w:rPr>
      </w:pPr>
    </w:p>
    <w:p>
      <w:pPr>
        <w:ind w:firstLine="518"/>
        <w:spacing w:after="0" w:line="285" w:lineRule="auto"/>
        <w:rPr>
          <w:sz w:val="20"/>
          <w:szCs w:val="20"/>
          <w:color w:val="auto"/>
        </w:rPr>
      </w:pPr>
      <w:r>
        <w:rPr>
          <w:rFonts w:ascii="Arial" w:cs="Arial" w:eastAsia="Arial" w:hAnsi="Arial"/>
          <w:sz w:val="11"/>
          <w:szCs w:val="11"/>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chimeric targeting molecules (CTMs)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41" w:lineRule="exact"/>
        <w:rPr>
          <w:sz w:val="20"/>
          <w:szCs w:val="20"/>
          <w:color w:val="auto"/>
        </w:rPr>
      </w:pPr>
    </w:p>
    <w:p>
      <w:pPr>
        <w:ind w:right="60" w:firstLine="518"/>
        <w:spacing w:after="0" w:line="259" w:lineRule="auto"/>
        <w:rPr>
          <w:sz w:val="20"/>
          <w:szCs w:val="20"/>
          <w:color w:val="auto"/>
        </w:rPr>
      </w:pPr>
      <w:r>
        <w:rPr>
          <w:rFonts w:ascii="Arial" w:cs="Arial" w:eastAsia="Arial" w:hAnsi="Arial"/>
          <w:sz w:val="12"/>
          <w:szCs w:val="12"/>
          <w:color w:val="auto"/>
        </w:rPr>
        <w:t>Upon signing the Sanofi Agreement, Sanofi paid us an upfront payment of $55.0 million in January 2020. Subsequently in January 2021, Sanofi paid us an additional $22.0 million to exercise its option to expand the number of targets beyond the initial targets included in the collaboration. We are eligible to receive additional payments if Sanofi exercises an option to extend the license term with respect to a particular target. As of May 31, 2021, we are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26" w:name="page27"/>
    <w:bookmarkEnd w:id="26"/>
    <w:p>
      <w:pPr>
        <w:ind w:right="240"/>
        <w:spacing w:after="0" w:line="276" w:lineRule="auto"/>
        <w:rPr>
          <w:sz w:val="20"/>
          <w:szCs w:val="20"/>
          <w:color w:val="auto"/>
        </w:rPr>
      </w:pPr>
      <w:r>
        <w:rPr>
          <w:rFonts w:ascii="Arial" w:cs="Arial" w:eastAsia="Arial" w:hAnsi="Arial"/>
          <w:sz w:val="12"/>
          <w:szCs w:val="12"/>
          <w:color w:val="auto"/>
        </w:rPr>
        <w:t>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43"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We accounted for the First Sanofi Amendment as if it were part of the existing contract with Sanofi as the remaining goods and services to be provided after the contract modification are not distinct from the goods and services already provided and, therefore, form part of a single performance obligation that is partially satisfied at the date of the contract modification. The contract modification did not have an effect on the contract transaction price. The effect of the revised research period on our measure of progress toward complete satisfaction of the performance obligation was recognized as an adjustment to revenue at the date of the contract modification on a cumulative catch-up basis.</w:t>
      </w:r>
    </w:p>
    <w:p>
      <w:pPr>
        <w:spacing w:after="0" w:line="52" w:lineRule="exact"/>
        <w:rPr>
          <w:sz w:val="20"/>
          <w:szCs w:val="20"/>
          <w:color w:val="auto"/>
        </w:rPr>
      </w:pPr>
    </w:p>
    <w:p>
      <w:pPr>
        <w:ind w:right="60" w:firstLine="513"/>
        <w:spacing w:after="0" w:line="276" w:lineRule="auto"/>
        <w:rPr>
          <w:sz w:val="20"/>
          <w:szCs w:val="20"/>
          <w:color w:val="auto"/>
        </w:rPr>
      </w:pPr>
      <w:r>
        <w:rPr>
          <w:rFonts w:ascii="Arial" w:cs="Arial" w:eastAsia="Arial" w:hAnsi="Arial"/>
          <w:sz w:val="12"/>
          <w:szCs w:val="12"/>
          <w:color w:val="auto"/>
        </w:rPr>
        <w:t>We recognized collaboration revenue from the Sanofi Agreement of $3.3 million and $5.6 million during the three and six months ended May 31, 2021, respectively, and $1.8 million and $2.2 million during the three and six months ended May 31, 2020, respectively. As of May 31, 2021, there was $65.7 million of deferred revenue related to payments received by us under the Sanofi Agreement.</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Gilead Collaboration, Option and License Agreement</w:t>
      </w:r>
    </w:p>
    <w:p>
      <w:pPr>
        <w:spacing w:after="0" w:line="78" w:lineRule="exact"/>
        <w:rPr>
          <w:sz w:val="20"/>
          <w:szCs w:val="20"/>
          <w:color w:val="auto"/>
        </w:rPr>
      </w:pPr>
    </w:p>
    <w:p>
      <w:pPr>
        <w:ind w:right="380" w:firstLine="513"/>
        <w:spacing w:after="0" w:line="323" w:lineRule="auto"/>
        <w:rPr>
          <w:sz w:val="20"/>
          <w:szCs w:val="20"/>
          <w:color w:val="auto"/>
        </w:rPr>
      </w:pPr>
      <w:r>
        <w:rPr>
          <w:rFonts w:ascii="Arial" w:cs="Arial" w:eastAsia="Arial" w:hAnsi="Arial"/>
          <w:sz w:val="11"/>
          <w:szCs w:val="11"/>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20" w:lineRule="exact"/>
        <w:rPr>
          <w:sz w:val="20"/>
          <w:szCs w:val="20"/>
          <w:color w:val="auto"/>
        </w:rPr>
      </w:pPr>
    </w:p>
    <w:p>
      <w:pPr>
        <w:jc w:val="both"/>
        <w:ind w:right="260" w:firstLine="513"/>
        <w:spacing w:after="0" w:line="340" w:lineRule="auto"/>
        <w:rPr>
          <w:sz w:val="20"/>
          <w:szCs w:val="20"/>
          <w:color w:val="auto"/>
        </w:rPr>
      </w:pPr>
      <w:r>
        <w:rPr>
          <w:rFonts w:ascii="Arial" w:cs="Arial" w:eastAsia="Arial" w:hAnsi="Arial"/>
          <w:sz w:val="10"/>
          <w:szCs w:val="10"/>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15" w:lineRule="exact"/>
        <w:rPr>
          <w:sz w:val="20"/>
          <w:szCs w:val="20"/>
          <w:color w:val="auto"/>
        </w:rPr>
      </w:pPr>
    </w:p>
    <w:p>
      <w:pPr>
        <w:ind w:right="60" w:firstLine="513"/>
        <w:spacing w:after="0" w:line="285" w:lineRule="auto"/>
        <w:rPr>
          <w:sz w:val="20"/>
          <w:szCs w:val="20"/>
          <w:color w:val="auto"/>
        </w:rPr>
      </w:pPr>
      <w:r>
        <w:rPr>
          <w:rFonts w:ascii="Arial" w:cs="Arial" w:eastAsia="Arial" w:hAnsi="Arial"/>
          <w:sz w:val="11"/>
          <w:szCs w:val="11"/>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41" w:lineRule="exact"/>
        <w:rPr>
          <w:sz w:val="20"/>
          <w:szCs w:val="20"/>
          <w:color w:val="auto"/>
        </w:rPr>
      </w:pPr>
    </w:p>
    <w:p>
      <w:pPr>
        <w:ind w:right="60" w:firstLine="513"/>
        <w:spacing w:after="0" w:line="256" w:lineRule="auto"/>
        <w:rPr>
          <w:sz w:val="20"/>
          <w:szCs w:val="20"/>
          <w:color w:val="auto"/>
        </w:rPr>
      </w:pPr>
      <w:r>
        <w:rPr>
          <w:rFonts w:ascii="Arial" w:cs="Arial" w:eastAsia="Arial" w:hAnsi="Arial"/>
          <w:sz w:val="12"/>
          <w:szCs w:val="12"/>
          <w:color w:val="auto"/>
        </w:rPr>
        <w:t>Upon signing the Gilead Agreement, Gilead paid us an upfront payment of $45.0 million plus $3.0 million in additional fees. Subsequently, we have received payments of $13.5 million for research milestones and additional payments, including $2.5 million in the second quarter of 2021. As of May 31, 2021,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56"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We recognized collaboration revenue from the Gilead Agreement of $3.7 million and $6.5 million during the three and six months ended May 31, 2021, respectively, and $2.4 million and $4.8 million during the three and six months ended May 31, 2020, respectively. As of May 31, 2021, there was $40.2 million of deferred revenue related to payments received by us under the Gilead Agreement.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Formation of DeCART Therapeutics Inc.</w:t>
      </w:r>
    </w:p>
    <w:p>
      <w:pPr>
        <w:spacing w:after="0" w:line="154" w:lineRule="exact"/>
        <w:rPr>
          <w:sz w:val="20"/>
          <w:szCs w:val="20"/>
          <w:color w:val="auto"/>
        </w:rPr>
      </w:pPr>
    </w:p>
    <w:p>
      <w:pPr>
        <w:ind w:right="120" w:firstLine="513"/>
        <w:spacing w:after="0" w:line="289" w:lineRule="auto"/>
        <w:rPr>
          <w:sz w:val="20"/>
          <w:szCs w:val="20"/>
          <w:color w:val="auto"/>
        </w:rPr>
      </w:pPr>
      <w:r>
        <w:rPr>
          <w:rFonts w:ascii="Arial" w:cs="Arial" w:eastAsia="Arial" w:hAnsi="Arial"/>
          <w:sz w:val="11"/>
          <w:szCs w:val="11"/>
          <w:color w:val="auto"/>
        </w:rPr>
        <w:t>In June 2020, we established DeCART Therapeutics Inc. (DeCART), a wholly owned subsidiary, with an investment of $3.0 million and granted DeCART a license to three of our compounds, including NX-0255, for drug-enhanced isolation of T cells exclusively with respect to three CAR-T therapy targets. DeCART expects to combine our protein modulation technologies with novel CAR-T therapies to address current immunotherapy limitations and improve outcomes for patients with cancer, and subsequently seek equity financing from third parties and become an independent operating entity. DeCART granted to its external founders stock options to purchase shares of DeCART’s common stock equal to 14% of the fully diluted capitalization of DeCART. Following either the third-party funding or the exercise of the stock option grants, DeCART will no longer be a wholly owned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Components of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Collaboration Revenue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have no products approved for commercial sale and to date have not generated any revenue and do not expect to generate any revenue from the sale of products in the near future.</w:t>
      </w:r>
    </w:p>
    <w:p>
      <w:pPr>
        <w:spacing w:after="0" w:line="78"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52" w:lineRule="exact"/>
        <w:rPr>
          <w:sz w:val="20"/>
          <w:szCs w:val="20"/>
          <w:color w:val="auto"/>
        </w:rPr>
      </w:pPr>
    </w:p>
    <w:p>
      <w:pPr>
        <w:ind w:right="400" w:firstLine="513"/>
        <w:spacing w:after="0" w:line="276" w:lineRule="auto"/>
        <w:rPr>
          <w:sz w:val="20"/>
          <w:szCs w:val="20"/>
          <w:color w:val="auto"/>
        </w:rPr>
      </w:pPr>
      <w:r>
        <w:rPr>
          <w:rFonts w:ascii="Arial" w:cs="Arial" w:eastAsia="Arial" w:hAnsi="Arial"/>
          <w:sz w:val="12"/>
          <w:szCs w:val="12"/>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43" w:lineRule="exact"/>
        <w:rPr>
          <w:sz w:val="20"/>
          <w:szCs w:val="20"/>
          <w:color w:val="auto"/>
        </w:rPr>
      </w:pPr>
    </w:p>
    <w:p>
      <w:pPr>
        <w:ind w:right="280" w:firstLine="513"/>
        <w:spacing w:after="0" w:line="276" w:lineRule="auto"/>
        <w:rPr>
          <w:sz w:val="20"/>
          <w:szCs w:val="20"/>
          <w:color w:val="auto"/>
        </w:rPr>
      </w:pPr>
      <w:r>
        <w:rPr>
          <w:rFonts w:ascii="Arial" w:cs="Arial" w:eastAsia="Arial" w:hAnsi="Arial"/>
          <w:sz w:val="12"/>
          <w:szCs w:val="12"/>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8" w:lineRule="exact"/>
        <w:rPr>
          <w:sz w:val="20"/>
          <w:szCs w:val="20"/>
          <w:color w:val="auto"/>
        </w:rPr>
      </w:pPr>
    </w:p>
    <w:p>
      <w:pPr>
        <w:ind w:firstLine="513"/>
        <w:spacing w:after="0" w:line="298" w:lineRule="auto"/>
        <w:rPr>
          <w:sz w:val="20"/>
          <w:szCs w:val="20"/>
          <w:color w:val="auto"/>
        </w:rPr>
      </w:pPr>
      <w:r>
        <w:rPr>
          <w:rFonts w:ascii="Arial" w:cs="Arial" w:eastAsia="Arial" w:hAnsi="Arial"/>
          <w:sz w:val="11"/>
          <w:szCs w:val="11"/>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Internal research and development costs include:</w:t>
      </w:r>
    </w:p>
    <w:p>
      <w:pPr>
        <w:spacing w:after="0" w:line="78" w:lineRule="exact"/>
        <w:rPr>
          <w:sz w:val="20"/>
          <w:szCs w:val="20"/>
          <w:color w:val="auto"/>
        </w:rPr>
      </w:pPr>
    </w:p>
    <w:p>
      <w:pPr>
        <w:ind w:left="1000" w:hanging="495"/>
        <w:spacing w:after="0"/>
        <w:tabs>
          <w:tab w:leader="none" w:pos="1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payroll and personnel expenses, including benefits, stock-based compensation and travel expenses, for our research and development functions; and</w:t>
      </w:r>
    </w:p>
    <w:p>
      <w:pPr>
        <w:spacing w:after="0" w:line="96" w:lineRule="exact"/>
        <w:rPr>
          <w:rFonts w:ascii="Arial" w:cs="Arial" w:eastAsia="Arial" w:hAnsi="Arial"/>
          <w:sz w:val="12"/>
          <w:szCs w:val="12"/>
          <w:color w:val="auto"/>
        </w:rPr>
      </w:pPr>
    </w:p>
    <w:p>
      <w:pPr>
        <w:ind w:left="1000" w:hanging="495"/>
        <w:spacing w:after="0"/>
        <w:tabs>
          <w:tab w:leader="none" w:pos="1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depreciation of research and development equipment, allocated overhead and facilities-related expenses.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External research and development expenses consist primarily of costs incurred for the development of our drug candidates and may include:</w:t>
      </w:r>
    </w:p>
    <w:p>
      <w:pPr>
        <w:spacing w:after="0" w:line="78" w:lineRule="exact"/>
        <w:rPr>
          <w:sz w:val="20"/>
          <w:szCs w:val="20"/>
          <w:color w:val="auto"/>
        </w:rPr>
      </w:pPr>
    </w:p>
    <w:p>
      <w:pPr>
        <w:ind w:left="1000" w:hanging="495"/>
        <w:spacing w:after="0"/>
        <w:tabs>
          <w:tab w:leader="none" w:pos="1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fees paid to third parties such as consultants, contractors and contract research organizations to conduct our discovery programs, preclinical studies and clinical trials;</w:t>
      </w:r>
    </w:p>
    <w:p>
      <w:pPr>
        <w:spacing w:after="0" w:line="96" w:lineRule="exact"/>
        <w:rPr>
          <w:rFonts w:ascii="Arial" w:cs="Arial" w:eastAsia="Arial" w:hAnsi="Arial"/>
          <w:sz w:val="12"/>
          <w:szCs w:val="12"/>
          <w:color w:val="auto"/>
        </w:rPr>
      </w:pPr>
    </w:p>
    <w:p>
      <w:pPr>
        <w:ind w:left="1000" w:hanging="495"/>
        <w:spacing w:after="0"/>
        <w:tabs>
          <w:tab w:leader="none" w:pos="1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costs to acquire, develop and manufacture supplies for preclinical studies and clinical trials, including fees paid to third parties such as contract manufacturing organizations; and</w:t>
      </w:r>
    </w:p>
    <w:p>
      <w:pPr>
        <w:spacing w:after="0" w:line="96" w:lineRule="exact"/>
        <w:rPr>
          <w:rFonts w:ascii="Arial" w:cs="Arial" w:eastAsia="Arial" w:hAnsi="Arial"/>
          <w:sz w:val="12"/>
          <w:szCs w:val="12"/>
          <w:color w:val="auto"/>
        </w:rPr>
      </w:pPr>
    </w:p>
    <w:p>
      <w:pPr>
        <w:ind w:left="1000" w:hanging="495"/>
        <w:spacing w:after="0"/>
        <w:tabs>
          <w:tab w:leader="none" w:pos="1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expenses related to laboratory supplies and services.</w:t>
      </w:r>
    </w:p>
    <w:p>
      <w:pPr>
        <w:spacing w:after="0" w:line="96" w:lineRule="exact"/>
        <w:rPr>
          <w:sz w:val="20"/>
          <w:szCs w:val="20"/>
          <w:color w:val="auto"/>
        </w:rPr>
      </w:pPr>
    </w:p>
    <w:p>
      <w:pPr>
        <w:ind w:right="100" w:firstLine="513"/>
        <w:spacing w:after="0" w:line="283" w:lineRule="auto"/>
        <w:rPr>
          <w:sz w:val="20"/>
          <w:szCs w:val="20"/>
          <w:color w:val="auto"/>
        </w:rPr>
      </w:pPr>
      <w:r>
        <w:rPr>
          <w:rFonts w:ascii="Arial" w:cs="Arial" w:eastAsia="Arial" w:hAnsi="Arial"/>
          <w:sz w:val="11"/>
          <w:szCs w:val="11"/>
          <w:color w:val="auto"/>
        </w:rPr>
        <w:t>We expect our research and development expenses to increase substantially for the foreseeable future as we continue to invest in research and development activities to advance our drug candidates into and through our preclinical studies and clinical trials, pursue regulatory approval of our drug candidates and expand our drug candidate pipeline. The process of conducting the necessary preclinical and clinical research to obtain regulatory approval is costly and time-consuming. To the extent that our drug candidates advance and continue to advance into clinical trials, our expenses will increase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78" w:lineRule="exact"/>
        <w:rPr>
          <w:sz w:val="20"/>
          <w:szCs w:val="20"/>
          <w:color w:val="auto"/>
        </w:rPr>
      </w:pPr>
    </w:p>
    <w:p>
      <w:pPr>
        <w:ind w:right="60" w:firstLine="513"/>
        <w:spacing w:after="0" w:line="259" w:lineRule="auto"/>
        <w:rPr>
          <w:sz w:val="20"/>
          <w:szCs w:val="20"/>
          <w:color w:val="auto"/>
        </w:rPr>
      </w:pPr>
      <w:r>
        <w:rPr>
          <w:rFonts w:ascii="Arial" w:cs="Arial" w:eastAsia="Arial" w:hAnsi="Arial"/>
          <w:sz w:val="12"/>
          <w:szCs w:val="12"/>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substantially for the foreseeable future as we continue to build our infrastructure, increase our headcount and operate as a public company. This may include expenses related to compliance with the rules and regulations of the SEC and listing standards applicable to companies listed on a national securities exchange, additional insurance, investor relations activities and other administrative and professional services. We also expect our intellectual property expenses to increase as we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auto"/>
        </w:rPr>
        <w:t>expand our intellectual property portfolio.</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and Other Income, Net</w:t>
      </w:r>
    </w:p>
    <w:p>
      <w:pPr>
        <w:spacing w:after="0" w:line="78" w:lineRule="exact"/>
        <w:rPr>
          <w:sz w:val="20"/>
          <w:szCs w:val="20"/>
          <w:color w:val="auto"/>
        </w:rPr>
      </w:pPr>
    </w:p>
    <w:p>
      <w:pPr>
        <w:ind w:right="340" w:firstLine="513"/>
        <w:spacing w:after="0" w:line="276" w:lineRule="auto"/>
        <w:rPr>
          <w:sz w:val="20"/>
          <w:szCs w:val="20"/>
          <w:color w:val="auto"/>
        </w:rPr>
      </w:pPr>
      <w:r>
        <w:rPr>
          <w:rFonts w:ascii="Arial" w:cs="Arial" w:eastAsia="Arial" w:hAnsi="Arial"/>
          <w:sz w:val="12"/>
          <w:szCs w:val="12"/>
          <w:color w:val="auto"/>
        </w:rPr>
        <w:t>Interest and other income, net primarily consists of interest earned on our cash, cash equivalents and investments. We expect interest income to vary each reporting period depending on our average bank deposit, money market fund, and investment balances during the period and market interest rates.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Provision (Benefit) for Income Taxes</w:t>
      </w:r>
    </w:p>
    <w:p>
      <w:pPr>
        <w:spacing w:after="0" w:line="78"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The provision for income taxes primarily consists of reserves for unrecognized tax benefits and minimum state taxes. The benefit for income taxes consists of a discrete tax benefit from an adjustment to the net operating loss (NOL) deferred tax asset and valuation allowance. We have generated NOLs since inception and have established a full valuation allowance against our deferred tax assets due to the uncertainty surrounding the realization of such assets.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Three and Six Months Ended May 31, 2021 and 2020</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23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Three Months Ended May 31,</w:t>
            </w:r>
          </w:p>
        </w:tc>
        <w:tc>
          <w:tcPr>
            <w:tcW w:w="260" w:type="dxa"/>
            <w:vAlign w:val="bottom"/>
          </w:tcPr>
          <w:p>
            <w:pPr>
              <w:spacing w:after="0"/>
              <w:rPr>
                <w:sz w:val="10"/>
                <w:szCs w:val="1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Change</w:t>
            </w:r>
          </w:p>
        </w:tc>
        <w:tc>
          <w:tcPr>
            <w:tcW w:w="260" w:type="dxa"/>
            <w:vAlign w:val="bottom"/>
          </w:tcPr>
          <w:p>
            <w:pPr>
              <w:spacing w:after="0"/>
              <w:rPr>
                <w:sz w:val="10"/>
                <w:szCs w:val="10"/>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Six Months Ended May 31,</w:t>
            </w:r>
          </w:p>
        </w:tc>
        <w:tc>
          <w:tcPr>
            <w:tcW w:w="220" w:type="dxa"/>
            <w:vAlign w:val="bottom"/>
          </w:tcPr>
          <w:p>
            <w:pPr>
              <w:spacing w:after="0"/>
              <w:rPr>
                <w:sz w:val="10"/>
                <w:szCs w:val="1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2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FF0FC"/>
            </w:tcBorders>
            <w:vMerge w:val="continue"/>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381"/>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462"/>
              <w:spacing w:after="0" w:line="97" w:lineRule="exact"/>
              <w:rPr>
                <w:sz w:val="20"/>
                <w:szCs w:val="20"/>
                <w:color w:val="auto"/>
              </w:rPr>
            </w:pPr>
            <w:r>
              <w:rPr>
                <w:rFonts w:ascii="Arial" w:cs="Arial" w:eastAsia="Arial" w:hAnsi="Arial"/>
                <w:sz w:val="10"/>
                <w:szCs w:val="10"/>
                <w:b w:val="1"/>
                <w:bCs w:val="1"/>
                <w:color w:val="auto"/>
              </w:rPr>
              <w:t>$</w:t>
            </w:r>
          </w:p>
        </w:tc>
        <w:tc>
          <w:tcPr>
            <w:tcW w:w="220" w:type="dxa"/>
            <w:vAlign w:val="bottom"/>
            <w:tcBorders>
              <w:top w:val="single" w:sz="8" w:color="auto"/>
              <w:bottom w:val="single" w:sz="8" w:color="CFF0FC"/>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382"/>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FF0FC"/>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381"/>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CFF0FC"/>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462"/>
              <w:spacing w:after="0" w:line="97" w:lineRule="exact"/>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Collaboration revenue</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7,091</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4,182</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2,909</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12,102</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7,046</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25,994</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14,142</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11,852</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48,997</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27,109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21,888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General and administrative</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7,511</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4,241</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14,041</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5,720</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operating expenses</w:t>
            </w: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33,505</w:t>
            </w:r>
          </w:p>
        </w:tc>
        <w:tc>
          <w:tcPr>
            <w:tcW w:w="22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17,412</w:t>
            </w:r>
          </w:p>
        </w:tc>
        <w:tc>
          <w:tcPr>
            <w:tcW w:w="24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16,093</w:t>
            </w:r>
          </w:p>
        </w:tc>
        <w:tc>
          <w:tcPr>
            <w:tcW w:w="22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63,038</w:t>
            </w:r>
          </w:p>
        </w:tc>
        <w:tc>
          <w:tcPr>
            <w:tcW w:w="22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32,829</w:t>
            </w:r>
          </w:p>
        </w:tc>
        <w:tc>
          <w:tcPr>
            <w:tcW w:w="2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30,209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24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(26,414)</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(13,230)</w:t>
            </w:r>
          </w:p>
        </w:tc>
        <w:tc>
          <w:tcPr>
            <w:tcW w:w="26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(13,184)</w:t>
            </w:r>
          </w:p>
        </w:tc>
        <w:tc>
          <w:tcPr>
            <w:tcW w:w="26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(50,936)</w:t>
            </w:r>
          </w:p>
        </w:tc>
        <w:tc>
          <w:tcPr>
            <w:tcW w:w="26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(25,783)</w:t>
            </w:r>
          </w:p>
        </w:tc>
        <w:tc>
          <w:tcPr>
            <w:tcW w:w="22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(25,153)</w:t>
            </w:r>
          </w:p>
        </w:tc>
        <w:tc>
          <w:tcPr>
            <w:tcW w:w="0" w:type="dxa"/>
            <w:vAlign w:val="bottom"/>
          </w:tcPr>
          <w:p>
            <w:pPr>
              <w:spacing w:after="0"/>
              <w:rPr>
                <w:sz w:val="1"/>
                <w:szCs w:val="1"/>
                <w:color w:val="auto"/>
              </w:rPr>
            </w:pPr>
          </w:p>
        </w:tc>
      </w:tr>
      <w:tr>
        <w:trPr>
          <w:trHeight w:val="153"/>
        </w:trPr>
        <w:tc>
          <w:tcPr>
            <w:tcW w:w="2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and other income, net</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(52)</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489</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2"/>
                <w:szCs w:val="12"/>
                <w:color w:val="auto"/>
              </w:rPr>
              <w:t>Loss before income taxes</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(26,243)</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(13,007)</w:t>
            </w:r>
          </w:p>
        </w:tc>
        <w:tc>
          <w:tcPr>
            <w:tcW w:w="26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(13,236)</w:t>
            </w:r>
          </w:p>
        </w:tc>
        <w:tc>
          <w:tcPr>
            <w:tcW w:w="26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(50,447)</w:t>
            </w:r>
          </w:p>
        </w:tc>
        <w:tc>
          <w:tcPr>
            <w:tcW w:w="26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(25,387)</w:t>
            </w:r>
          </w:p>
        </w:tc>
        <w:tc>
          <w:tcPr>
            <w:tcW w:w="22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(25,060)</w:t>
            </w:r>
          </w:p>
        </w:tc>
        <w:tc>
          <w:tcPr>
            <w:tcW w:w="0" w:type="dxa"/>
            <w:vAlign w:val="bottom"/>
          </w:tcPr>
          <w:p>
            <w:pPr>
              <w:spacing w:after="0"/>
              <w:rPr>
                <w:sz w:val="1"/>
                <w:szCs w:val="1"/>
                <w:color w:val="auto"/>
              </w:rPr>
            </w:pPr>
          </w:p>
        </w:tc>
      </w:tr>
      <w:tr>
        <w:trPr>
          <w:trHeight w:val="20"/>
        </w:trPr>
        <w:tc>
          <w:tcPr>
            <w:tcW w:w="25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Provision (benefit) for income taxes</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(20,587)</w:t>
            </w: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20,726</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(20,576)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2"/>
                <w:szCs w:val="12"/>
                <w:color w:val="auto"/>
              </w:rPr>
              <w:t>Net income (loss)</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gridSpan w:val="2"/>
            <w:vMerge w:val="continue"/>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(26,382)</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7,580</w:t>
            </w:r>
          </w:p>
        </w:tc>
        <w:tc>
          <w:tcPr>
            <w:tcW w:w="24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(33,962)</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(50,657)</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(4,811)</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(45,846)</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Collaboration Revenue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Our collaboration revenue for the three and six months ended May 31, 2021 and 2020 is summarized as follows:</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23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gridSpan w:val="5"/>
          </w:tcPr>
          <w:p>
            <w:pPr>
              <w:ind w:left="320"/>
              <w:spacing w:after="0"/>
              <w:rPr>
                <w:sz w:val="20"/>
                <w:szCs w:val="20"/>
                <w:color w:val="auto"/>
              </w:rPr>
            </w:pPr>
            <w:r>
              <w:rPr>
                <w:rFonts w:ascii="Arial" w:cs="Arial" w:eastAsia="Arial" w:hAnsi="Arial"/>
                <w:sz w:val="10"/>
                <w:szCs w:val="10"/>
                <w:b w:val="1"/>
                <w:bCs w:val="1"/>
                <w:color w:val="auto"/>
              </w:rPr>
              <w:t>Three Months Ended May 31,</w:t>
            </w:r>
          </w:p>
        </w:tc>
        <w:tc>
          <w:tcPr>
            <w:tcW w:w="260" w:type="dxa"/>
            <w:vAlign w:val="bottom"/>
          </w:tcPr>
          <w:p>
            <w:pPr>
              <w:spacing w:after="0"/>
              <w:rPr>
                <w:sz w:val="10"/>
                <w:szCs w:val="10"/>
                <w:color w:val="auto"/>
              </w:rPr>
            </w:pPr>
          </w:p>
        </w:tc>
        <w:tc>
          <w:tcPr>
            <w:tcW w:w="1020" w:type="dxa"/>
            <w:vAlign w:val="bottom"/>
            <w:gridSpan w:val="2"/>
          </w:tcPr>
          <w:p>
            <w:pPr>
              <w:ind w:left="220"/>
              <w:spacing w:after="0"/>
              <w:rPr>
                <w:sz w:val="20"/>
                <w:szCs w:val="20"/>
                <w:color w:val="auto"/>
              </w:rPr>
            </w:pPr>
            <w:r>
              <w:rPr>
                <w:rFonts w:ascii="Arial" w:cs="Arial" w:eastAsia="Arial" w:hAnsi="Arial"/>
                <w:sz w:val="10"/>
                <w:szCs w:val="10"/>
                <w:b w:val="1"/>
                <w:bCs w:val="1"/>
                <w:color w:val="auto"/>
              </w:rPr>
              <w:t>Change</w:t>
            </w:r>
          </w:p>
        </w:tc>
        <w:tc>
          <w:tcPr>
            <w:tcW w:w="260" w:type="dxa"/>
            <w:vAlign w:val="bottom"/>
          </w:tcPr>
          <w:p>
            <w:pPr>
              <w:spacing w:after="0"/>
              <w:rPr>
                <w:sz w:val="10"/>
                <w:szCs w:val="10"/>
                <w:color w:val="auto"/>
              </w:rPr>
            </w:pPr>
          </w:p>
        </w:tc>
        <w:tc>
          <w:tcPr>
            <w:tcW w:w="2340" w:type="dxa"/>
            <w:vAlign w:val="bottom"/>
            <w:gridSpan w:val="5"/>
          </w:tcPr>
          <w:p>
            <w:pPr>
              <w:ind w:left="380"/>
              <w:spacing w:after="0"/>
              <w:rPr>
                <w:sz w:val="20"/>
                <w:szCs w:val="20"/>
                <w:color w:val="auto"/>
              </w:rPr>
            </w:pPr>
            <w:r>
              <w:rPr>
                <w:rFonts w:ascii="Arial" w:cs="Arial" w:eastAsia="Arial" w:hAnsi="Arial"/>
                <w:sz w:val="10"/>
                <w:szCs w:val="10"/>
                <w:b w:val="1"/>
                <w:bCs w:val="1"/>
                <w:color w:val="auto"/>
              </w:rPr>
              <w:t>Six Months Ended May 31,</w:t>
            </w:r>
          </w:p>
        </w:tc>
        <w:tc>
          <w:tcPr>
            <w:tcW w:w="22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2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FF0FC"/>
            </w:tcBorders>
            <w:vMerge w:val="continue"/>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405"/>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383"/>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465"/>
              <w:spacing w:after="0" w:line="97" w:lineRule="exact"/>
              <w:rPr>
                <w:sz w:val="20"/>
                <w:szCs w:val="20"/>
                <w:color w:val="auto"/>
              </w:rPr>
            </w:pPr>
            <w:r>
              <w:rPr>
                <w:rFonts w:ascii="Arial" w:cs="Arial" w:eastAsia="Arial" w:hAnsi="Arial"/>
                <w:sz w:val="10"/>
                <w:szCs w:val="10"/>
                <w:b w:val="1"/>
                <w:bCs w:val="1"/>
                <w:color w:val="auto"/>
              </w:rPr>
              <w:t>$</w:t>
            </w:r>
          </w:p>
        </w:tc>
        <w:tc>
          <w:tcPr>
            <w:tcW w:w="220" w:type="dxa"/>
            <w:vAlign w:val="bottom"/>
            <w:tcBorders>
              <w:top w:val="single" w:sz="8" w:color="auto"/>
              <w:bottom w:val="single" w:sz="8" w:color="CFF0FC"/>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385"/>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FF0FC"/>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383"/>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CFF0FC"/>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465"/>
              <w:spacing w:after="0" w:line="97" w:lineRule="exact"/>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Gilead</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3,747</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2,377</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1,370</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6,466</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4,823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Sanofi</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3,344</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1,539</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5,636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2,223</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collaboration revenue</w:t>
            </w:r>
          </w:p>
        </w:tc>
        <w:tc>
          <w:tcPr>
            <w:tcW w:w="24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7,091</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4,182</w:t>
            </w:r>
          </w:p>
        </w:tc>
        <w:tc>
          <w:tcPr>
            <w:tcW w:w="2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2,909</w:t>
            </w: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12,102</w:t>
            </w: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7,046</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5,056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firstLine="513"/>
        <w:spacing w:after="0" w:line="323" w:lineRule="auto"/>
        <w:rPr>
          <w:sz w:val="20"/>
          <w:szCs w:val="20"/>
          <w:color w:val="auto"/>
        </w:rPr>
      </w:pPr>
      <w:r>
        <w:rPr>
          <w:rFonts w:ascii="Arial" w:cs="Arial" w:eastAsia="Arial" w:hAnsi="Arial"/>
          <w:sz w:val="11"/>
          <w:szCs w:val="11"/>
          <w:color w:val="auto"/>
        </w:rPr>
        <w:t>Our collaboration revenue increased by $2.9 million and $5.1 million during the three and six months ended May 31, 2021, respectively, compared to the three and six months ended May 31, 2020. The increase was due to the continued scale up of internal resources and external spending for our collaborations with Sanofi and Gilead as compared to the prior periods, resulting in a higher percentage of completion in the current periods.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Our research and development expenses for the three and six months ended May 31, 2021 and 2020 are summarized as follows:</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28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vMerge w:val="restart"/>
          </w:tcPr>
          <w:p>
            <w:pPr>
              <w:spacing w:after="0"/>
              <w:rPr>
                <w:sz w:val="10"/>
                <w:szCs w:val="10"/>
                <w:color w:val="auto"/>
              </w:rPr>
            </w:pPr>
          </w:p>
        </w:tc>
        <w:tc>
          <w:tcPr>
            <w:tcW w:w="1820" w:type="dxa"/>
            <w:vAlign w:val="bottom"/>
            <w:gridSpan w:val="4"/>
          </w:tcPr>
          <w:p>
            <w:pPr>
              <w:jc w:val="right"/>
              <w:ind w:right="52"/>
              <w:spacing w:after="0"/>
              <w:rPr>
                <w:sz w:val="20"/>
                <w:szCs w:val="20"/>
                <w:color w:val="auto"/>
              </w:rPr>
            </w:pPr>
            <w:r>
              <w:rPr>
                <w:rFonts w:ascii="Arial" w:cs="Arial" w:eastAsia="Arial" w:hAnsi="Arial"/>
                <w:sz w:val="10"/>
                <w:szCs w:val="10"/>
                <w:b w:val="1"/>
                <w:bCs w:val="1"/>
                <w:color w:val="auto"/>
              </w:rPr>
              <w:t>Three Months Ended May 31,</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Change</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0" w:type="dxa"/>
            <w:vAlign w:val="bottom"/>
            <w:gridSpan w:val="5"/>
          </w:tcPr>
          <w:p>
            <w:pPr>
              <w:ind w:left="320"/>
              <w:spacing w:after="0"/>
              <w:rPr>
                <w:sz w:val="20"/>
                <w:szCs w:val="20"/>
                <w:color w:val="auto"/>
              </w:rPr>
            </w:pPr>
            <w:r>
              <w:rPr>
                <w:rFonts w:ascii="Arial" w:cs="Arial" w:eastAsia="Arial" w:hAnsi="Arial"/>
                <w:sz w:val="10"/>
                <w:szCs w:val="10"/>
                <w:b w:val="1"/>
                <w:bCs w:val="1"/>
                <w:color w:val="auto"/>
              </w:rPr>
              <w:t>Six Months Ended May 31,</w:t>
            </w:r>
          </w:p>
        </w:tc>
        <w:tc>
          <w:tcPr>
            <w:tcW w:w="200" w:type="dxa"/>
            <w:vAlign w:val="bottom"/>
          </w:tcPr>
          <w:p>
            <w:pPr>
              <w:spacing w:after="0"/>
              <w:rPr>
                <w:sz w:val="10"/>
                <w:szCs w:val="10"/>
                <w:color w:val="auto"/>
              </w:rPr>
            </w:pPr>
          </w:p>
        </w:tc>
        <w:tc>
          <w:tcPr>
            <w:tcW w:w="900" w:type="dxa"/>
            <w:vAlign w:val="bottom"/>
            <w:gridSpan w:val="2"/>
          </w:tcPr>
          <w:p>
            <w:pPr>
              <w:ind w:lef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7"/>
        </w:trPr>
        <w:tc>
          <w:tcPr>
            <w:tcW w:w="28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FF0FC"/>
            </w:tcBorders>
            <w:vMerge w:val="continue"/>
          </w:tcPr>
          <w:p>
            <w:pPr>
              <w:spacing w:after="0"/>
              <w:rPr>
                <w:sz w:val="8"/>
                <w:szCs w:val="8"/>
                <w:color w:val="auto"/>
              </w:rPr>
            </w:pPr>
          </w:p>
        </w:tc>
        <w:tc>
          <w:tcPr>
            <w:tcW w:w="6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38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FF0FC"/>
            </w:tcBorders>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380" w:type="dxa"/>
            <w:vAlign w:val="bottom"/>
            <w:tcBorders>
              <w:top w:val="single" w:sz="8" w:color="auto"/>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92"/>
              <w:spacing w:after="0" w:line="97" w:lineRule="exact"/>
              <w:rPr>
                <w:sz w:val="20"/>
                <w:szCs w:val="20"/>
                <w:color w:val="auto"/>
              </w:rPr>
            </w:pPr>
            <w:r>
              <w:rPr>
                <w:rFonts w:ascii="Arial" w:cs="Arial" w:eastAsia="Arial" w:hAnsi="Arial"/>
                <w:sz w:val="10"/>
                <w:szCs w:val="10"/>
                <w:b w:val="1"/>
                <w:bCs w:val="1"/>
                <w:color w:val="auto"/>
              </w:rPr>
              <w:t>$</w:t>
            </w:r>
          </w:p>
        </w:tc>
        <w:tc>
          <w:tcPr>
            <w:tcW w:w="340" w:type="dxa"/>
            <w:vAlign w:val="bottom"/>
            <w:tcBorders>
              <w:top w:val="single" w:sz="8" w:color="auto"/>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363"/>
              <w:spacing w:after="0" w:line="97"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top w:val="single" w:sz="8" w:color="auto"/>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jc w:val="right"/>
              <w:ind w:right="342"/>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CFF0FC"/>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423"/>
              <w:spacing w:after="0" w:line="97" w:lineRule="exact"/>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Compensation and related personnel costs</w:t>
            </w:r>
          </w:p>
        </w:tc>
        <w:tc>
          <w:tcPr>
            <w:tcW w:w="620" w:type="dxa"/>
            <w:vAlign w:val="bottom"/>
            <w:shd w:val="clear" w:color="auto" w:fill="CFF0FC"/>
          </w:tcPr>
          <w:p>
            <w:pPr>
              <w:jc w:val="right"/>
              <w:ind w:right="51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10,539</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5,264</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5,275</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19,870</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10,029</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0" w:type="dxa"/>
            <w:vAlign w:val="bottom"/>
            <w:gridSpan w:val="2"/>
          </w:tcPr>
          <w:p>
            <w:pPr>
              <w:spacing w:after="0"/>
              <w:rPr>
                <w:sz w:val="20"/>
                <w:szCs w:val="20"/>
                <w:color w:val="auto"/>
              </w:rPr>
            </w:pPr>
            <w:r>
              <w:rPr>
                <w:rFonts w:ascii="Arial" w:cs="Arial" w:eastAsia="Arial" w:hAnsi="Arial"/>
                <w:sz w:val="12"/>
                <w:szCs w:val="12"/>
                <w:color w:val="auto"/>
              </w:rPr>
              <w:t>Supplies and contract research</w:t>
            </w:r>
          </w:p>
        </w:tc>
        <w:tc>
          <w:tcPr>
            <w:tcW w:w="6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8,918</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4,707</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9"/>
              </w:rPr>
              <w:t>4,211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16,712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8,992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7,720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Preclinical activities and contract manufacturing</w:t>
            </w:r>
          </w:p>
        </w:tc>
        <w:tc>
          <w:tcPr>
            <w:tcW w:w="6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2,482</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2,012</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4,893</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3,982</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0" w:type="dxa"/>
            <w:vAlign w:val="bottom"/>
            <w:gridSpan w:val="2"/>
          </w:tcPr>
          <w:p>
            <w:pPr>
              <w:spacing w:after="0"/>
              <w:rPr>
                <w:sz w:val="20"/>
                <w:szCs w:val="20"/>
                <w:color w:val="auto"/>
              </w:rPr>
            </w:pPr>
            <w:r>
              <w:rPr>
                <w:rFonts w:ascii="Arial" w:cs="Arial" w:eastAsia="Arial" w:hAnsi="Arial"/>
                <w:sz w:val="12"/>
                <w:szCs w:val="12"/>
                <w:color w:val="auto"/>
              </w:rPr>
              <w:t>Clinical costs</w:t>
            </w:r>
          </w:p>
        </w:tc>
        <w:tc>
          <w:tcPr>
            <w:tcW w:w="6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1,239</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9"/>
              </w:rPr>
              <w:t>1,147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1,942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Facility and other costs</w:t>
            </w:r>
          </w:p>
        </w:tc>
        <w:tc>
          <w:tcPr>
            <w:tcW w:w="6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2,816</w:t>
            </w:r>
          </w:p>
        </w:tc>
        <w:tc>
          <w:tcPr>
            <w:tcW w:w="22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2,067</w:t>
            </w:r>
          </w:p>
        </w:tc>
        <w:tc>
          <w:tcPr>
            <w:tcW w:w="2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749</w:t>
            </w:r>
          </w:p>
        </w:tc>
        <w:tc>
          <w:tcPr>
            <w:tcW w:w="2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5,580</w:t>
            </w:r>
          </w:p>
        </w:tc>
        <w:tc>
          <w:tcPr>
            <w:tcW w:w="2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4,012</w:t>
            </w:r>
          </w:p>
        </w:tc>
        <w:tc>
          <w:tcPr>
            <w:tcW w:w="2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1,568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rPr>
                <w:sz w:val="20"/>
                <w:szCs w:val="20"/>
                <w:color w:val="auto"/>
              </w:rPr>
            </w:pPr>
            <w:r>
              <w:rPr>
                <w:rFonts w:ascii="Arial" w:cs="Arial" w:eastAsia="Arial" w:hAnsi="Arial"/>
                <w:sz w:val="12"/>
                <w:szCs w:val="12"/>
                <w:color w:val="auto"/>
              </w:rPr>
              <w:t>Total research and development expenses</w:t>
            </w:r>
          </w:p>
        </w:tc>
        <w:tc>
          <w:tcPr>
            <w:tcW w:w="6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25,994</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14,142</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1"/>
              </w:rPr>
              <w:t>11,852</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48,997</w:t>
            </w:r>
          </w:p>
        </w:tc>
        <w:tc>
          <w:tcPr>
            <w:tcW w:w="20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27,109</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0" w:firstLine="513"/>
        <w:spacing w:after="0" w:line="259" w:lineRule="auto"/>
        <w:rPr>
          <w:sz w:val="20"/>
          <w:szCs w:val="20"/>
          <w:color w:val="auto"/>
        </w:rPr>
      </w:pPr>
      <w:r>
        <w:rPr>
          <w:rFonts w:ascii="Arial" w:cs="Arial" w:eastAsia="Arial" w:hAnsi="Arial"/>
          <w:sz w:val="12"/>
          <w:szCs w:val="12"/>
          <w:color w:val="auto"/>
        </w:rPr>
        <w:t>Our research and development expenses increased by $11.9 million during the three months ended May 31, 2021, compared to the three months ended May 31, 2020. The increase was primarily related to an increase of $5.3 million in compensation and related personnel costs attributable to an increase in headcount. Compensation and related personnel costs includes $1.9 million of non-cash stock-based compensation expense in the three months ended May 31, 2021, compared to $0.2 million in the three months ended May 31, 2020. There was also an increase of $4.2 million in supplies and contract research attributable to increases in our preclinical development activities and drug discovery research and an increase of $1.1 million in clinical costs due to the start of clinical trial patient enrollment.</w:t>
      </w:r>
    </w:p>
    <w:p>
      <w:pPr>
        <w:spacing w:after="0" w:line="52"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Our research and development expenses increased by $21.9 million during the six months ended May 31, 2021, compared to the six months ended May 31, 2020. The increase was primarily related to an increase of $9.8 million in compensation and related personnel costs attributable to an increase in headcount. Compensation and related personnel costs includes $3.0 million of non-cash stock-based compensation expense in the six months ended May 31, 2021, compared to $0.3 million in the six months ended May 31, 2020. There was also an increase of $7.7 million in supplies and contract research attributable to increases in our preclinical development activities and drug discovery research and an increase of $1.8 million in clinical costs due to the start of clinical trial patient enrollment.</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78" w:lineRule="exact"/>
        <w:rPr>
          <w:sz w:val="20"/>
          <w:szCs w:val="20"/>
          <w:color w:val="auto"/>
        </w:rPr>
      </w:pPr>
    </w:p>
    <w:p>
      <w:pPr>
        <w:ind w:right="60" w:firstLine="513"/>
        <w:spacing w:after="0" w:line="298" w:lineRule="auto"/>
        <w:rPr>
          <w:sz w:val="20"/>
          <w:szCs w:val="20"/>
          <w:color w:val="auto"/>
        </w:rPr>
      </w:pPr>
      <w:r>
        <w:rPr>
          <w:rFonts w:ascii="Arial" w:cs="Arial" w:eastAsia="Arial" w:hAnsi="Arial"/>
          <w:sz w:val="11"/>
          <w:szCs w:val="11"/>
          <w:color w:val="auto"/>
        </w:rPr>
        <w:t>Our general and administrative expenses increased by $4.2 million during the three months ended May 31, 2021, compared to the three months ended May 31, 2020. The increase was primarily related to an increase of $3.0 million in compensation related expenses attributable to a higher headcount. Compensation and related personnel costs includes $1.9 million of non-cash stock-based compensation expense in the three months ended May 31, 2021, compared to $0.2 million in the three months ended May 31, 2020. There was also an increase of $1.1 million in consultant and other professional service expenses primarily related to becoming a public company.</w:t>
      </w:r>
    </w:p>
    <w:p>
      <w:pPr>
        <w:spacing w:after="0" w:line="33" w:lineRule="exact"/>
        <w:rPr>
          <w:sz w:val="20"/>
          <w:szCs w:val="20"/>
          <w:color w:val="auto"/>
        </w:rPr>
      </w:pPr>
    </w:p>
    <w:p>
      <w:pPr>
        <w:jc w:val="both"/>
        <w:ind w:right="260" w:firstLine="513"/>
        <w:spacing w:after="0" w:line="298" w:lineRule="auto"/>
        <w:rPr>
          <w:sz w:val="20"/>
          <w:szCs w:val="20"/>
          <w:color w:val="auto"/>
        </w:rPr>
      </w:pPr>
      <w:r>
        <w:rPr>
          <w:rFonts w:ascii="Arial" w:cs="Arial" w:eastAsia="Arial" w:hAnsi="Arial"/>
          <w:sz w:val="11"/>
          <w:szCs w:val="11"/>
          <w:color w:val="auto"/>
        </w:rPr>
        <w:t>Our general and administrative expenses increased by $8.3 million during the six months ended May 31, 2021, compared to the six months ended May 31, 2020. The increase was primarily related to an increase of $5.5 million in compensation related expenses attributable to a higher headcount. Compensation and related personnel costs includes $3.4 million of non-cash stock-based compensation expense in the six months ended May 31, 2021, compared to $0.3 million in the six months ended May 31, 2020. There was also an increase of $2.1 million in consultant and other professional service expenses primarily related to becoming a public company.</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and Other Income, Net</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1"/>
          <w:szCs w:val="11"/>
          <w:color w:val="auto"/>
        </w:rPr>
        <w:t>Interest and other income, net was insignificant for each of the three and six months ended May 31, 2021 and 2020 and is related to interest earned on our deposits, money market funds and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Provision for Income Taxes</w:t>
      </w:r>
    </w:p>
    <w:p>
      <w:pPr>
        <w:spacing w:after="0" w:line="78" w:lineRule="exact"/>
        <w:rPr>
          <w:sz w:val="20"/>
          <w:szCs w:val="20"/>
          <w:color w:val="auto"/>
        </w:rPr>
      </w:pPr>
    </w:p>
    <w:p>
      <w:pPr>
        <w:jc w:val="both"/>
        <w:ind w:right="280" w:firstLine="513"/>
        <w:spacing w:after="0" w:line="323" w:lineRule="auto"/>
        <w:rPr>
          <w:sz w:val="20"/>
          <w:szCs w:val="20"/>
          <w:color w:val="auto"/>
        </w:rPr>
      </w:pPr>
      <w:r>
        <w:rPr>
          <w:rFonts w:ascii="Arial" w:cs="Arial" w:eastAsia="Arial" w:hAnsi="Arial"/>
          <w:sz w:val="11"/>
          <w:szCs w:val="11"/>
          <w:color w:val="auto"/>
        </w:rPr>
        <w:t>Provision for income taxes was $0.1 million and $0.2 million for the three and six months ended May 31, 2021. For the three and six months ended May 31, 2020, an income tax benefit of $20.6 million was recognized related to a discrete tax benefit, which consists of carryback claims and the reversal of the uncertain tax liability related to research and development tax credits as a result of the CARES Act.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00" w:top="491" w:right="35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78"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Our initial public offering closed on July 28, 2020 at which time we issued 11,000,000 shares of our common stock at a price to the public of $19.00 per share. In addition, the underwriters exercised their option to purchase an additional 1,550,000 shares of our common stock on July 31, 2020, and this transaction closed on August 4, 2020. Net proceeds from our initial public offering were approximately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approximately $150.1 million, after deducting underwriting discounts and commissions of $9.6 million and expenses of $0.7 million.</w:t>
      </w:r>
    </w:p>
    <w:p>
      <w:pPr>
        <w:spacing w:after="0" w:line="56"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To date, our operations have primarily been funded through the gross proceeds from equity offerings of $553.0 million and proceeds from collaborations of $288.5 million. We do not have any products approved for sale, and we have not generated any revenue from product sales. As of May 31, 2021, we had $496.5 million in cash, cash equivalents and investments.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78"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We expect that our existing cash, cash equivalents and investments are sufficient to continue operating activities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Our future funding requirements will depend on many factors, including the following:</w:t>
      </w:r>
    </w:p>
    <w:p>
      <w:pPr>
        <w:spacing w:after="0" w:line="78" w:lineRule="exact"/>
        <w:rPr>
          <w:sz w:val="20"/>
          <w:szCs w:val="20"/>
          <w:color w:val="auto"/>
        </w:rPr>
      </w:pPr>
    </w:p>
    <w:p>
      <w:pPr>
        <w:ind w:left="1000" w:hanging="495"/>
        <w:spacing w:after="0"/>
        <w:tabs>
          <w:tab w:leader="none" w:pos="100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progress, costs and results of our planned Phase 1 clinical trials for our lead drug candidates NX-2127 and NX-1607 and other drug candidates, and any future clinical development of such drug candidates;</w:t>
      </w:r>
    </w:p>
    <w:p>
      <w:pPr>
        <w:spacing w:after="0" w:line="107" w:lineRule="exact"/>
        <w:rPr>
          <w:rFonts w:ascii="Arial" w:cs="Arial" w:eastAsia="Arial" w:hAnsi="Arial"/>
          <w:sz w:val="11"/>
          <w:szCs w:val="11"/>
          <w:color w:val="auto"/>
        </w:rPr>
      </w:pPr>
    </w:p>
    <w:p>
      <w:pPr>
        <w:ind w:left="1000" w:hanging="495"/>
        <w:spacing w:after="0"/>
        <w:tabs>
          <w:tab w:leader="none" w:pos="1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scope, progress, costs and results of preclinical and clinical development for our other drug candidates and development programs;</w:t>
      </w:r>
    </w:p>
    <w:p>
      <w:pPr>
        <w:spacing w:after="0" w:line="96" w:lineRule="exact"/>
        <w:rPr>
          <w:rFonts w:ascii="Arial" w:cs="Arial" w:eastAsia="Arial" w:hAnsi="Arial"/>
          <w:sz w:val="12"/>
          <w:szCs w:val="12"/>
          <w:color w:val="auto"/>
        </w:rPr>
      </w:pPr>
    </w:p>
    <w:p>
      <w:pPr>
        <w:ind w:left="1000" w:hanging="495"/>
        <w:spacing w:after="0"/>
        <w:tabs>
          <w:tab w:leader="none" w:pos="1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number and development requirements of other drug candidates that we pursue;</w:t>
      </w:r>
    </w:p>
    <w:p>
      <w:pPr>
        <w:spacing w:after="0" w:line="96" w:lineRule="exact"/>
        <w:rPr>
          <w:rFonts w:ascii="Arial" w:cs="Arial" w:eastAsia="Arial" w:hAnsi="Arial"/>
          <w:sz w:val="12"/>
          <w:szCs w:val="12"/>
          <w:color w:val="auto"/>
        </w:rPr>
      </w:pPr>
    </w:p>
    <w:p>
      <w:pPr>
        <w:ind w:left="1000" w:hanging="495"/>
        <w:spacing w:after="0"/>
        <w:tabs>
          <w:tab w:leader="none" w:pos="1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scope of, and costs associated with, future advancements to our DELigase platform;</w:t>
      </w:r>
    </w:p>
    <w:p>
      <w:pPr>
        <w:spacing w:after="0" w:line="96" w:lineRule="exact"/>
        <w:rPr>
          <w:rFonts w:ascii="Arial" w:cs="Arial" w:eastAsia="Arial" w:hAnsi="Arial"/>
          <w:sz w:val="12"/>
          <w:szCs w:val="12"/>
          <w:color w:val="auto"/>
        </w:rPr>
      </w:pPr>
    </w:p>
    <w:p>
      <w:pPr>
        <w:ind w:left="1000" w:hanging="495"/>
        <w:spacing w:after="0"/>
        <w:tabs>
          <w:tab w:leader="none" w:pos="1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success of our collaborations with Sanofi, Gilead and any other collaborations we may establish;</w:t>
      </w:r>
    </w:p>
    <w:p>
      <w:pPr>
        <w:spacing w:after="0" w:line="96" w:lineRule="exact"/>
        <w:rPr>
          <w:rFonts w:ascii="Arial" w:cs="Arial" w:eastAsia="Arial" w:hAnsi="Arial"/>
          <w:sz w:val="12"/>
          <w:szCs w:val="12"/>
          <w:color w:val="auto"/>
        </w:rPr>
      </w:pPr>
    </w:p>
    <w:p>
      <w:pPr>
        <w:ind w:left="1000" w:hanging="495"/>
        <w:spacing w:after="0"/>
        <w:tabs>
          <w:tab w:leader="none" w:pos="1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costs, timing and outcome of regulatory review of our drug candidates;</w:t>
      </w:r>
    </w:p>
    <w:p>
      <w:pPr>
        <w:spacing w:after="0" w:line="96" w:lineRule="exact"/>
        <w:rPr>
          <w:rFonts w:ascii="Arial" w:cs="Arial" w:eastAsia="Arial" w:hAnsi="Arial"/>
          <w:sz w:val="12"/>
          <w:szCs w:val="12"/>
          <w:color w:val="auto"/>
        </w:rPr>
      </w:pPr>
    </w:p>
    <w:p>
      <w:pPr>
        <w:ind w:left="1000" w:hanging="495"/>
        <w:spacing w:after="0"/>
        <w:tabs>
          <w:tab w:leader="none" w:pos="100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costs and timing of future commercialization activities, including product manufacturing, marketing, sales and distribution, for any of our drug candidates for which we receive marketing approval;</w:t>
      </w:r>
    </w:p>
    <w:p>
      <w:pPr>
        <w:spacing w:after="0" w:line="107" w:lineRule="exact"/>
        <w:rPr>
          <w:rFonts w:ascii="Arial" w:cs="Arial" w:eastAsia="Arial" w:hAnsi="Arial"/>
          <w:sz w:val="11"/>
          <w:szCs w:val="11"/>
          <w:color w:val="auto"/>
        </w:rPr>
      </w:pPr>
    </w:p>
    <w:p>
      <w:pPr>
        <w:ind w:left="1000" w:hanging="495"/>
        <w:spacing w:after="0"/>
        <w:tabs>
          <w:tab w:leader="none" w:pos="1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revenue, if any, received from commercial sales of our drug candidates for which we receive marketing approval;</w:t>
      </w:r>
    </w:p>
    <w:p>
      <w:pPr>
        <w:spacing w:after="0" w:line="96" w:lineRule="exact"/>
        <w:rPr>
          <w:rFonts w:ascii="Arial" w:cs="Arial" w:eastAsia="Arial" w:hAnsi="Arial"/>
          <w:sz w:val="12"/>
          <w:szCs w:val="12"/>
          <w:color w:val="auto"/>
        </w:rPr>
      </w:pPr>
    </w:p>
    <w:p>
      <w:pPr>
        <w:ind w:left="1000" w:hanging="495"/>
        <w:spacing w:after="0"/>
        <w:tabs>
          <w:tab w:leader="none" w:pos="1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costs and timing of preparing, filing and prosecuting patent applications, maintaining and enforcing our intellectual property rights and defending any intellectual property-related claims; and</w:t>
      </w:r>
    </w:p>
    <w:p>
      <w:pPr>
        <w:spacing w:after="0" w:line="96" w:lineRule="exact"/>
        <w:rPr>
          <w:rFonts w:ascii="Arial" w:cs="Arial" w:eastAsia="Arial" w:hAnsi="Arial"/>
          <w:sz w:val="12"/>
          <w:szCs w:val="12"/>
          <w:color w:val="auto"/>
        </w:rPr>
      </w:pPr>
    </w:p>
    <w:p>
      <w:pPr>
        <w:ind w:left="1000" w:hanging="495"/>
        <w:spacing w:after="0"/>
        <w:tabs>
          <w:tab w:leader="none" w:pos="1000"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ability to establish additional collaboration arrangements with other biotechnology or pharmaceutical companies on favorable terms, if at all, for the development or commercialization of our drug candidates.</w:t>
      </w:r>
    </w:p>
    <w:p>
      <w:pPr>
        <w:spacing w:after="0" w:line="108" w:lineRule="exact"/>
        <w:rPr>
          <w:sz w:val="20"/>
          <w:szCs w:val="20"/>
          <w:color w:val="auto"/>
        </w:rPr>
      </w:pPr>
    </w:p>
    <w:p>
      <w:pPr>
        <w:ind w:right="220" w:firstLine="513"/>
        <w:spacing w:after="0" w:line="256" w:lineRule="auto"/>
        <w:rPr>
          <w:sz w:val="20"/>
          <w:szCs w:val="20"/>
          <w:color w:val="auto"/>
        </w:rPr>
      </w:pPr>
      <w:r>
        <w:rPr>
          <w:rFonts w:ascii="Arial" w:cs="Arial" w:eastAsia="Arial" w:hAnsi="Arial"/>
          <w:sz w:val="12"/>
          <w:szCs w:val="12"/>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5" w:right="31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summarizes our cash flows during the periods indicated:</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8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220" w:type="dxa"/>
            <w:vAlign w:val="bottom"/>
            <w:vMerge w:val="restart"/>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0"/>
                <w:szCs w:val="10"/>
                <w:b w:val="1"/>
                <w:bCs w:val="1"/>
                <w:color w:val="auto"/>
              </w:rPr>
              <w:t>Six Months Ended May 31,</w:t>
            </w:r>
          </w:p>
        </w:tc>
        <w:tc>
          <w:tcPr>
            <w:tcW w:w="1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80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CFF0FC"/>
            </w:tcBorders>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jc w:val="right"/>
              <w:ind w:right="784"/>
              <w:spacing w:after="0" w:line="97" w:lineRule="exact"/>
              <w:rPr>
                <w:sz w:val="20"/>
                <w:szCs w:val="20"/>
                <w:color w:val="auto"/>
              </w:rPr>
            </w:pPr>
            <w:r>
              <w:rPr>
                <w:rFonts w:ascii="Arial" w:cs="Arial" w:eastAsia="Arial" w:hAnsi="Arial"/>
                <w:sz w:val="10"/>
                <w:szCs w:val="10"/>
                <w:b w:val="1"/>
                <w:bCs w:val="1"/>
                <w:color w:val="auto"/>
              </w:rPr>
              <w:t>2021</w:t>
            </w:r>
          </w:p>
        </w:tc>
        <w:tc>
          <w:tcPr>
            <w:tcW w:w="300" w:type="dxa"/>
            <w:vAlign w:val="bottom"/>
            <w:tcBorders>
              <w:bottom w:val="single" w:sz="8" w:color="CFF0FC"/>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ind w:right="782"/>
              <w:spacing w:after="0" w:line="97"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0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(used in) provided by operating activities</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(23,482)</w:t>
            </w:r>
          </w:p>
        </w:tc>
        <w:tc>
          <w:tcPr>
            <w:tcW w:w="620" w:type="dxa"/>
            <w:vAlign w:val="bottom"/>
            <w:shd w:val="clear" w:color="auto" w:fill="CFF0FC"/>
          </w:tcPr>
          <w:p>
            <w:pPr>
              <w:jc w:val="right"/>
              <w:ind w:right="51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26,543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20" w:type="dxa"/>
            <w:vAlign w:val="bottom"/>
            <w:gridSpan w:val="2"/>
          </w:tcPr>
          <w:p>
            <w:pPr>
              <w:spacing w:after="0"/>
              <w:rPr>
                <w:sz w:val="20"/>
                <w:szCs w:val="20"/>
                <w:color w:val="auto"/>
              </w:rPr>
            </w:pPr>
            <w:r>
              <w:rPr>
                <w:rFonts w:ascii="Arial" w:cs="Arial" w:eastAsia="Arial" w:hAnsi="Arial"/>
                <w:sz w:val="12"/>
                <w:szCs w:val="12"/>
                <w:color w:val="auto"/>
              </w:rPr>
              <w:t>Cash used in investing activities</w:t>
            </w:r>
          </w:p>
        </w:tc>
        <w:tc>
          <w:tcPr>
            <w:tcW w:w="440" w:type="dxa"/>
            <w:vAlign w:val="bottom"/>
          </w:tcPr>
          <w:p>
            <w:pPr>
              <w:spacing w:after="0"/>
              <w:rPr>
                <w:sz w:val="13"/>
                <w:szCs w:val="13"/>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2"/>
                <w:szCs w:val="12"/>
                <w:color w:val="auto"/>
              </w:rPr>
              <w:t>(59,497)</w:t>
            </w:r>
          </w:p>
        </w:tc>
        <w:tc>
          <w:tcPr>
            <w:tcW w:w="620" w:type="dxa"/>
            <w:vAlign w:val="bottom"/>
          </w:tcPr>
          <w:p>
            <w:pPr>
              <w:spacing w:after="0"/>
              <w:rPr>
                <w:sz w:val="13"/>
                <w:szCs w:val="1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(21,760)</w:t>
            </w:r>
          </w:p>
        </w:tc>
        <w:tc>
          <w:tcPr>
            <w:tcW w:w="0" w:type="dxa"/>
            <w:vAlign w:val="bottom"/>
          </w:tcPr>
          <w:p>
            <w:pPr>
              <w:spacing w:after="0"/>
              <w:rPr>
                <w:sz w:val="1"/>
                <w:szCs w:val="1"/>
                <w:color w:val="auto"/>
              </w:rPr>
            </w:pPr>
          </w:p>
        </w:tc>
      </w:tr>
      <w:tr>
        <w:trPr>
          <w:trHeight w:val="153"/>
        </w:trPr>
        <w:tc>
          <w:tcPr>
            <w:tcW w:w="60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provided by financing activities</w:t>
            </w:r>
          </w:p>
        </w:tc>
        <w:tc>
          <w:tcPr>
            <w:tcW w:w="4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151,830</w:t>
            </w:r>
          </w:p>
        </w:tc>
        <w:tc>
          <w:tcPr>
            <w:tcW w:w="300" w:type="dxa"/>
            <w:vAlign w:val="bottom"/>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119,730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20" w:type="dxa"/>
            <w:vAlign w:val="bottom"/>
            <w:gridSpan w:val="2"/>
          </w:tcPr>
          <w:p>
            <w:pPr>
              <w:spacing w:after="0"/>
              <w:rPr>
                <w:sz w:val="20"/>
                <w:szCs w:val="20"/>
                <w:color w:val="auto"/>
              </w:rPr>
            </w:pPr>
            <w:r>
              <w:rPr>
                <w:rFonts w:ascii="Arial" w:cs="Arial" w:eastAsia="Arial" w:hAnsi="Arial"/>
                <w:sz w:val="12"/>
                <w:szCs w:val="12"/>
                <w:color w:val="auto"/>
              </w:rPr>
              <w:t>Net increase in cash, cash equivalents and restricted cash</w:t>
            </w: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68,851</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124,513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78" w:lineRule="exact"/>
        <w:rPr>
          <w:sz w:val="20"/>
          <w:szCs w:val="20"/>
          <w:color w:val="auto"/>
        </w:rPr>
      </w:pPr>
    </w:p>
    <w:p>
      <w:pPr>
        <w:ind w:right="160" w:firstLine="513"/>
        <w:spacing w:after="0" w:line="298" w:lineRule="auto"/>
        <w:rPr>
          <w:sz w:val="20"/>
          <w:szCs w:val="20"/>
          <w:color w:val="auto"/>
        </w:rPr>
      </w:pPr>
      <w:r>
        <w:rPr>
          <w:rFonts w:ascii="Arial" w:cs="Arial" w:eastAsia="Arial" w:hAnsi="Arial"/>
          <w:sz w:val="11"/>
          <w:szCs w:val="11"/>
          <w:color w:val="auto"/>
        </w:rPr>
        <w:t>Net cash used in operating activities was $23.5 million for the six months ended May 31, 2021 and consisted of our net loss of $50.7 million, offset by a decrease in net assets of $18.7 million and non-cash adjustments of $8.5 million. The decrease in net assets consisted primarily of an increase in deferred revenue of $12.4 million, a decrease in contract assets of $7.5 million due to payments received under the Gilead Agreement and an increase in accounts receivable of $2.5 million. Non-cash adjustments primarily consisted of stock-based compensation expenses of $6.6 million and depreciation and amortization expenses of $1.3 million.</w:t>
      </w:r>
    </w:p>
    <w:p>
      <w:pPr>
        <w:spacing w:after="0" w:line="33"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Net cash provided by operating activities was $26.5 million for the six months ended May 31, 2020 and consisted of a decrease in net assets of $29.7 million and non-cash adjustments of $1.7 million, offset by our net loss of $4.8 million. The decrease in net assets consisted primarily of an increase in deferred revenue of $51.5 million from the payment received under the Sanofi Agreement, partially offset by an increase in income tax receivable of $19.6 million related to the expected refund following the enactment of the CARES Act. Non-cash adjustments primarily consisted of depreciation and amortization expenses of $1.0 million and stock-based compensation expense of $0.7 million.</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78" w:lineRule="exact"/>
        <w:rPr>
          <w:sz w:val="20"/>
          <w:szCs w:val="20"/>
          <w:color w:val="auto"/>
        </w:rPr>
      </w:pPr>
    </w:p>
    <w:p>
      <w:pPr>
        <w:ind w:right="280" w:firstLine="513"/>
        <w:spacing w:after="0" w:line="276" w:lineRule="auto"/>
        <w:rPr>
          <w:sz w:val="20"/>
          <w:szCs w:val="20"/>
          <w:color w:val="auto"/>
        </w:rPr>
      </w:pPr>
      <w:r>
        <w:rPr>
          <w:rFonts w:ascii="Arial" w:cs="Arial" w:eastAsia="Arial" w:hAnsi="Arial"/>
          <w:sz w:val="12"/>
          <w:szCs w:val="12"/>
          <w:color w:val="auto"/>
        </w:rPr>
        <w:t>Net cash used in investing activities was $59.5 million for the six months ended May 31, 2021 and consisted primarily of the purchase of investments of $183.2 million, partially offset by the sale of investments of $7.0 million and the maturity of investments of $119.7 million.</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1"/>
          <w:szCs w:val="11"/>
          <w:color w:val="auto"/>
        </w:rPr>
        <w:t>Net cash used in investing activities was $21.8 million for the six months ended May 31, 2020 and consisted primarily of the purchase of investments of $29.6 million, partially offset by the maturity of investments of $9.9</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million.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1"/>
          <w:szCs w:val="11"/>
          <w:color w:val="auto"/>
        </w:rPr>
        <w:t>Net cash provided by financing activities was $151.8 million for the six months ended May 31, 2021 and consisted primarily of proceeds from the issuance of common stock from the follow-on offering in March 2021.</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Net cash provided by financing activities was $119.7 million for six months ended May 31, 2020 and consisted primarily of net proceeds from the sale of our Series D redeemable convertible preferred stock in March 2020.</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 and Other Commitments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summarizes our contractual obligations as of May 31, 2021:</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Payments due by period</w:t>
            </w: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3"/>
        </w:trPr>
        <w:tc>
          <w:tcPr>
            <w:tcW w:w="3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tcPr>
          <w:p>
            <w:pPr>
              <w:ind w:left="140"/>
              <w:spacing w:after="0" w:line="83" w:lineRule="exact"/>
              <w:rPr>
                <w:sz w:val="20"/>
                <w:szCs w:val="20"/>
                <w:color w:val="auto"/>
              </w:rPr>
            </w:pPr>
            <w:r>
              <w:rPr>
                <w:rFonts w:ascii="Arial" w:cs="Arial" w:eastAsia="Arial" w:hAnsi="Arial"/>
                <w:sz w:val="8"/>
                <w:szCs w:val="8"/>
                <w:b w:val="1"/>
                <w:bCs w:val="1"/>
                <w:color w:val="auto"/>
              </w:rPr>
              <w:t>Less than</w:t>
            </w: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gridSpan w:val="2"/>
          </w:tcPr>
          <w:p>
            <w:pPr>
              <w:jc w:val="center"/>
              <w:ind w:right="420"/>
              <w:spacing w:after="0" w:line="83" w:lineRule="exact"/>
              <w:rPr>
                <w:sz w:val="20"/>
                <w:szCs w:val="20"/>
                <w:color w:val="auto"/>
              </w:rPr>
            </w:pPr>
            <w:r>
              <w:rPr>
                <w:rFonts w:ascii="Arial" w:cs="Arial" w:eastAsia="Arial" w:hAnsi="Arial"/>
                <w:sz w:val="8"/>
                <w:szCs w:val="8"/>
                <w:b w:val="1"/>
                <w:bCs w:val="1"/>
                <w:color w:val="auto"/>
              </w:rPr>
              <w:t>More than</w:t>
            </w: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3"/>
        </w:trPr>
        <w:tc>
          <w:tcPr>
            <w:tcW w:w="366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48"/>
              <w:spacing w:after="0" w:line="114" w:lineRule="exact"/>
              <w:rPr>
                <w:sz w:val="20"/>
                <w:szCs w:val="20"/>
                <w:color w:val="auto"/>
              </w:rPr>
            </w:pPr>
            <w:r>
              <w:rPr>
                <w:rFonts w:ascii="Arial" w:cs="Arial" w:eastAsia="Arial" w:hAnsi="Arial"/>
                <w:sz w:val="10"/>
                <w:szCs w:val="10"/>
                <w:b w:val="1"/>
                <w:bCs w:val="1"/>
                <w:color w:val="auto"/>
              </w:rPr>
              <w:t>1 year</w:t>
            </w: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244"/>
              <w:spacing w:after="0" w:line="114" w:lineRule="exact"/>
              <w:rPr>
                <w:sz w:val="20"/>
                <w:szCs w:val="20"/>
                <w:color w:val="auto"/>
              </w:rPr>
            </w:pPr>
            <w:r>
              <w:rPr>
                <w:rFonts w:ascii="Arial" w:cs="Arial" w:eastAsia="Arial" w:hAnsi="Arial"/>
                <w:sz w:val="10"/>
                <w:szCs w:val="10"/>
                <w:b w:val="1"/>
                <w:bCs w:val="1"/>
                <w:color w:val="auto"/>
              </w:rPr>
              <w:t>1 to 3 years</w:t>
            </w: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264"/>
              <w:spacing w:after="0" w:line="114" w:lineRule="exact"/>
              <w:rPr>
                <w:sz w:val="20"/>
                <w:szCs w:val="20"/>
                <w:color w:val="auto"/>
              </w:rPr>
            </w:pPr>
            <w:r>
              <w:rPr>
                <w:rFonts w:ascii="Arial" w:cs="Arial" w:eastAsia="Arial" w:hAnsi="Arial"/>
                <w:sz w:val="10"/>
                <w:szCs w:val="10"/>
                <w:b w:val="1"/>
                <w:bCs w:val="1"/>
                <w:color w:val="auto"/>
              </w:rPr>
              <w:t>3 to 5 years</w:t>
            </w:r>
          </w:p>
        </w:tc>
        <w:tc>
          <w:tcPr>
            <w:tcW w:w="2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148"/>
              <w:spacing w:after="0" w:line="114" w:lineRule="exact"/>
              <w:rPr>
                <w:sz w:val="20"/>
                <w:szCs w:val="20"/>
                <w:color w:val="auto"/>
              </w:rPr>
            </w:pPr>
            <w:r>
              <w:rPr>
                <w:rFonts w:ascii="Arial" w:cs="Arial" w:eastAsia="Arial" w:hAnsi="Arial"/>
                <w:sz w:val="10"/>
                <w:szCs w:val="10"/>
                <w:b w:val="1"/>
                <w:bCs w:val="1"/>
                <w:color w:val="auto"/>
                <w:w w:val="86"/>
              </w:rPr>
              <w:t>5 years</w:t>
            </w:r>
          </w:p>
        </w:tc>
        <w:tc>
          <w:tcPr>
            <w:tcW w:w="22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84"/>
              <w:spacing w:after="0" w:line="114" w:lineRule="exact"/>
              <w:rPr>
                <w:sz w:val="20"/>
                <w:szCs w:val="20"/>
                <w:color w:val="auto"/>
              </w:rPr>
            </w:pPr>
            <w:r>
              <w:rPr>
                <w:rFonts w:ascii="Arial" w:cs="Arial" w:eastAsia="Arial" w:hAnsi="Arial"/>
                <w:sz w:val="10"/>
                <w:szCs w:val="10"/>
                <w:b w:val="1"/>
                <w:bCs w:val="1"/>
                <w:color w:val="auto"/>
              </w:rPr>
              <w:t>Total</w:t>
            </w:r>
          </w:p>
        </w:tc>
        <w:tc>
          <w:tcPr>
            <w:tcW w:w="100" w:type="dxa"/>
            <w:vAlign w:val="bottom"/>
            <w:tcBorders>
              <w:bottom w:val="single" w:sz="8" w:color="CFF0FC"/>
            </w:tcBorders>
          </w:tcPr>
          <w:p>
            <w:pPr>
              <w:spacing w:after="0"/>
              <w:rPr>
                <w:sz w:val="9"/>
                <w:szCs w:val="9"/>
                <w:color w:val="auto"/>
              </w:rPr>
            </w:pPr>
          </w:p>
        </w:tc>
      </w:tr>
      <w:tr>
        <w:trPr>
          <w:trHeight w:val="142"/>
        </w:trPr>
        <w:tc>
          <w:tcPr>
            <w:tcW w:w="3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Operating lease obligations</w:t>
            </w:r>
          </w:p>
        </w:tc>
        <w:tc>
          <w:tcPr>
            <w:tcW w:w="20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1,592</w:t>
            </w:r>
          </w:p>
        </w:tc>
        <w:tc>
          <w:tcPr>
            <w:tcW w:w="2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7,883</w:t>
            </w:r>
          </w:p>
        </w:tc>
        <w:tc>
          <w:tcPr>
            <w:tcW w:w="2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5,837</w:t>
            </w:r>
          </w:p>
        </w:tc>
        <w:tc>
          <w:tcPr>
            <w:tcW w:w="2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2"/>
                <w:szCs w:val="12"/>
                <w:color w:val="auto"/>
                <w:w w:val="99"/>
              </w:rPr>
              <w:t>—</w:t>
            </w:r>
          </w:p>
        </w:tc>
        <w:tc>
          <w:tcPr>
            <w:tcW w:w="22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15,312</w:t>
            </w:r>
          </w:p>
        </w:tc>
        <w:tc>
          <w:tcPr>
            <w:tcW w:w="100" w:type="dxa"/>
            <w:vAlign w:val="bottom"/>
            <w:shd w:val="clear" w:color="auto" w:fill="CFF0FC"/>
          </w:tcPr>
          <w:p>
            <w:pPr>
              <w:spacing w:after="0"/>
              <w:rPr>
                <w:sz w:val="12"/>
                <w:szCs w:val="12"/>
                <w:color w:val="auto"/>
              </w:rPr>
            </w:pPr>
          </w:p>
        </w:tc>
      </w:tr>
      <w:tr>
        <w:trPr>
          <w:trHeight w:val="149"/>
        </w:trPr>
        <w:tc>
          <w:tcPr>
            <w:tcW w:w="3780" w:type="dxa"/>
            <w:vAlign w:val="bottom"/>
            <w:gridSpan w:val="2"/>
          </w:tcPr>
          <w:p>
            <w:pPr>
              <w:spacing w:after="0"/>
              <w:rPr>
                <w:sz w:val="20"/>
                <w:szCs w:val="20"/>
                <w:color w:val="auto"/>
              </w:rPr>
            </w:pPr>
            <w:r>
              <w:rPr>
                <w:rFonts w:ascii="Arial" w:cs="Arial" w:eastAsia="Arial" w:hAnsi="Arial"/>
                <w:sz w:val="12"/>
                <w:szCs w:val="12"/>
                <w:color w:val="auto"/>
              </w:rPr>
              <w:t>Total contractual obligations</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1,592</w:t>
            </w:r>
          </w:p>
        </w:tc>
        <w:tc>
          <w:tcPr>
            <w:tcW w:w="24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7,883</w:t>
            </w:r>
          </w:p>
        </w:tc>
        <w:tc>
          <w:tcPr>
            <w:tcW w:w="24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5,837</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ind w:left="760"/>
              <w:spacing w:after="0"/>
              <w:rPr>
                <w:sz w:val="20"/>
                <w:szCs w:val="20"/>
                <w:color w:val="auto"/>
              </w:rPr>
            </w:pPr>
            <w:r>
              <w:rPr>
                <w:rFonts w:ascii="Arial" w:cs="Arial" w:eastAsia="Arial" w:hAnsi="Arial"/>
                <w:sz w:val="12"/>
                <w:szCs w:val="12"/>
                <w:color w:val="auto"/>
                <w:w w:val="99"/>
              </w:rPr>
              <w:t>—</w:t>
            </w:r>
          </w:p>
        </w:tc>
        <w:tc>
          <w:tcPr>
            <w:tcW w:w="22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15,312</w:t>
            </w:r>
          </w:p>
        </w:tc>
        <w:tc>
          <w:tcPr>
            <w:tcW w:w="100" w:type="dxa"/>
            <w:vAlign w:val="bottom"/>
          </w:tcPr>
          <w:p>
            <w:pPr>
              <w:spacing w:after="0"/>
              <w:rPr>
                <w:sz w:val="12"/>
                <w:szCs w:val="12"/>
                <w:color w:val="auto"/>
              </w:rPr>
            </w:pPr>
          </w:p>
        </w:tc>
      </w:tr>
    </w:tbl>
    <w:p>
      <w:pPr>
        <w:spacing w:after="0" w:line="207" w:lineRule="exact"/>
        <w:rPr>
          <w:sz w:val="20"/>
          <w:szCs w:val="20"/>
          <w:color w:val="auto"/>
        </w:rPr>
      </w:pPr>
    </w:p>
    <w:p>
      <w:pPr>
        <w:ind w:right="180" w:firstLine="513"/>
        <w:spacing w:after="0" w:line="276" w:lineRule="auto"/>
        <w:rPr>
          <w:sz w:val="20"/>
          <w:szCs w:val="20"/>
          <w:color w:val="auto"/>
        </w:rPr>
      </w:pPr>
      <w:r>
        <w:rPr>
          <w:rFonts w:ascii="Arial" w:cs="Arial" w:eastAsia="Arial" w:hAnsi="Arial"/>
          <w:sz w:val="12"/>
          <w:szCs w:val="12"/>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have not entered into any off-balance sheet arrangements as defined in Item 303 of Regulation S-K.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Emerging Growth Company and Smaller Reporting Status</w:t>
      </w:r>
    </w:p>
    <w:p>
      <w:pPr>
        <w:spacing w:after="0" w:line="82" w:lineRule="exact"/>
        <w:rPr>
          <w:sz w:val="20"/>
          <w:szCs w:val="20"/>
          <w:color w:val="auto"/>
        </w:rPr>
      </w:pPr>
    </w:p>
    <w:p>
      <w:pPr>
        <w:ind w:right="200" w:firstLine="513"/>
        <w:spacing w:after="0" w:line="276" w:lineRule="auto"/>
        <w:rPr>
          <w:sz w:val="20"/>
          <w:szCs w:val="20"/>
          <w:color w:val="auto"/>
        </w:rPr>
      </w:pPr>
      <w:r>
        <w:rPr>
          <w:rFonts w:ascii="Arial" w:cs="Arial" w:eastAsia="Arial" w:hAnsi="Arial"/>
          <w:sz w:val="12"/>
          <w:szCs w:val="12"/>
          <w:color w:val="auto"/>
        </w:rPr>
        <w:t>We are an “emerging growth company” (EGC), as defined in the Jumpstart Our Business Startups Act of 2012, as amended (the JOBS Act). We will remain an EGC until the earliest of: (i) the last day of the fiscal year in which we have total annual gross revenues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00" w:top="347" w:right="359" w:bottom="1440" w:gutter="0" w:footer="0" w:header="0"/>
        </w:sectPr>
      </w:pPr>
    </w:p>
    <w:bookmarkStart w:id="32" w:name="page33"/>
    <w:bookmarkEnd w:id="32"/>
    <w:p>
      <w:pPr>
        <w:spacing w:after="0" w:line="263" w:lineRule="auto"/>
        <w:rPr>
          <w:sz w:val="20"/>
          <w:szCs w:val="20"/>
          <w:color w:val="auto"/>
        </w:rPr>
      </w:pPr>
      <w:r>
        <w:rPr>
          <w:rFonts w:ascii="Arial" w:cs="Arial" w:eastAsia="Arial" w:hAnsi="Arial"/>
          <w:sz w:val="12"/>
          <w:szCs w:val="12"/>
          <w:color w:val="auto"/>
        </w:rPr>
        <w:t>of $1.07 billion or more; (ii) the last day of the fiscal year following the fifth anniversary of the completion of our initial public offering; (iii) the date on which we have issued more than $1.0 billion in nonconvertible debt during the previous three years; or (iv) the date on which we are deemed to be a large accelerated filer under the rules of the SEC, which generally is when a company has more than $700.0 million in market value of its stock held by non-affiliates as of the prior May 31, has been a public company for at least 12 months and has filed one annual report on Form 10-K.</w:t>
      </w:r>
    </w:p>
    <w:p>
      <w:pPr>
        <w:spacing w:after="0" w:line="50"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Under the JOBS Act, EGCs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spacing w:after="0" w:line="52" w:lineRule="exact"/>
        <w:rPr>
          <w:sz w:val="20"/>
          <w:szCs w:val="20"/>
          <w:color w:val="auto"/>
        </w:rPr>
      </w:pPr>
    </w:p>
    <w:p>
      <w:pPr>
        <w:ind w:right="100" w:firstLine="513"/>
        <w:spacing w:after="0" w:line="285" w:lineRule="auto"/>
        <w:rPr>
          <w:sz w:val="20"/>
          <w:szCs w:val="20"/>
          <w:color w:val="auto"/>
        </w:rPr>
      </w:pPr>
      <w:r>
        <w:rPr>
          <w:rFonts w:ascii="Arial" w:cs="Arial" w:eastAsia="Arial" w:hAnsi="Arial"/>
          <w:sz w:val="11"/>
          <w:szCs w:val="11"/>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 over financial reporting pursuant to Section 404(b) of the Sarbanes-Oxley Act of 2002; (ii) provide all of the compensation disclosure that may be required of non-EGCs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41"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We are also a “smaller reporting company,” meaning that the market value of our stock held by non-affiliates is less than $700.0 million as of the prior May 31 and our annual revenue is less than $100.0 million during the most recently completed fiscal year. We may continue to be a smaller reporting company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82" w:lineRule="exact"/>
        <w:rPr>
          <w:sz w:val="20"/>
          <w:szCs w:val="20"/>
          <w:color w:val="auto"/>
        </w:rPr>
      </w:pPr>
    </w:p>
    <w:p>
      <w:pPr>
        <w:ind w:right="80" w:firstLine="513"/>
        <w:spacing w:after="0" w:line="256" w:lineRule="auto"/>
        <w:rPr>
          <w:sz w:val="20"/>
          <w:szCs w:val="20"/>
          <w:color w:val="auto"/>
        </w:rPr>
      </w:pPr>
      <w:r>
        <w:rPr>
          <w:rFonts w:ascii="Arial" w:cs="Arial" w:eastAsia="Arial" w:hAnsi="Arial"/>
          <w:sz w:val="12"/>
          <w:szCs w:val="12"/>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6" w:lineRule="exact"/>
        <w:rPr>
          <w:sz w:val="20"/>
          <w:szCs w:val="20"/>
          <w:color w:val="auto"/>
        </w:rPr>
      </w:pPr>
    </w:p>
    <w:p>
      <w:pPr>
        <w:ind w:firstLine="513"/>
        <w:spacing w:after="0" w:line="298" w:lineRule="auto"/>
        <w:rPr>
          <w:sz w:val="20"/>
          <w:szCs w:val="20"/>
          <w:color w:val="auto"/>
        </w:rPr>
      </w:pPr>
      <w:r>
        <w:rPr>
          <w:rFonts w:ascii="Arial" w:cs="Arial" w:eastAsia="Arial" w:hAnsi="Arial"/>
          <w:sz w:val="11"/>
          <w:szCs w:val="11"/>
          <w:color w:val="auto"/>
        </w:rPr>
        <w:t xml:space="preserve">Our critical accounting policies and more significant areas involving management’s judgments and estimates used in preparation of our financial statements are discussed in the section titled “Management’s Discussion and Analysis of Financial Condition and Results of Operations” in our 2020 Form 10-K. Other than the updated policy on revenue recognition disclosed in Note 2,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to our condensed consolidated financial statements included elsewhere in this Quarterly Report on Form 10-Q, there have been no significant changes to these policies for the three and six months ended May 31, 2021.</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82" w:lineRule="exact"/>
        <w:rPr>
          <w:sz w:val="20"/>
          <w:szCs w:val="20"/>
          <w:color w:val="auto"/>
        </w:rPr>
      </w:pPr>
    </w:p>
    <w:p>
      <w:pPr>
        <w:ind w:right="400" w:firstLine="513"/>
        <w:spacing w:after="0" w:line="276" w:lineRule="auto"/>
        <w:rPr>
          <w:sz w:val="20"/>
          <w:szCs w:val="20"/>
          <w:color w:val="auto"/>
        </w:rPr>
      </w:pPr>
      <w:r>
        <w:rPr>
          <w:rFonts w:ascii="Arial" w:cs="Arial" w:eastAsia="Arial" w:hAnsi="Arial"/>
          <w:sz w:val="12"/>
          <w:szCs w:val="12"/>
          <w:color w:val="auto"/>
        </w:rPr>
        <w:t>See Note 2, “Summary of significant accounting policies—Recent accounting pronouncements” to our condensed consolidated financial statements included elsewhere in this Quarterly Report on Form 10-Q for more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As a “smaller reporting company” as defined by Rule 12b-2 of the Securities Exchange Act of 1934, as amended (the Exchange Act), we are not required to provide this information.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78"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May 31, 2021.</w:t>
      </w:r>
    </w:p>
    <w:p>
      <w:pPr>
        <w:spacing w:after="0" w:line="43" w:lineRule="exact"/>
        <w:rPr>
          <w:sz w:val="20"/>
          <w:szCs w:val="20"/>
          <w:color w:val="auto"/>
        </w:rPr>
      </w:pPr>
    </w:p>
    <w:p>
      <w:pPr>
        <w:ind w:firstLine="513"/>
        <w:spacing w:after="0" w:line="281" w:lineRule="auto"/>
        <w:rPr>
          <w:sz w:val="20"/>
          <w:szCs w:val="20"/>
          <w:color w:val="auto"/>
        </w:rPr>
      </w:pPr>
      <w:r>
        <w:rPr>
          <w:rFonts w:ascii="Arial" w:cs="Arial" w:eastAsia="Arial" w:hAnsi="Arial"/>
          <w:sz w:val="11"/>
          <w:szCs w:val="11"/>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 evaluation of our disclosure controls and procedures, our President and Chief Executive Officer and our Chief Financial Officer concluded that our disclosure controls and procedures were not effective as of May 31, 2021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Previously Reported Material Weakness in Internal Control over Financial Reporting</w:t>
      </w:r>
    </w:p>
    <w:p>
      <w:pPr>
        <w:spacing w:after="0" w:line="78" w:lineRule="exact"/>
        <w:rPr>
          <w:sz w:val="20"/>
          <w:szCs w:val="20"/>
          <w:color w:val="auto"/>
        </w:rPr>
      </w:pPr>
    </w:p>
    <w:p>
      <w:pPr>
        <w:ind w:right="20" w:firstLine="513"/>
        <w:spacing w:after="0" w:line="281" w:lineRule="auto"/>
        <w:rPr>
          <w:sz w:val="20"/>
          <w:szCs w:val="20"/>
          <w:color w:val="auto"/>
        </w:rPr>
      </w:pPr>
      <w:r>
        <w:rPr>
          <w:rFonts w:ascii="Arial" w:cs="Arial" w:eastAsia="Arial" w:hAnsi="Arial"/>
          <w:sz w:val="11"/>
          <w:szCs w:val="11"/>
          <w:color w:val="auto"/>
        </w:rPr>
        <w:t>As disclosed in the section titled “Risk Factors” in Part II, Item 1A of this Quarterly Report on Form 10-Q, we previously identified a material weakness in our internal control over financial reporting. Specifically, we did not design and maintain formally documented controls and accounting policies and procedures, including information technology general controls, segregation of duties over the review and approval of account reconciliations and manual journal entries, and the period-end financial reporting process. This material weakness resulted in the revision to the basic and diluted weighted-average number of shares outstanding and basic and diluted net loss per share calculations for the three- and nine-month periods ended August 31, 2020. In addition, this material weakness also resulted in the revision to the diluted weighted-average number of shares outstanding and basic and diluted net income per share calculations for the three-month period ended May 31, 2020. Additionally, this material weakness could result in a misstatement of substantially all of our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Remediation Plan</w:t>
      </w:r>
    </w:p>
    <w:p>
      <w:pPr>
        <w:spacing w:after="0" w:line="78" w:lineRule="exact"/>
        <w:rPr>
          <w:sz w:val="20"/>
          <w:szCs w:val="20"/>
          <w:color w:val="auto"/>
        </w:rPr>
      </w:pPr>
    </w:p>
    <w:p>
      <w:pPr>
        <w:ind w:right="160" w:firstLine="588"/>
        <w:spacing w:after="0" w:line="276" w:lineRule="auto"/>
        <w:rPr>
          <w:sz w:val="20"/>
          <w:szCs w:val="20"/>
          <w:color w:val="auto"/>
        </w:rPr>
      </w:pPr>
      <w:r>
        <w:rPr>
          <w:rFonts w:ascii="Arial" w:cs="Arial" w:eastAsia="Arial" w:hAnsi="Arial"/>
          <w:sz w:val="12"/>
          <w:szCs w:val="12"/>
          <w:color w:val="auto"/>
        </w:rPr>
        <w:t>To address our material weakness, we are in the process of implementing new financial systems and controls. We intend to continue to take steps to remediate the material weakness through formalizing documentation of policies and procedures and further evolving our accounting processes.</w:t>
      </w:r>
    </w:p>
    <w:p>
      <w:pPr>
        <w:spacing w:after="0" w:line="43" w:lineRule="exact"/>
        <w:rPr>
          <w:sz w:val="20"/>
          <w:szCs w:val="20"/>
          <w:color w:val="auto"/>
        </w:rPr>
      </w:pPr>
    </w:p>
    <w:p>
      <w:pPr>
        <w:ind w:right="80" w:firstLine="588"/>
        <w:spacing w:after="0" w:line="298" w:lineRule="auto"/>
        <w:rPr>
          <w:sz w:val="20"/>
          <w:szCs w:val="20"/>
          <w:color w:val="auto"/>
        </w:rPr>
      </w:pPr>
      <w:r>
        <w:rPr>
          <w:rFonts w:ascii="Arial" w:cs="Arial" w:eastAsia="Arial" w:hAnsi="Arial"/>
          <w:sz w:val="11"/>
          <w:szCs w:val="11"/>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 in our internal control over financial reporting until we have completed our remediation efforts and subsequent evaluation of their effectiveness.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78" w:lineRule="exact"/>
        <w:rPr>
          <w:sz w:val="20"/>
          <w:szCs w:val="20"/>
          <w:color w:val="auto"/>
        </w:rPr>
      </w:pPr>
    </w:p>
    <w:p>
      <w:pPr>
        <w:jc w:val="both"/>
        <w:ind w:right="120" w:firstLine="513"/>
        <w:spacing w:after="0" w:line="263" w:lineRule="auto"/>
        <w:rPr>
          <w:sz w:val="20"/>
          <w:szCs w:val="20"/>
          <w:color w:val="auto"/>
        </w:rPr>
      </w:pPr>
      <w:r>
        <w:rPr>
          <w:rFonts w:ascii="Arial" w:cs="Arial" w:eastAsia="Arial" w:hAnsi="Arial"/>
          <w:sz w:val="12"/>
          <w:szCs w:val="12"/>
          <w:color w:val="auto"/>
        </w:rPr>
        <w:t>As part of our remediation plan discussed above, we continued formalizing documentation of policies and procedures and evaluating the implementation of new and existing controls during the quarter ended May 31, 2021. Such remediation actions were changes in our internal control over financial reporting identified in connection with the evaluation required by Rule 13a-15(d) and 15d-15(d) of the Exchange Act that occurred during the three months ended May 31, 2021 that have materially affected, or are reasonably likely to materially affect, our internal control over financial reporting.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34" w:name="page35"/>
    <w:bookmarkEnd w:id="34"/>
    <w:p>
      <w:pPr>
        <w:jc w:val="center"/>
        <w:ind w:right="-79"/>
        <w:spacing w:after="0"/>
        <w:rPr>
          <w:sz w:val="20"/>
          <w:szCs w:val="20"/>
          <w:color w:val="auto"/>
        </w:rPr>
      </w:pPr>
      <w:r>
        <w:rPr>
          <w:rFonts w:ascii="Arial" w:cs="Arial" w:eastAsia="Arial" w:hAnsi="Arial"/>
          <w:sz w:val="12"/>
          <w:szCs w:val="12"/>
          <w:b w:val="1"/>
          <w:bCs w:val="1"/>
          <w:color w:val="auto"/>
        </w:rPr>
        <w:t>PART II – 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2" w:lineRule="exact"/>
        <w:rPr>
          <w:sz w:val="20"/>
          <w:szCs w:val="20"/>
          <w:color w:val="auto"/>
        </w:rPr>
      </w:pPr>
    </w:p>
    <w:p>
      <w:pPr>
        <w:ind w:right="200" w:firstLine="513"/>
        <w:spacing w:after="0" w:line="263" w:lineRule="auto"/>
        <w:rPr>
          <w:sz w:val="20"/>
          <w:szCs w:val="20"/>
          <w:color w:val="auto"/>
        </w:rPr>
      </w:pPr>
      <w:r>
        <w:rPr>
          <w:rFonts w:ascii="Arial" w:cs="Arial" w:eastAsia="Arial" w:hAnsi="Arial"/>
          <w:sz w:val="12"/>
          <w:szCs w:val="12"/>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2" w:lineRule="exact"/>
        <w:rPr>
          <w:sz w:val="20"/>
          <w:szCs w:val="20"/>
          <w:color w:val="auto"/>
        </w:rPr>
      </w:pPr>
    </w:p>
    <w:p>
      <w:pPr>
        <w:ind w:right="140" w:firstLine="471"/>
        <w:spacing w:after="0" w:line="259" w:lineRule="auto"/>
        <w:rPr>
          <w:sz w:val="20"/>
          <w:szCs w:val="20"/>
          <w:color w:val="auto"/>
        </w:rPr>
      </w:pPr>
      <w:r>
        <w:rPr>
          <w:rFonts w:ascii="Arial" w:cs="Arial" w:eastAsia="Arial" w:hAnsi="Arial"/>
          <w:sz w:val="12"/>
          <w:szCs w:val="12"/>
          <w:i w:val="1"/>
          <w:iCs w:val="1"/>
          <w:color w:val="auto"/>
        </w:rPr>
        <w:t>Investing in our common stock involves a high degree of risk. Before making your decision to invest in shares of our common stock, you should carefully consider the risks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discussed below will not occur. If any of these events occur, our business, financial condition, operating results, and future prospects could be materially and adversely affected. If that were to happen, the trading price of our common stock could decline, and you could lose all or part of your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 Summary</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Our business is subject to a number of risks and uncertainties, including those risks discussed at-length below. These risks include, among others, the following:</w:t>
      </w:r>
    </w:p>
    <w:p>
      <w:pPr>
        <w:spacing w:after="0" w:line="78" w:lineRule="exact"/>
        <w:rPr>
          <w:sz w:val="20"/>
          <w:szCs w:val="20"/>
          <w:color w:val="auto"/>
        </w:rPr>
      </w:pPr>
    </w:p>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have incurred significant losses since our inception. We expect to incur losses over at least the next several years and may never achieve or maintain profitability.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have never generated revenue from product sales and may never be profitable.</w:t>
      </w:r>
    </w:p>
    <w:p>
      <w:pPr>
        <w:spacing w:after="0" w:line="78" w:lineRule="exact"/>
        <w:rPr>
          <w:rFonts w:ascii="Arial" w:cs="Arial" w:eastAsia="Arial" w:hAnsi="Arial"/>
          <w:sz w:val="12"/>
          <w:szCs w:val="12"/>
          <w:color w:val="auto"/>
        </w:rPr>
      </w:pPr>
    </w:p>
    <w:p>
      <w:pPr>
        <w:ind w:left="1020" w:right="48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42" w:lineRule="exact"/>
        <w:rPr>
          <w:rFonts w:ascii="Arial" w:cs="Arial" w:eastAsia="Arial" w:hAnsi="Arial"/>
          <w:sz w:val="12"/>
          <w:szCs w:val="12"/>
          <w:color w:val="auto"/>
        </w:rPr>
      </w:pPr>
    </w:p>
    <w:p>
      <w:pPr>
        <w:ind w:left="1020" w:right="260" w:hanging="515"/>
        <w:spacing w:after="0" w:line="323" w:lineRule="auto"/>
        <w:tabs>
          <w:tab w:leader="none" w:pos="1020" w:val="left"/>
        </w:tabs>
        <w:numPr>
          <w:ilvl w:val="0"/>
          <w:numId w:val="9"/>
        </w:numPr>
        <w:rPr>
          <w:rFonts w:ascii="Arial" w:cs="Arial" w:eastAsia="Arial" w:hAnsi="Arial"/>
          <w:sz w:val="11"/>
          <w:szCs w:val="11"/>
          <w:color w:val="auto"/>
        </w:rPr>
      </w:pPr>
      <w:r>
        <w:rPr>
          <w:rFonts w:ascii="Arial" w:cs="Arial" w:eastAsia="Arial" w:hAnsi="Arial"/>
          <w:sz w:val="11"/>
          <w:szCs w:val="11"/>
          <w:color w:val="auto"/>
        </w:rPr>
        <w:t>We are very early in our development efforts. We only recently initiated clinical development of our first drug candidate and all of our other drug candidates are in preclinical development. If we are unable to advance to clinical development, develop, obtain regulatory approval for and commercialize our drug candidates or experience significant delays in doing so, our business may be materially harmed.</w:t>
      </w:r>
    </w:p>
    <w:p>
      <w:pPr>
        <w:spacing w:after="0" w:line="19" w:lineRule="exact"/>
        <w:rPr>
          <w:rFonts w:ascii="Arial" w:cs="Arial" w:eastAsia="Arial" w:hAnsi="Arial"/>
          <w:sz w:val="11"/>
          <w:szCs w:val="11"/>
          <w:color w:val="auto"/>
        </w:rPr>
      </w:pPr>
    </w:p>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limited operating history may make it difficult to evaluate the success of our business to date and to assess our future viability.</w:t>
      </w:r>
    </w:p>
    <w:p>
      <w:pPr>
        <w:spacing w:after="0" w:line="78" w:lineRule="exact"/>
        <w:rPr>
          <w:rFonts w:ascii="Arial" w:cs="Arial" w:eastAsia="Arial" w:hAnsi="Arial"/>
          <w:sz w:val="12"/>
          <w:szCs w:val="12"/>
          <w:color w:val="auto"/>
        </w:rPr>
      </w:pPr>
    </w:p>
    <w:p>
      <w:pPr>
        <w:ind w:left="1020" w:right="4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2"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only recently initiated testing of our lead drug candidate in clinical trials, and we have not tested any of our other drug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9"/>
        </w:numPr>
        <w:rPr>
          <w:rFonts w:ascii="Arial" w:cs="Arial" w:eastAsia="Arial" w:hAnsi="Arial"/>
          <w:sz w:val="11"/>
          <w:szCs w:val="11"/>
          <w:color w:val="auto"/>
        </w:rPr>
      </w:pPr>
      <w:r>
        <w:rPr>
          <w:rFonts w:ascii="Arial" w:cs="Arial" w:eastAsia="Arial" w:hAnsi="Arial"/>
          <w:sz w:val="11"/>
          <w:szCs w:val="11"/>
          <w:color w:val="auto"/>
        </w:rPr>
        <w:t>We face substantial competition in an environment of rapid technological change, which may result in others discovering, developing or commercializing products before or more successfully than we do.</w:t>
      </w:r>
    </w:p>
    <w:p>
      <w:pPr>
        <w:spacing w:after="0" w:line="89" w:lineRule="exact"/>
        <w:rPr>
          <w:rFonts w:ascii="Arial" w:cs="Arial" w:eastAsia="Arial" w:hAnsi="Arial"/>
          <w:sz w:val="11"/>
          <w:szCs w:val="11"/>
          <w:color w:val="auto"/>
        </w:rPr>
      </w:pPr>
    </w:p>
    <w:p>
      <w:pPr>
        <w:ind w:left="1020" w:right="14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42" w:lineRule="exact"/>
        <w:rPr>
          <w:rFonts w:ascii="Arial" w:cs="Arial" w:eastAsia="Arial" w:hAnsi="Arial"/>
          <w:sz w:val="12"/>
          <w:szCs w:val="12"/>
          <w:color w:val="auto"/>
        </w:rPr>
      </w:pPr>
    </w:p>
    <w:p>
      <w:pPr>
        <w:ind w:left="1020" w:right="80" w:hanging="515"/>
        <w:spacing w:after="0" w:line="263"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rely on CMOs for the manufacture of both drug substance and finished drug product for our drug candidates for preclinical testing and expect to continue to do so for our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50" w:lineRule="exact"/>
        <w:rPr>
          <w:rFonts w:ascii="Arial" w:cs="Arial" w:eastAsia="Arial" w:hAnsi="Arial"/>
          <w:sz w:val="12"/>
          <w:szCs w:val="12"/>
          <w:color w:val="auto"/>
        </w:rPr>
      </w:pPr>
    </w:p>
    <w:p>
      <w:pPr>
        <w:ind w:left="1020" w:right="6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commercial success and ability to effectively compete in the market depends, in part, upon our ability and the ability of our collaborators to obtain and maintain adequate patent protection for our technology, current drug candidates and any future drug candidates that we may develop and our ability to develop, manufacture, market and sell our drug candidates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415" w:right="379" w:bottom="1440" w:gutter="0" w:footer="0" w:header="0"/>
        </w:sectPr>
      </w:pPr>
    </w:p>
    <w:bookmarkStart w:id="35" w:name="page36"/>
    <w:bookmarkEnd w:id="35"/>
    <w:p>
      <w:pPr>
        <w:ind w:left="1020"/>
        <w:spacing w:after="0"/>
        <w:rPr>
          <w:sz w:val="20"/>
          <w:szCs w:val="20"/>
          <w:color w:val="auto"/>
        </w:rPr>
      </w:pPr>
      <w:r>
        <w:rPr>
          <w:rFonts w:ascii="Arial" w:cs="Arial" w:eastAsia="Arial" w:hAnsi="Arial"/>
          <w:sz w:val="12"/>
          <w:szCs w:val="12"/>
          <w:color w:val="auto"/>
        </w:rPr>
        <w:t>and future drug candidates and use our proprietary technologies without infringing, misappropriating or otherwise violating the intellectual property of others.</w:t>
      </w:r>
    </w:p>
    <w:p>
      <w:pPr>
        <w:spacing w:after="0" w:line="78" w:lineRule="exact"/>
        <w:rPr>
          <w:sz w:val="20"/>
          <w:szCs w:val="20"/>
          <w:color w:val="auto"/>
        </w:rPr>
      </w:pPr>
    </w:p>
    <w:p>
      <w:pPr>
        <w:ind w:left="1020" w:hanging="515"/>
        <w:spacing w:after="0"/>
        <w:tabs>
          <w:tab w:leader="none" w:pos="10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Our business, operations, clinical development plans, the timing of regulatory filings and regulatory approvals and the achievement of milestones could be adversely affected by the current COVID-19 pandemic.</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Need for Additional Capital</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significant losses since our inception. We expect to incur losses over at least the next several years and may never achieve or maintain profitability.</w:t>
      </w:r>
    </w:p>
    <w:p>
      <w:pPr>
        <w:spacing w:after="0" w:line="78" w:lineRule="exact"/>
        <w:rPr>
          <w:sz w:val="20"/>
          <w:szCs w:val="20"/>
          <w:color w:val="auto"/>
        </w:rPr>
      </w:pPr>
    </w:p>
    <w:p>
      <w:pPr>
        <w:ind w:right="80" w:firstLine="513"/>
        <w:spacing w:after="0" w:line="256" w:lineRule="auto"/>
        <w:rPr>
          <w:sz w:val="20"/>
          <w:szCs w:val="20"/>
          <w:color w:val="auto"/>
        </w:rPr>
      </w:pPr>
      <w:r>
        <w:rPr>
          <w:rFonts w:ascii="Arial" w:cs="Arial" w:eastAsia="Arial" w:hAnsi="Arial"/>
          <w:sz w:val="12"/>
          <w:szCs w:val="12"/>
          <w:color w:val="auto"/>
        </w:rPr>
        <w:t>Our net loss was $43.2 million for the fiscal year ended November 30, 2020 and $50.7 million for the six months ended May 31, 2021. As of May 31, 2021, we had an accumulated deficit of $154.4 million. To date, we have not generated any revenue from product sales and have financed our operations primarily through our collaborations and sales of our equity interests. We are in the early stages of development of our drug candidates. We filed an IND for NX-2127 in December 2020 and received clearance by the FDA to initiate human clinical trials. Clinical sites are actively recruiting patients for our Phase 1 clinical trial of NX-2127 and we expect our other three most advanced drug candidates to enter clinical trials in 2021. We expect to continue to incur significant expenses and increasing operating losses for at least the next several years. We anticipate that our operating expenses and capital expenditure requirements will increase substantially if and as we:</w:t>
      </w:r>
    </w:p>
    <w:p>
      <w:pPr>
        <w:spacing w:after="0" w:line="56" w:lineRule="exact"/>
        <w:rPr>
          <w:sz w:val="20"/>
          <w:szCs w:val="20"/>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conduct a Phase 1 clinical trial of our drug candidate NX-2127;</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file INDs elsewhere and initiate clinical trials of our other lead drug candidates NX-1607, NX-5948, DeTIL-0255 and other drug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enter advanced clinical development and scale up external manufacturing capabilities to supply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expand the capabilities of our DELigase platform and apply our DELigase platform to advance additional drug candidates into preclinical and clinical development;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conduct process development for manufacturing of our DeTIL cell therapy products;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seek marketing approvals for any drug candidates that successfully complete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ultimately establish a sales, marketing and distribution infrastructure and scale up external manufacturing capabilities to commercialize any products for which we may obtain marketing approval;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expand, maintain and protect our intellectual property portfolio;</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hire additional clinical, regulatory, manufacturing, quality assurance and scientific personnel;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add operational, financial and management information systems and personnel to support our research, product development and future commercialization efforts and support our operations as a public company.</w:t>
      </w:r>
    </w:p>
    <w:p>
      <w:pPr>
        <w:spacing w:after="0" w:line="173"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115"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never generated revenue from product sales and may never be profitable.</w:t>
      </w:r>
    </w:p>
    <w:p>
      <w:pPr>
        <w:spacing w:after="0" w:line="78" w:lineRule="exact"/>
        <w:rPr>
          <w:sz w:val="20"/>
          <w:szCs w:val="20"/>
          <w:color w:val="auto"/>
        </w:rPr>
      </w:pPr>
    </w:p>
    <w:p>
      <w:pPr>
        <w:ind w:right="160" w:firstLine="513"/>
        <w:spacing w:after="0" w:line="259" w:lineRule="auto"/>
        <w:rPr>
          <w:sz w:val="20"/>
          <w:szCs w:val="20"/>
          <w:color w:val="auto"/>
        </w:rPr>
      </w:pPr>
      <w:r>
        <w:rPr>
          <w:rFonts w:ascii="Arial" w:cs="Arial" w:eastAsia="Arial" w:hAnsi="Arial"/>
          <w:sz w:val="12"/>
          <w:szCs w:val="12"/>
          <w:color w:val="auto"/>
        </w:rPr>
        <w:t>We only recently commenced clinical development of our first drug candidate NX-2127, and we are currently only in the preclinical testing stages for our other most advanced drug candidates and research programs.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36" w:name="page37"/>
    <w:bookmarkEnd w:id="36"/>
    <w:p>
      <w:pPr>
        <w:ind w:right="520"/>
        <w:spacing w:after="0" w:line="276" w:lineRule="auto"/>
        <w:rPr>
          <w:sz w:val="20"/>
          <w:szCs w:val="20"/>
          <w:color w:val="auto"/>
        </w:rPr>
      </w:pPr>
      <w:r>
        <w:rPr>
          <w:rFonts w:ascii="Arial" w:cs="Arial" w:eastAsia="Arial" w:hAnsi="Arial"/>
          <w:sz w:val="12"/>
          <w:szCs w:val="12"/>
          <w:color w:val="auto"/>
        </w:rPr>
        <w:t>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115"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87"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43" w:lineRule="exact"/>
        <w:rPr>
          <w:sz w:val="20"/>
          <w:szCs w:val="20"/>
          <w:color w:val="auto"/>
        </w:rPr>
      </w:pPr>
    </w:p>
    <w:p>
      <w:pPr>
        <w:ind w:right="60" w:firstLine="513"/>
        <w:spacing w:after="0" w:line="283" w:lineRule="auto"/>
        <w:rPr>
          <w:sz w:val="20"/>
          <w:szCs w:val="20"/>
          <w:color w:val="auto"/>
        </w:rPr>
      </w:pPr>
      <w:r>
        <w:rPr>
          <w:rFonts w:ascii="Arial" w:cs="Arial" w:eastAsia="Arial" w:hAnsi="Arial"/>
          <w:sz w:val="11"/>
          <w:szCs w:val="11"/>
          <w:color w:val="auto"/>
        </w:rPr>
        <w:t>We expect our expenses to increase substantially in connection with our ongoing activities, particularly as we conduct our Phase 1 clinical trial of NX-2127, and work to prepare for IND submissions and initiate planned Phase 1 clinical trials of our other lead drug candidates NX-1607, NX-5948, DeTIL-0255 and other drug candidates,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113"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We had cash, cash equivalents and investments of $496.5 million as of May 31, 2021. We believe that our existing cash, cash equivalents and investments,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52" w:lineRule="exact"/>
        <w:rPr>
          <w:sz w:val="20"/>
          <w:szCs w:val="20"/>
          <w:color w:val="auto"/>
        </w:rPr>
      </w:pPr>
    </w:p>
    <w:p>
      <w:pPr>
        <w:ind w:left="1020" w:right="80" w:hanging="515"/>
        <w:spacing w:after="0" w:line="276" w:lineRule="auto"/>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progress, costs and results of our Phase 1 clinical trial for NX-2127 and our planned Phase 1 clinical trials for our other lead drug candidates NX-1607, NX-5948, DeTIL-0255 and other drug candidates, and any future clinical development of such drug candidates;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scope, progress, costs and results of preclinical and clinical development for our other drug candidates and development programs;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number and development requirements of other drug candidates that we pursue;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scope of, and costs associated with, future advancements to our DELigase platform;</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scope of, and costs associated with, future preclinical development of our DeTIL cell therapy products;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success of our collaborations with Sanofi, Gilead and any other collaborations we may establish;</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costs, timing and outcome of regulatory review of our drug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costs and timing of future commercialization activities, including product manufacturing, marketing, sales and distribution, for any of our drug candidates for which we receive marketing approval;</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revenue, if any, received from commercial sales of our drug candidates for which we receive marketing approval;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costs and timing of preparing, filing and prosecuting patent applications, maintaining and enforcing our intellectual property rights and defending any intellectual property-related claims; and</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our ability to establish additional collaboration arrangements with other biotechnology or pharmaceutical companies on favorable terms, if at all, for the development or commercialization of our drug candidates.</w:t>
      </w:r>
    </w:p>
    <w:p>
      <w:pPr>
        <w:spacing w:after="0" w:line="162"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180"/>
          </w:cols>
          <w:pgMar w:left="300" w:top="347" w:right="41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i w:val="1"/>
          <w:iCs w:val="1"/>
          <w:color w:val="auto"/>
        </w:rPr>
        <w:t>Raising additional capital may cause dilution to our stockholders, restrict our operations or require us to relinquish rights to our technologies or drug candidates.</w:t>
      </w:r>
    </w:p>
    <w:p>
      <w:pPr>
        <w:spacing w:after="0" w:line="78"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28"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limited operating history may make it difficult to evaluate the success of our business to date and to assess our future viability.</w:t>
      </w:r>
    </w:p>
    <w:p>
      <w:pPr>
        <w:spacing w:after="0" w:line="78" w:lineRule="exact"/>
        <w:rPr>
          <w:sz w:val="20"/>
          <w:szCs w:val="20"/>
          <w:color w:val="auto"/>
        </w:rPr>
      </w:pPr>
    </w:p>
    <w:p>
      <w:pPr>
        <w:ind w:right="100" w:firstLine="513"/>
        <w:spacing w:after="0" w:line="285" w:lineRule="auto"/>
        <w:rPr>
          <w:sz w:val="20"/>
          <w:szCs w:val="20"/>
          <w:color w:val="auto"/>
        </w:rPr>
      </w:pPr>
      <w:r>
        <w:rPr>
          <w:rFonts w:ascii="Arial" w:cs="Arial" w:eastAsia="Arial" w:hAnsi="Arial"/>
          <w:sz w:val="11"/>
          <w:szCs w:val="11"/>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and establishing arrangements with third parties for the manufacture of initial quantities of our drug candidates. All of our drug candidates are either in preclinical development or have only recently entered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13" w:lineRule="exact"/>
        <w:rPr>
          <w:sz w:val="20"/>
          <w:szCs w:val="20"/>
          <w:color w:val="auto"/>
        </w:rPr>
      </w:pPr>
    </w:p>
    <w:p>
      <w:pPr>
        <w:ind w:right="360" w:firstLine="513"/>
        <w:spacing w:after="0" w:line="276" w:lineRule="auto"/>
        <w:rPr>
          <w:sz w:val="20"/>
          <w:szCs w:val="20"/>
          <w:color w:val="auto"/>
        </w:rPr>
      </w:pPr>
      <w:r>
        <w:rPr>
          <w:rFonts w:ascii="Arial" w:cs="Arial" w:eastAsia="Arial" w:hAnsi="Arial"/>
          <w:sz w:val="12"/>
          <w:szCs w:val="12"/>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15"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Discovery and Development of Our Drug Candidates</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We are very early in our development efforts. All of our drug candidates are either in preclinical development or have only recently entered clinical development. If we are unable to advance to clinical development, develop, obtain regulatory approval for and commercialize our drug candidates or experience significant delays in doing so, our business may be materially harmed.</w:t>
      </w:r>
    </w:p>
    <w:p>
      <w:pPr>
        <w:spacing w:after="0" w:line="43" w:lineRule="exact"/>
        <w:rPr>
          <w:sz w:val="20"/>
          <w:szCs w:val="20"/>
          <w:color w:val="auto"/>
        </w:rPr>
      </w:pPr>
    </w:p>
    <w:p>
      <w:pPr>
        <w:ind w:right="20" w:firstLine="513"/>
        <w:spacing w:after="0" w:line="259" w:lineRule="auto"/>
        <w:rPr>
          <w:sz w:val="20"/>
          <w:szCs w:val="20"/>
          <w:color w:val="auto"/>
        </w:rPr>
      </w:pPr>
      <w:r>
        <w:rPr>
          <w:rFonts w:ascii="Arial" w:cs="Arial" w:eastAsia="Arial" w:hAnsi="Arial"/>
          <w:sz w:val="12"/>
          <w:szCs w:val="12"/>
          <w:color w:val="auto"/>
        </w:rPr>
        <w:t>We are very early in our development efforts. All of our drug candidates are either in preclinical development or have only recently entered clinical development, and their risk of failure is high. We have invested substantially all of our efforts and financial resources in building our DELigase platform, in the identification and preclinical development of our current drug candidates, and in the initiation of Phase 1 clinical trials for our lead drug candidate, NX-2127.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52" w:lineRule="exact"/>
        <w:rPr>
          <w:sz w:val="20"/>
          <w:szCs w:val="20"/>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sufficiency of our financial and other resources;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successful completion of preclinical studies;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successful submission of INDs and initiation of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successful patient enrollment in, and completion of,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receipt and related terms of marketing approvals from applicable regulatory authorities;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obtaining and maintaining patent and trade secret protection and regulatory exclusivity for our drug candidates;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91" w:right="299" w:bottom="1440" w:gutter="0" w:footer="0" w:header="0"/>
        </w:sectPr>
      </w:pPr>
    </w:p>
    <w:bookmarkStart w:id="38" w:name="page39"/>
    <w:bookmarkEnd w:id="38"/>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making arrangements with third-party manufacturers, or establishing manufacturing capabilities, for both clinical and commercial supplies of our drug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achieving desirable therapeutic properties for our drug candidates’ intended indications;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establishing sales, marketing and distribution capabilities and launching commercial sales of our products, if and when approved, whether alone or in collaboration with others;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acceptance of our products, if and when approved, by patients, the medical community and third-party payors;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obtaining and maintaining third-party coverage and adequate reimbursement;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establishing a continued acceptable safety profile of the products and maintaining such a profile following approval;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effectively competing with other therapies.</w:t>
      </w:r>
    </w:p>
    <w:p>
      <w:pPr>
        <w:spacing w:after="0" w:line="150" w:lineRule="exact"/>
        <w:rPr>
          <w:sz w:val="20"/>
          <w:szCs w:val="20"/>
          <w:color w:val="auto"/>
        </w:rPr>
      </w:pPr>
    </w:p>
    <w:p>
      <w:pPr>
        <w:ind w:right="160" w:firstLine="513"/>
        <w:spacing w:after="0" w:line="276" w:lineRule="auto"/>
        <w:rPr>
          <w:sz w:val="20"/>
          <w:szCs w:val="20"/>
          <w:color w:val="auto"/>
        </w:rPr>
      </w:pPr>
      <w:r>
        <w:rPr>
          <w:rFonts w:ascii="Arial" w:cs="Arial" w:eastAsia="Arial" w:hAnsi="Arial"/>
          <w:sz w:val="12"/>
          <w:szCs w:val="12"/>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187"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43"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CTMs, have been tested in humans, none has been approved in the United States or Europe, and the data underlying the feasibility of developing these therapeutic products is both preliminary and limited. Discovery and development of CTMs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124" w:lineRule="exact"/>
        <w:rPr>
          <w:sz w:val="20"/>
          <w:szCs w:val="20"/>
          <w:color w:val="auto"/>
        </w:rPr>
      </w:pPr>
    </w:p>
    <w:p>
      <w:pPr>
        <w:ind w:right="20" w:firstLine="513"/>
        <w:spacing w:after="0" w:line="289" w:lineRule="auto"/>
        <w:rPr>
          <w:sz w:val="20"/>
          <w:szCs w:val="20"/>
          <w:color w:val="auto"/>
        </w:rPr>
      </w:pPr>
      <w:r>
        <w:rPr>
          <w:rFonts w:ascii="Arial" w:cs="Arial" w:eastAsia="Arial" w:hAnsi="Arial"/>
          <w:sz w:val="11"/>
          <w:szCs w:val="11"/>
          <w:color w:val="auto"/>
        </w:rPr>
        <w:t>We believe that our CTM drug candidates may offer an improved therapeutic approach by removing the disease-causing proteins instead of simply inhibiting their activities. However, the scientific research that forms the basis of our efforts to develop our CTM drug candidates is ongoing and the scientific evidence to support the feasibility of developing CTM-based therapeutic treatments is both preliminary and limited. Further, certain patients have shown inherent primary resistance to approved BTK inhibitors and other patients have developed acquired secondary resistance to these inhibitors. Although we believe NX-2127 may have the ability to degrade the BTK mutation that confers resistance to currently marketed BTK inhibitors, any inherent primary or acquired secondary resistance to our BTK CTMs in patients would prevent or diminish their clinical benefit.</w:t>
      </w:r>
    </w:p>
    <w:p>
      <w:pPr>
        <w:spacing w:after="0" w:line="111" w:lineRule="exact"/>
        <w:rPr>
          <w:sz w:val="20"/>
          <w:szCs w:val="20"/>
          <w:color w:val="auto"/>
        </w:rPr>
      </w:pPr>
    </w:p>
    <w:p>
      <w:pPr>
        <w:ind w:right="60" w:firstLine="513"/>
        <w:spacing w:after="0" w:line="259" w:lineRule="auto"/>
        <w:rPr>
          <w:sz w:val="20"/>
          <w:szCs w:val="20"/>
          <w:color w:val="auto"/>
        </w:rPr>
      </w:pPr>
      <w:r>
        <w:rPr>
          <w:rFonts w:ascii="Arial" w:cs="Arial" w:eastAsia="Arial" w:hAnsi="Arial"/>
          <w:sz w:val="12"/>
          <w:szCs w:val="12"/>
          <w:color w:val="auto"/>
        </w:rPr>
        <w:t>We only recently initiated clinical development of NX-2127, and we have not yet initiated a clinical trial of any other CTM drug candidate, nor have we assessed the safety of any CTM drug candidate in humans. Although some of our drug candidates have produced observable results in animal studies, there is a limited safety data set for their effects in animals.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124" w:lineRule="exact"/>
        <w:rPr>
          <w:sz w:val="20"/>
          <w:szCs w:val="20"/>
          <w:color w:val="auto"/>
        </w:rPr>
      </w:pPr>
    </w:p>
    <w:p>
      <w:pPr>
        <w:jc w:val="both"/>
        <w:ind w:right="20" w:firstLine="513"/>
        <w:spacing w:after="0" w:line="326" w:lineRule="auto"/>
        <w:rPr>
          <w:sz w:val="20"/>
          <w:szCs w:val="20"/>
          <w:color w:val="auto"/>
        </w:rPr>
      </w:pPr>
      <w:r>
        <w:rPr>
          <w:rFonts w:ascii="Arial" w:cs="Arial" w:eastAsia="Arial" w:hAnsi="Arial"/>
          <w:sz w:val="10"/>
          <w:szCs w:val="10"/>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CTM drug candidate development, and we cannot predict whether targeted protein degradation will result in the development and marketing approval of any products. Any development problems we experience in the future related to any of our CTM research programs may cause significant delays or unanticipated costs or may prevent the development of a commercially viable product. Advancing our CTM products creates significant challenges for us, including:</w:t>
      </w:r>
    </w:p>
    <w:p>
      <w:pPr>
        <w:spacing w:after="0" w:line="23" w:lineRule="exact"/>
        <w:rPr>
          <w:sz w:val="20"/>
          <w:szCs w:val="20"/>
          <w:color w:val="auto"/>
        </w:rPr>
      </w:pPr>
    </w:p>
    <w:p>
      <w:pPr>
        <w:ind w:left="1020" w:hanging="515"/>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educating medical personnel regarding the potential efficacy and safety benefits, as well as the challenges, of incorporating our drug candidates, if approved, into treatment regimens;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establishing the sales and marketing capabilities to gain market acceptance, if approved.</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Any of these factors may prevent us from completing our preclinical studies or any clinical trials that we may initiate, or from commercializing any CTM drug candidates we may develop on a timely or profitable basis, if at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all.</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563" w:right="379" w:bottom="1440" w:gutter="0" w:footer="0" w:header="0"/>
        </w:sectPr>
      </w:pPr>
    </w:p>
    <w:bookmarkStart w:id="39" w:name="page40"/>
    <w:bookmarkEnd w:id="39"/>
    <w:p>
      <w:pPr>
        <w:ind w:right="40"/>
        <w:spacing w:after="0" w:line="276" w:lineRule="auto"/>
        <w:rPr>
          <w:sz w:val="20"/>
          <w:szCs w:val="20"/>
          <w:color w:val="auto"/>
        </w:rPr>
      </w:pPr>
      <w:r>
        <w:rPr>
          <w:rFonts w:ascii="Arial" w:cs="Arial" w:eastAsia="Arial" w:hAnsi="Arial"/>
          <w:sz w:val="12"/>
          <w:szCs w:val="12"/>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43"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All of our drug candidates are either in preclinical development or have only recently entered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113" w:lineRule="exact"/>
        <w:rPr>
          <w:sz w:val="20"/>
          <w:szCs w:val="20"/>
          <w:color w:val="auto"/>
        </w:rPr>
      </w:pPr>
    </w:p>
    <w:p>
      <w:pPr>
        <w:ind w:right="20" w:firstLine="513"/>
        <w:spacing w:after="0" w:line="316" w:lineRule="auto"/>
        <w:rPr>
          <w:sz w:val="20"/>
          <w:szCs w:val="20"/>
          <w:color w:val="auto"/>
        </w:rPr>
      </w:pPr>
      <w:r>
        <w:rPr>
          <w:rFonts w:ascii="Arial" w:cs="Arial" w:eastAsia="Arial" w:hAnsi="Arial"/>
          <w:sz w:val="10"/>
          <w:szCs w:val="10"/>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We may experience numerous unforeseen events during, or as a result of, clinical trials, that could delay or prevent our ability to receive marketing approval or commercialize our drug candidates, including:</w:t>
      </w:r>
    </w:p>
    <w:p>
      <w:pPr>
        <w:spacing w:after="0" w:line="90" w:lineRule="exact"/>
        <w:rPr>
          <w:sz w:val="20"/>
          <w:szCs w:val="20"/>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experience delays in reaching, or may fail to reach, a consensus with regulators on trial design;</w:t>
      </w:r>
    </w:p>
    <w:p>
      <w:pPr>
        <w:spacing w:after="0" w:line="78" w:lineRule="exact"/>
        <w:rPr>
          <w:rFonts w:ascii="Arial" w:cs="Arial" w:eastAsia="Arial" w:hAnsi="Arial"/>
          <w:sz w:val="12"/>
          <w:szCs w:val="12"/>
          <w:color w:val="auto"/>
        </w:rPr>
      </w:pPr>
    </w:p>
    <w:p>
      <w:pPr>
        <w:ind w:left="1020" w:right="100" w:hanging="515"/>
        <w:spacing w:after="0" w:line="276" w:lineRule="auto"/>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experience delays in reaching, or may fail to reach, agreement on acceptable clinical trial contracts or clinical trial protocols with prospective trial sites;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regulators or IRB may not authorize us or our investigators to commence a clinical trial or conduct a clinical trial at a prospective trial site;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receive feedback from regulatory authorities that requires us to modify the design of our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we may experience difficulty in designing clinical trials and in selecting endpoints for diseases that have not been well-studied and for which the natural history and course of the disease is poorly understood;</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selection of certain clinical endpoints may require prolonged periods of clinical observation or analysis of the resulting data;</w:t>
      </w:r>
    </w:p>
    <w:p>
      <w:pPr>
        <w:spacing w:after="0" w:line="78" w:lineRule="exact"/>
        <w:rPr>
          <w:rFonts w:ascii="Arial" w:cs="Arial" w:eastAsia="Arial" w:hAnsi="Arial"/>
          <w:sz w:val="12"/>
          <w:szCs w:val="12"/>
          <w:color w:val="auto"/>
        </w:rPr>
      </w:pPr>
    </w:p>
    <w:p>
      <w:pPr>
        <w:ind w:left="1020" w:right="120" w:hanging="515"/>
        <w:spacing w:after="0" w:line="276" w:lineRule="auto"/>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drug candidates may have undesirable side effects or other unexpected characteristics, causing us or our investigators, regulators or IRB to suspend or terminate the trials;</w:t>
      </w:r>
    </w:p>
    <w:p>
      <w:pPr>
        <w:spacing w:after="0" w:line="78" w:lineRule="exact"/>
        <w:rPr>
          <w:rFonts w:ascii="Arial" w:cs="Arial" w:eastAsia="Arial" w:hAnsi="Arial"/>
          <w:sz w:val="12"/>
          <w:szCs w:val="12"/>
          <w:color w:val="auto"/>
        </w:rPr>
      </w:pPr>
    </w:p>
    <w:p>
      <w:pPr>
        <w:ind w:left="1020" w:right="200" w:hanging="515"/>
        <w:spacing w:after="0" w:line="276" w:lineRule="auto"/>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third-party contractors may fail to comply with regulatory requirements or meet their contractual obligations to us in a timely manner, or at all;</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491" w:right="379" w:bottom="1440" w:gutter="0" w:footer="0" w:header="0"/>
        </w:sectPr>
      </w:pPr>
    </w:p>
    <w:bookmarkStart w:id="40" w:name="page41"/>
    <w:bookmarkEnd w:id="40"/>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regulators or IRB may require that we or our investigators suspend or terminate clinical trials for various reasons, including noncompliance with regulatory requirements;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clinical trials of our drug candidates may produce negative or inconclusive results, and we may decide, or regulators may require us, to conduct additional clinical trials or abandon product development programs;</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 of clinical trials of our drug candidates may be greater than we anticipate;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supply or quality of our drug candidates or other materials necessary to conduct clinical trials of our drug candidates may be insufficient or inadequate;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regulators may revise the requirements for approving our drug candidates, or such requirements may not be as we anticipate;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future collaborators that conduct clinical trials may face any of the above issues and may conduct clinical trials in ways they view as advantageous to them but that are suboptimal for us;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disruptions caused by the COVID-19 pandemic may increase the likelihood that we encounter such difficulties or delays in initiating, enrolling, conducting or completing our planned and ongoing clinical trials.</w:t>
      </w:r>
    </w:p>
    <w:p>
      <w:pPr>
        <w:spacing w:after="0" w:line="162" w:lineRule="exact"/>
        <w:rPr>
          <w:sz w:val="20"/>
          <w:szCs w:val="20"/>
          <w:color w:val="auto"/>
        </w:rPr>
      </w:pPr>
    </w:p>
    <w:p>
      <w:pPr>
        <w:jc w:val="both"/>
        <w:ind w:right="120" w:firstLine="513"/>
        <w:spacing w:after="0" w:line="263" w:lineRule="auto"/>
        <w:rPr>
          <w:sz w:val="20"/>
          <w:szCs w:val="20"/>
          <w:color w:val="auto"/>
        </w:rPr>
      </w:pPr>
      <w:r>
        <w:rPr>
          <w:rFonts w:ascii="Arial" w:cs="Arial" w:eastAsia="Arial" w:hAnsi="Arial"/>
          <w:sz w:val="12"/>
          <w:szCs w:val="12"/>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drug candidates.</w:t>
      </w:r>
    </w:p>
    <w:p>
      <w:pPr>
        <w:spacing w:after="0" w:line="122" w:lineRule="exact"/>
        <w:rPr>
          <w:sz w:val="20"/>
          <w:szCs w:val="20"/>
          <w:color w:val="auto"/>
        </w:rPr>
      </w:pPr>
    </w:p>
    <w:p>
      <w:pPr>
        <w:ind w:right="60" w:firstLine="513"/>
        <w:spacing w:after="0" w:line="276" w:lineRule="auto"/>
        <w:rPr>
          <w:sz w:val="20"/>
          <w:szCs w:val="20"/>
          <w:color w:val="auto"/>
        </w:rPr>
      </w:pPr>
      <w:r>
        <w:rPr>
          <w:rFonts w:ascii="Arial" w:cs="Arial" w:eastAsia="Arial" w:hAnsi="Arial"/>
          <w:sz w:val="12"/>
          <w:szCs w:val="12"/>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43" w:lineRule="exact"/>
        <w:rPr>
          <w:sz w:val="20"/>
          <w:szCs w:val="20"/>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be delayed in obtaining marketing approval for our drug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not obtain marketing approval at all;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obtain approval for indications or patient populations that are not as broad as intended or desired;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obtain approval with labeling that includes significant use or distribution restrictions or safety warnings;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be subject to additional post-marketing testing requirements or changes in the way the product is administered; 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have the product removed from the market after obtaining marketing approval.</w:t>
      </w:r>
    </w:p>
    <w:p>
      <w:pPr>
        <w:spacing w:after="0" w:line="150"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124" w:lineRule="exact"/>
        <w:rPr>
          <w:sz w:val="20"/>
          <w:szCs w:val="20"/>
          <w:color w:val="auto"/>
        </w:rPr>
      </w:pPr>
    </w:p>
    <w:p>
      <w:pPr>
        <w:ind w:right="100" w:firstLine="513"/>
        <w:spacing w:after="0" w:line="285" w:lineRule="auto"/>
        <w:rPr>
          <w:sz w:val="20"/>
          <w:szCs w:val="20"/>
          <w:color w:val="auto"/>
        </w:rPr>
      </w:pPr>
      <w:r>
        <w:rPr>
          <w:rFonts w:ascii="Arial" w:cs="Arial" w:eastAsia="Arial" w:hAnsi="Arial"/>
          <w:sz w:val="11"/>
          <w:szCs w:val="11"/>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planned clinical trials for our lead drug candidates NX-2127 and NX-1607 and other drug candidates will be with patients who have received one or more prior treatments. Subsequently, for those products that prove to be sufficiently beneficial, if any, we would expect to seek approval potentially as a first-line therapy, but any drug candidates we develop, even if approved, may not be approved for first-line therapy, and, prior to any such approvals, we may have to conduct additional clinical trials.</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3" w:lineRule="exact"/>
        <w:rPr>
          <w:sz w:val="20"/>
          <w:szCs w:val="20"/>
          <w:color w:val="auto"/>
        </w:rPr>
      </w:pPr>
    </w:p>
    <w:p>
      <w:pPr>
        <w:ind w:right="240" w:firstLine="513"/>
        <w:spacing w:after="0" w:line="276" w:lineRule="auto"/>
        <w:rPr>
          <w:sz w:val="20"/>
          <w:szCs w:val="20"/>
          <w:color w:val="auto"/>
        </w:rPr>
      </w:pPr>
      <w:r>
        <w:rPr>
          <w:rFonts w:ascii="Arial" w:cs="Arial" w:eastAsia="Arial" w:hAnsi="Arial"/>
          <w:sz w:val="12"/>
          <w:szCs w:val="12"/>
          <w:color w:val="auto"/>
        </w:rPr>
        <w:t>We have not evaluated any drug candidates in human clinical trials, and there have been very few clinical trials to date involving small molecule drug candidates designed to control cellular protein levels through targeted protein degradation. It is impossible 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1" w:name="page42"/>
    <w:bookmarkEnd w:id="41"/>
    <w:p>
      <w:pPr>
        <w:jc w:val="both"/>
        <w:ind w:right="180"/>
        <w:spacing w:after="0" w:line="263" w:lineRule="auto"/>
        <w:rPr>
          <w:sz w:val="20"/>
          <w:szCs w:val="20"/>
          <w:color w:val="auto"/>
        </w:rPr>
      </w:pPr>
      <w:r>
        <w:rPr>
          <w:rFonts w:ascii="Arial" w:cs="Arial" w:eastAsia="Arial" w:hAnsi="Arial"/>
          <w:sz w:val="12"/>
          <w:szCs w:val="12"/>
          <w:color w:val="auto"/>
        </w:rPr>
        <w:t>predict when or if any drug candidates we may develop will prove safe in humans. There is a limited safety data set for the effects of NX-2127, NX-1607, NX-5948 and DeTIL-0255 in animals and our drug candidates have not been tested on humans at all.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122" w:lineRule="exact"/>
        <w:rPr>
          <w:sz w:val="20"/>
          <w:szCs w:val="20"/>
          <w:color w:val="auto"/>
        </w:rPr>
      </w:pPr>
    </w:p>
    <w:p>
      <w:pPr>
        <w:ind w:right="160" w:firstLine="513"/>
        <w:spacing w:after="0" w:line="263" w:lineRule="auto"/>
        <w:rPr>
          <w:sz w:val="20"/>
          <w:szCs w:val="20"/>
          <w:color w:val="auto"/>
        </w:rPr>
      </w:pPr>
      <w:r>
        <w:rPr>
          <w:rFonts w:ascii="Arial" w:cs="Arial" w:eastAsia="Arial" w:hAnsi="Arial"/>
          <w:sz w:val="12"/>
          <w:szCs w:val="12"/>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planned or future clinical studies. There also is the potential risk of delayed adverse events following treatment with our drug candidates.</w:t>
      </w:r>
    </w:p>
    <w:p>
      <w:pPr>
        <w:spacing w:after="0" w:line="122" w:lineRule="exact"/>
        <w:rPr>
          <w:sz w:val="20"/>
          <w:szCs w:val="20"/>
          <w:color w:val="auto"/>
        </w:rPr>
      </w:pPr>
    </w:p>
    <w:p>
      <w:pPr>
        <w:ind w:firstLine="513"/>
        <w:spacing w:after="0" w:line="254" w:lineRule="auto"/>
        <w:rPr>
          <w:sz w:val="20"/>
          <w:szCs w:val="20"/>
          <w:color w:val="auto"/>
        </w:rPr>
      </w:pPr>
      <w:r>
        <w:rPr>
          <w:rFonts w:ascii="Arial" w:cs="Arial" w:eastAsia="Arial" w:hAnsi="Arial"/>
          <w:sz w:val="12"/>
          <w:szCs w:val="12"/>
          <w:color w:val="auto"/>
        </w:rPr>
        <w:t>If any drug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In our preclinical studies, we may observe undesirable characteristics of our drug candidates. This may prevent us from advancing them into clinical trials, delay these trials or limit the extent of these trials. For example, in pre-clinical GLP toxicity studies for our drug candidate NX-1607, one instance of severe uveitis was noted at the highest dose level consistent with ophthalmological effects noted in other immune checkpoint inhibitors. In addition, increased bleeding risk and cardiac arrhythmia such as atrial fibrillation have been reported side effects of approved BTK inhibitors.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20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b w:val="1"/>
          <w:bCs w:val="1"/>
          <w:i w:val="1"/>
          <w:iCs w:val="1"/>
          <w:color w:val="auto"/>
        </w:rPr>
        <w:t>Clinical sites are actively recruiting patients for our first clinical trial for NX-2127 and we have not tested any of our other drug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43" w:lineRule="exact"/>
        <w:rPr>
          <w:sz w:val="20"/>
          <w:szCs w:val="20"/>
          <w:color w:val="auto"/>
        </w:rPr>
      </w:pPr>
    </w:p>
    <w:p>
      <w:pPr>
        <w:ind w:right="160" w:firstLine="513"/>
        <w:spacing w:after="0" w:line="280" w:lineRule="auto"/>
        <w:rPr>
          <w:sz w:val="20"/>
          <w:szCs w:val="20"/>
          <w:color w:val="auto"/>
        </w:rPr>
      </w:pPr>
      <w:r>
        <w:rPr>
          <w:rFonts w:ascii="Arial" w:cs="Arial" w:eastAsia="Arial" w:hAnsi="Arial"/>
          <w:sz w:val="11"/>
          <w:szCs w:val="11"/>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our initial clinical trial for NX-2127 and of our planned Phase 1 clinical trials of our other lead drug candidates NX-1607, NX-5948 and DeTIL-0255 and other drug candidates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right="140" w:firstLine="513"/>
        <w:spacing w:after="0" w:line="259" w:lineRule="auto"/>
        <w:rPr>
          <w:sz w:val="20"/>
          <w:szCs w:val="20"/>
          <w:color w:val="auto"/>
        </w:rPr>
      </w:pPr>
      <w:r>
        <w:rPr>
          <w:rFonts w:ascii="Arial" w:cs="Arial" w:eastAsia="Arial" w:hAnsi="Arial"/>
          <w:sz w:val="12"/>
          <w:szCs w:val="12"/>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experience delays or difficulties in enrolling patients in clinical trials, our receipt of necessary marketing approvals could be delayed or prevented.</w:t>
      </w:r>
    </w:p>
    <w:p>
      <w:pPr>
        <w:spacing w:after="0" w:line="78" w:lineRule="exact"/>
        <w:rPr>
          <w:sz w:val="20"/>
          <w:szCs w:val="20"/>
          <w:color w:val="auto"/>
        </w:rPr>
      </w:pPr>
    </w:p>
    <w:p>
      <w:pPr>
        <w:ind w:right="360" w:firstLine="513"/>
        <w:spacing w:after="0" w:line="276" w:lineRule="auto"/>
        <w:rPr>
          <w:sz w:val="20"/>
          <w:szCs w:val="20"/>
          <w:color w:val="auto"/>
        </w:rPr>
      </w:pPr>
      <w:r>
        <w:rPr>
          <w:rFonts w:ascii="Arial" w:cs="Arial" w:eastAsia="Arial" w:hAnsi="Arial"/>
          <w:sz w:val="12"/>
          <w:szCs w:val="12"/>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2" w:name="page43"/>
    <w:bookmarkEnd w:id="42"/>
    <w:p>
      <w:pPr>
        <w:ind w:right="20"/>
        <w:spacing w:after="0" w:line="255" w:lineRule="auto"/>
        <w:rPr>
          <w:sz w:val="20"/>
          <w:szCs w:val="20"/>
          <w:color w:val="auto"/>
        </w:rPr>
      </w:pPr>
      <w:r>
        <w:rPr>
          <w:rFonts w:ascii="Arial" w:cs="Arial" w:eastAsia="Arial" w:hAnsi="Arial"/>
          <w:sz w:val="12"/>
          <w:szCs w:val="12"/>
          <w:color w:val="auto"/>
        </w:rPr>
        <w:t>States. In particular, clinical sites are actively recruiting patients for our Phase 1 clinical trial for NX-2127 in patients with CLL and other B-cell malignancies and we are preparing to begin Phase 1 clinical trials for NX-1607 in immune-oncology indications. We cannot predict how difficult it will be to enroll patients for trials in these indications. Therefore, our ability to identify and enroll eligible patients for our NX-2127 clinical trial and our planned NX-1607 clinical trial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are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56" w:lineRule="exact"/>
        <w:rPr>
          <w:sz w:val="20"/>
          <w:szCs w:val="20"/>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severity of the disease under investigation;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size of the patient population and process for identifying patients;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availability and efficacy of approved medications for the disease under investigation;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eligibility criteria for the trial in question;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perceived risks and benefits of the drug candidates under study;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efforts to facilitate timely enrollment in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physicians’ attitudes and practices with respect to clinical trial enrollment;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burden on patients due to inconvenient procedures;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ability to monitor patients adequately during and after treatment;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proximity and availability of clinical trial sites for prospective patients;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impact of the current COVID-19 pandemic, which may affect the conduct of a clinical trial, including by slowing potential enrollment or reducing the number of eligible patients for clinical trials.</w:t>
      </w:r>
    </w:p>
    <w:p>
      <w:pPr>
        <w:spacing w:after="0" w:line="150" w:lineRule="exact"/>
        <w:rPr>
          <w:sz w:val="20"/>
          <w:szCs w:val="20"/>
          <w:color w:val="auto"/>
        </w:rPr>
      </w:pPr>
    </w:p>
    <w:p>
      <w:pPr>
        <w:ind w:right="120" w:firstLine="513"/>
        <w:spacing w:after="0" w:line="323" w:lineRule="auto"/>
        <w:rPr>
          <w:sz w:val="20"/>
          <w:szCs w:val="20"/>
          <w:color w:val="auto"/>
        </w:rPr>
      </w:pPr>
      <w:r>
        <w:rPr>
          <w:rFonts w:ascii="Arial" w:cs="Arial" w:eastAsia="Arial" w:hAnsi="Arial"/>
          <w:sz w:val="11"/>
          <w:szCs w:val="11"/>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6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01"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manufacture of drugs is complex and we and our third-party manufacturers are early in our manufacturing efforts.</w:t>
      </w:r>
    </w:p>
    <w:p>
      <w:pPr>
        <w:spacing w:after="0" w:line="78" w:lineRule="exact"/>
        <w:rPr>
          <w:sz w:val="20"/>
          <w:szCs w:val="20"/>
          <w:color w:val="auto"/>
        </w:rPr>
      </w:pPr>
    </w:p>
    <w:p>
      <w:pPr>
        <w:ind w:firstLine="513"/>
        <w:spacing w:after="0" w:line="255" w:lineRule="auto"/>
        <w:rPr>
          <w:sz w:val="20"/>
          <w:szCs w:val="20"/>
          <w:color w:val="auto"/>
        </w:rPr>
      </w:pPr>
      <w:r>
        <w:rPr>
          <w:rFonts w:ascii="Arial" w:cs="Arial" w:eastAsia="Arial" w:hAnsi="Arial"/>
          <w:sz w:val="12"/>
          <w:szCs w:val="12"/>
          <w:color w:val="auto"/>
        </w:rPr>
        <w:t>We have established manufacturing relationships with a limited number of suppliers to manufacture raw materials and the drug substance of any drug candidate for which we now are pursuing, or may in the future pursue, preclinical or clinical development. Our current cGMPs, manufacturing process development with our third-party manufacturers and scale-up is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3" w:name="page44"/>
    <w:bookmarkEnd w:id="43"/>
    <w:p>
      <w:pPr>
        <w:spacing w:after="0"/>
        <w:rPr>
          <w:sz w:val="20"/>
          <w:szCs w:val="20"/>
          <w:color w:val="auto"/>
        </w:rPr>
      </w:pPr>
      <w:r>
        <w:rPr>
          <w:rFonts w:ascii="Arial" w:cs="Arial" w:eastAsia="Arial" w:hAnsi="Arial"/>
          <w:sz w:val="12"/>
          <w:szCs w:val="12"/>
          <w:color w:val="auto"/>
        </w:rPr>
        <w:t>our ability to obtain marketing approval, or our ability to provide supply of our drug candidates for patients, if approved, could be delayed or stopped.</w:t>
      </w:r>
    </w:p>
    <w:p>
      <w:pPr>
        <w:spacing w:after="0" w:line="22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43" w:lineRule="exact"/>
        <w:rPr>
          <w:sz w:val="20"/>
          <w:szCs w:val="20"/>
          <w:color w:val="auto"/>
        </w:rPr>
      </w:pPr>
    </w:p>
    <w:p>
      <w:pPr>
        <w:ind w:firstLine="513"/>
        <w:spacing w:after="0" w:line="278" w:lineRule="auto"/>
        <w:rPr>
          <w:sz w:val="20"/>
          <w:szCs w:val="20"/>
          <w:color w:val="auto"/>
        </w:rPr>
      </w:pPr>
      <w:r>
        <w:rPr>
          <w:rFonts w:ascii="Arial" w:cs="Arial" w:eastAsia="Arial" w:hAnsi="Arial"/>
          <w:sz w:val="11"/>
          <w:szCs w:val="11"/>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drug candidates. Moreover, the FDA regulatory pathway for our DeTIL and CAR-T programs is not clear and may require us to file a Biologics License Application or an application for a Combination Product, and will be subject to further discussion with regulators. Because this is a relatively new and expanding area, there are many uncertainties related to the appropriate regulatory pathway, development, manufacturing, marketing, reimbursement, and the commercial potential for these drug candidates, and we may never be successful in developing these therapeutics.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our efforts to identify or discover additional potential drug candidates.</w:t>
      </w:r>
    </w:p>
    <w:p>
      <w:pPr>
        <w:spacing w:after="0" w:line="78"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50" w:lineRule="exact"/>
        <w:rPr>
          <w:sz w:val="20"/>
          <w:szCs w:val="20"/>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research methodology used may not be successful in identifying potential drug candidates;</w:t>
      </w:r>
    </w:p>
    <w:p>
      <w:pPr>
        <w:spacing w:after="0" w:line="78" w:lineRule="exact"/>
        <w:rPr>
          <w:rFonts w:ascii="Arial" w:cs="Arial" w:eastAsia="Arial" w:hAnsi="Arial"/>
          <w:sz w:val="12"/>
          <w:szCs w:val="12"/>
          <w:color w:val="auto"/>
        </w:rPr>
      </w:pPr>
    </w:p>
    <w:p>
      <w:pPr>
        <w:ind w:left="1020" w:right="120" w:hanging="515"/>
        <w:spacing w:after="0" w:line="276" w:lineRule="auto"/>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potential drug candidates may not be effective in treating their targeted diseases.</w:t>
      </w:r>
    </w:p>
    <w:p>
      <w:pPr>
        <w:spacing w:after="0" w:line="150" w:lineRule="exact"/>
        <w:rPr>
          <w:sz w:val="20"/>
          <w:szCs w:val="20"/>
          <w:color w:val="auto"/>
        </w:rPr>
      </w:pPr>
    </w:p>
    <w:p>
      <w:pPr>
        <w:ind w:right="80" w:firstLine="513"/>
        <w:spacing w:after="0" w:line="263" w:lineRule="auto"/>
        <w:rPr>
          <w:sz w:val="20"/>
          <w:szCs w:val="20"/>
          <w:color w:val="auto"/>
        </w:rPr>
      </w:pPr>
      <w:r>
        <w:rPr>
          <w:rFonts w:ascii="Arial" w:cs="Arial" w:eastAsia="Arial" w:hAnsi="Arial"/>
          <w:sz w:val="12"/>
          <w:szCs w:val="12"/>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sale of products in future periods, which likely would result in significant harm to our financial position and adversely impact our stock price.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our efforts to expand the breadth of our DELigase platform.</w:t>
      </w:r>
    </w:p>
    <w:p>
      <w:pPr>
        <w:spacing w:after="0" w:line="78" w:lineRule="exact"/>
        <w:rPr>
          <w:sz w:val="20"/>
          <w:szCs w:val="20"/>
          <w:color w:val="auto"/>
        </w:rPr>
      </w:pPr>
    </w:p>
    <w:p>
      <w:pPr>
        <w:ind w:right="40" w:firstLine="513"/>
        <w:spacing w:after="0" w:line="255" w:lineRule="auto"/>
        <w:rPr>
          <w:sz w:val="20"/>
          <w:szCs w:val="20"/>
          <w:color w:val="auto"/>
        </w:rPr>
      </w:pPr>
      <w:r>
        <w:rPr>
          <w:rFonts w:ascii="Arial" w:cs="Arial" w:eastAsia="Arial" w:hAnsi="Arial"/>
          <w:sz w:val="12"/>
          <w:szCs w:val="12"/>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4" w:name="page45"/>
    <w:bookmarkEnd w:id="44"/>
    <w:p>
      <w:pPr>
        <w:spacing w:after="0"/>
        <w:rPr>
          <w:sz w:val="20"/>
          <w:szCs w:val="20"/>
          <w:color w:val="auto"/>
        </w:rPr>
      </w:pPr>
      <w:r>
        <w:rPr>
          <w:rFonts w:ascii="Arial" w:cs="Arial" w:eastAsia="Arial" w:hAnsi="Arial"/>
          <w:sz w:val="11"/>
          <w:szCs w:val="11"/>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90"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56"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We are aware of several biotechnology companies focused on developing small molecules that degrade target proteins including Arvinas, Inc., BioTheryX, Inc., C4 Therapeutics, Inc., Cullgen Inc., Foghorn Therapeutics Inc., Kymera Therapeutics, Inc. and Monte Rosa Therapeutics, all of which currently are in preclinical or clinical development. Further, several large pharmaceutical companies have disclosed preclinical investments in this field, including Amgen Inc., AstraZeneca plc, Bristol-Myers Squibb Company, Genentech, Inc., GlaxoSmithKline plc and Novartis International AG.</w:t>
      </w:r>
    </w:p>
    <w:p>
      <w:pPr>
        <w:spacing w:after="0" w:line="122" w:lineRule="exact"/>
        <w:rPr>
          <w:sz w:val="20"/>
          <w:szCs w:val="20"/>
          <w:color w:val="auto"/>
        </w:rPr>
      </w:pPr>
    </w:p>
    <w:p>
      <w:pPr>
        <w:ind w:right="40" w:firstLine="513"/>
        <w:spacing w:after="0" w:line="278" w:lineRule="auto"/>
        <w:rPr>
          <w:sz w:val="20"/>
          <w:szCs w:val="20"/>
          <w:color w:val="auto"/>
        </w:rPr>
      </w:pPr>
      <w:r>
        <w:rPr>
          <w:rFonts w:ascii="Arial" w:cs="Arial" w:eastAsia="Arial" w:hAnsi="Arial"/>
          <w:sz w:val="11"/>
          <w:szCs w:val="11"/>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19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90"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20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101" w:lineRule="exact"/>
        <w:rPr>
          <w:sz w:val="20"/>
          <w:szCs w:val="20"/>
          <w:color w:val="auto"/>
        </w:rPr>
      </w:pPr>
    </w:p>
    <w:p>
      <w:pPr>
        <w:ind w:right="120" w:firstLine="513"/>
        <w:spacing w:after="0" w:line="285" w:lineRule="auto"/>
        <w:rPr>
          <w:sz w:val="20"/>
          <w:szCs w:val="20"/>
          <w:color w:val="auto"/>
        </w:rPr>
      </w:pPr>
      <w:r>
        <w:rPr>
          <w:rFonts w:ascii="Arial" w:cs="Arial" w:eastAsia="Arial" w:hAnsi="Arial"/>
          <w:sz w:val="11"/>
          <w:szCs w:val="11"/>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91" w:right="299" w:bottom="1440" w:gutter="0" w:footer="0" w:header="0"/>
        </w:sectPr>
      </w:pPr>
    </w:p>
    <w:bookmarkStart w:id="45" w:name="page46"/>
    <w:bookmarkEnd w:id="45"/>
    <w:p>
      <w:pPr>
        <w:ind w:right="120"/>
        <w:spacing w:after="0" w:line="276" w:lineRule="auto"/>
        <w:rPr>
          <w:sz w:val="20"/>
          <w:szCs w:val="20"/>
          <w:color w:val="auto"/>
        </w:rPr>
      </w:pPr>
      <w:r>
        <w:rPr>
          <w:rFonts w:ascii="Arial" w:cs="Arial" w:eastAsia="Arial" w:hAnsi="Arial"/>
          <w:sz w:val="12"/>
          <w:szCs w:val="12"/>
          <w:color w:val="auto"/>
        </w:rPr>
        <w:t>assumptions based on that data, our actual market may be more limited than we estimate it to be. In addition, these inaccuracies or errors may cause us to misallocate capital and other critical business resources, which could harm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Dependence on Third Parties</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43" w:lineRule="exact"/>
        <w:rPr>
          <w:sz w:val="20"/>
          <w:szCs w:val="20"/>
          <w:color w:val="auto"/>
        </w:rPr>
      </w:pPr>
    </w:p>
    <w:p>
      <w:pPr>
        <w:ind w:right="140" w:firstLine="513"/>
        <w:spacing w:after="0" w:line="285" w:lineRule="auto"/>
        <w:rPr>
          <w:sz w:val="20"/>
          <w:szCs w:val="20"/>
          <w:color w:val="auto"/>
        </w:rPr>
      </w:pPr>
      <w:r>
        <w:rPr>
          <w:rFonts w:ascii="Arial" w:cs="Arial" w:eastAsia="Arial" w:hAnsi="Arial"/>
          <w:sz w:val="11"/>
          <w:szCs w:val="11"/>
          <w:color w:val="auto"/>
        </w:rPr>
        <w:t>We have sought third-party collaborators for the research, development, and commercialization of some of our CTM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Collaborations involving our research programs or any drug candidates we may develop, including our collaborations with Sanofi and Gilead, pose the following risks to us:</w:t>
      </w:r>
    </w:p>
    <w:p>
      <w:pPr>
        <w:spacing w:after="0" w:line="78" w:lineRule="exact"/>
        <w:rPr>
          <w:sz w:val="20"/>
          <w:szCs w:val="20"/>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Collaborators have significant discretion in determining the efforts and resources that they will apply to these collaborations.</w:t>
      </w:r>
    </w:p>
    <w:p>
      <w:pPr>
        <w:spacing w:after="0" w:line="78" w:lineRule="exact"/>
        <w:rPr>
          <w:rFonts w:ascii="Arial" w:cs="Arial" w:eastAsia="Arial" w:hAnsi="Arial"/>
          <w:sz w:val="12"/>
          <w:szCs w:val="12"/>
          <w:color w:val="auto"/>
        </w:rPr>
      </w:pPr>
    </w:p>
    <w:p>
      <w:pPr>
        <w:ind w:left="1020" w:right="60" w:hanging="515"/>
        <w:spacing w:after="0" w:line="323" w:lineRule="auto"/>
        <w:tabs>
          <w:tab w:leader="none" w:pos="10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19" w:lineRule="exact"/>
        <w:rPr>
          <w:rFonts w:ascii="Arial" w:cs="Arial" w:eastAsia="Arial" w:hAnsi="Arial"/>
          <w:sz w:val="11"/>
          <w:szCs w:val="11"/>
          <w:color w:val="auto"/>
        </w:rPr>
      </w:pPr>
    </w:p>
    <w:p>
      <w:pPr>
        <w:ind w:left="1020" w:right="340" w:hanging="515"/>
        <w:spacing w:after="0" w:line="276" w:lineRule="auto"/>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Sanofi and Gilead have broad option rights to select up to five targets each for exclusive CTM development, so long as not excluded by us under the terms of each collaboration, and may select targets we are considering but have not taken sufficient action to exclude under each collaboration.</w:t>
      </w:r>
    </w:p>
    <w:p>
      <w:pPr>
        <w:spacing w:after="0" w:line="42" w:lineRule="exact"/>
        <w:rPr>
          <w:rFonts w:ascii="Arial" w:cs="Arial" w:eastAsia="Arial" w:hAnsi="Arial"/>
          <w:sz w:val="12"/>
          <w:szCs w:val="12"/>
          <w:color w:val="auto"/>
        </w:rPr>
      </w:pPr>
    </w:p>
    <w:p>
      <w:pPr>
        <w:ind w:left="1020" w:right="40" w:hanging="515"/>
        <w:spacing w:after="0" w:line="276" w:lineRule="auto"/>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42" w:lineRule="exact"/>
        <w:rPr>
          <w:rFonts w:ascii="Arial" w:cs="Arial" w:eastAsia="Arial" w:hAnsi="Arial"/>
          <w:sz w:val="12"/>
          <w:szCs w:val="12"/>
          <w:color w:val="auto"/>
        </w:rPr>
      </w:pPr>
    </w:p>
    <w:p>
      <w:pPr>
        <w:ind w:left="1020" w:right="120" w:hanging="515"/>
        <w:spacing w:after="0" w:line="276" w:lineRule="auto"/>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Collaborators with marketing and distribution rights to one or more products may not commit sufficient resources to the marketing and distribution of such product or products.</w:t>
      </w:r>
    </w:p>
    <w:p>
      <w:pPr>
        <w:spacing w:after="0" w:line="78" w:lineRule="exact"/>
        <w:rPr>
          <w:rFonts w:ascii="Arial" w:cs="Arial" w:eastAsia="Arial" w:hAnsi="Arial"/>
          <w:sz w:val="12"/>
          <w:szCs w:val="12"/>
          <w:color w:val="auto"/>
        </w:rPr>
      </w:pPr>
    </w:p>
    <w:p>
      <w:pPr>
        <w:ind w:left="1020" w:right="20" w:hanging="515"/>
        <w:spacing w:after="0" w:line="259" w:lineRule="auto"/>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52" w:lineRule="exact"/>
        <w:rPr>
          <w:rFonts w:ascii="Arial" w:cs="Arial" w:eastAsia="Arial" w:hAnsi="Arial"/>
          <w:sz w:val="12"/>
          <w:szCs w:val="12"/>
          <w:color w:val="auto"/>
        </w:rPr>
      </w:pPr>
    </w:p>
    <w:p>
      <w:pPr>
        <w:ind w:left="1020" w:right="120" w:hanging="515"/>
        <w:spacing w:after="0" w:line="276" w:lineRule="auto"/>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42" w:lineRule="exact"/>
        <w:rPr>
          <w:rFonts w:ascii="Arial" w:cs="Arial" w:eastAsia="Arial" w:hAnsi="Arial"/>
          <w:sz w:val="12"/>
          <w:szCs w:val="12"/>
          <w:color w:val="auto"/>
        </w:rPr>
      </w:pPr>
    </w:p>
    <w:p>
      <w:pPr>
        <w:ind w:left="1020" w:right="280" w:hanging="515"/>
        <w:spacing w:after="0" w:line="276" w:lineRule="auto"/>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42" w:lineRule="exact"/>
        <w:rPr>
          <w:rFonts w:ascii="Arial" w:cs="Arial" w:eastAsia="Arial" w:hAnsi="Arial"/>
          <w:sz w:val="12"/>
          <w:szCs w:val="12"/>
          <w:color w:val="auto"/>
        </w:rPr>
      </w:pPr>
    </w:p>
    <w:p>
      <w:pPr>
        <w:ind w:left="1020" w:right="140" w:hanging="515"/>
        <w:spacing w:after="0" w:line="263" w:lineRule="auto"/>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Collaborations may be terminated and, if terminated, may result in a need for additional capital to pursue further development or commercialization of the applicable drug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6" w:name="page47"/>
    <w:bookmarkEnd w:id="46"/>
    <w:p>
      <w:pPr>
        <w:ind w:left="1020" w:right="180" w:hanging="515"/>
        <w:spacing w:after="0" w:line="323" w:lineRule="auto"/>
        <w:tabs>
          <w:tab w:leader="none" w:pos="10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Collaboration agreements may not lead to development or commercialization of drug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92"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128" w:lineRule="exact"/>
        <w:rPr>
          <w:sz w:val="20"/>
          <w:szCs w:val="20"/>
          <w:color w:val="auto"/>
        </w:rPr>
      </w:pPr>
    </w:p>
    <w:p>
      <w:pPr>
        <w:ind w:right="20" w:firstLine="513"/>
        <w:spacing w:after="0" w:line="285" w:lineRule="auto"/>
        <w:rPr>
          <w:sz w:val="20"/>
          <w:szCs w:val="20"/>
          <w:color w:val="auto"/>
        </w:rPr>
      </w:pPr>
      <w:r>
        <w:rPr>
          <w:rFonts w:ascii="Arial" w:cs="Arial" w:eastAsia="Arial" w:hAnsi="Arial"/>
          <w:sz w:val="11"/>
          <w:szCs w:val="11"/>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90" w:lineRule="exact"/>
        <w:rPr>
          <w:sz w:val="20"/>
          <w:szCs w:val="20"/>
          <w:color w:val="auto"/>
        </w:rPr>
      </w:pPr>
    </w:p>
    <w:p>
      <w:pPr>
        <w:ind w:right="80" w:firstLine="513"/>
        <w:spacing w:after="0" w:line="254" w:lineRule="auto"/>
        <w:rPr>
          <w:sz w:val="20"/>
          <w:szCs w:val="20"/>
          <w:color w:val="auto"/>
        </w:rPr>
      </w:pPr>
      <w:r>
        <w:rPr>
          <w:rFonts w:ascii="Arial" w:cs="Arial" w:eastAsia="Arial" w:hAnsi="Arial"/>
          <w:sz w:val="12"/>
          <w:szCs w:val="12"/>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130" w:lineRule="exact"/>
        <w:rPr>
          <w:sz w:val="20"/>
          <w:szCs w:val="20"/>
          <w:color w:val="auto"/>
        </w:rPr>
      </w:pPr>
    </w:p>
    <w:p>
      <w:pPr>
        <w:ind w:right="120" w:firstLine="513"/>
        <w:spacing w:after="0" w:line="323" w:lineRule="auto"/>
        <w:rPr>
          <w:sz w:val="20"/>
          <w:szCs w:val="20"/>
          <w:color w:val="auto"/>
        </w:rPr>
      </w:pPr>
      <w:r>
        <w:rPr>
          <w:rFonts w:ascii="Arial" w:cs="Arial" w:eastAsia="Arial" w:hAnsi="Arial"/>
          <w:sz w:val="11"/>
          <w:szCs w:val="11"/>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92"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prospects,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to rely on third parties to conduct our clinical trials, and those third parties may not perform satisfactorily, including failing to meet deadlines for completing such trials.</w:t>
      </w:r>
    </w:p>
    <w:p>
      <w:pPr>
        <w:spacing w:after="0" w:line="78" w:lineRule="exact"/>
        <w:rPr>
          <w:sz w:val="20"/>
          <w:szCs w:val="20"/>
          <w:color w:val="auto"/>
        </w:rPr>
      </w:pPr>
    </w:p>
    <w:p>
      <w:pPr>
        <w:ind w:right="80" w:firstLine="513"/>
        <w:spacing w:after="0" w:line="276" w:lineRule="auto"/>
        <w:rPr>
          <w:sz w:val="20"/>
          <w:szCs w:val="20"/>
          <w:color w:val="auto"/>
        </w:rPr>
      </w:pPr>
      <w:r>
        <w:rPr>
          <w:rFonts w:ascii="Arial" w:cs="Arial" w:eastAsia="Arial" w:hAnsi="Arial"/>
          <w:sz w:val="12"/>
          <w:szCs w:val="12"/>
          <w:color w:val="auto"/>
        </w:rPr>
        <w:t>We rely on third-party clinical research organizations (CROs) to conduct our Phase 1 clinical trial program for NX-2127, and we will rely on third-party CMOs to conduct our planned Phase 1 clinical trial programs for NX-1607, NX-5948 and DeTIL-0255, and any other clinical trials for other drug candidates. We currently do not plan to conduct any clinical trials independently. Agreements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7" w:name="page48"/>
    <w:bookmarkEnd w:id="47"/>
    <w:p>
      <w:pPr>
        <w:spacing w:after="0"/>
        <w:rPr>
          <w:sz w:val="20"/>
          <w:szCs w:val="20"/>
          <w:color w:val="auto"/>
        </w:rPr>
      </w:pPr>
      <w:r>
        <w:rPr>
          <w:rFonts w:ascii="Arial" w:cs="Arial" w:eastAsia="Arial" w:hAnsi="Arial"/>
          <w:sz w:val="12"/>
          <w:szCs w:val="12"/>
          <w:color w:val="auto"/>
        </w:rPr>
        <w:t>with these CROs might terminate for a variety of reasons, including for their failure to perform. Entry into alternative arrangements, if necessary, could significantly delay our product development activities.</w:t>
      </w:r>
    </w:p>
    <w:p>
      <w:pPr>
        <w:spacing w:after="0" w:line="150" w:lineRule="exact"/>
        <w:rPr>
          <w:sz w:val="20"/>
          <w:szCs w:val="20"/>
          <w:color w:val="auto"/>
        </w:rPr>
      </w:pPr>
    </w:p>
    <w:p>
      <w:pPr>
        <w:ind w:right="40" w:firstLine="513"/>
        <w:spacing w:after="0" w:line="298" w:lineRule="auto"/>
        <w:rPr>
          <w:sz w:val="20"/>
          <w:szCs w:val="20"/>
          <w:color w:val="auto"/>
        </w:rPr>
      </w:pPr>
      <w:r>
        <w:rPr>
          <w:rFonts w:ascii="Arial" w:cs="Arial" w:eastAsia="Arial" w:hAnsi="Arial"/>
          <w:sz w:val="11"/>
          <w:szCs w:val="11"/>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105" w:lineRule="exact"/>
        <w:rPr>
          <w:sz w:val="20"/>
          <w:szCs w:val="20"/>
          <w:color w:val="auto"/>
        </w:rPr>
      </w:pPr>
    </w:p>
    <w:p>
      <w:pPr>
        <w:ind w:right="140" w:firstLine="513"/>
        <w:spacing w:after="0" w:line="276" w:lineRule="auto"/>
        <w:rPr>
          <w:sz w:val="20"/>
          <w:szCs w:val="20"/>
          <w:color w:val="auto"/>
        </w:rPr>
      </w:pPr>
      <w:r>
        <w:rPr>
          <w:rFonts w:ascii="Arial" w:cs="Arial" w:eastAsia="Arial" w:hAnsi="Arial"/>
          <w:sz w:val="12"/>
          <w:szCs w:val="12"/>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b w:val="1"/>
          <w:bCs w:val="1"/>
          <w:i w:val="1"/>
          <w:iCs w:val="1"/>
          <w:color w:val="auto"/>
        </w:rPr>
        <w:t>We rely on third-party contract manufacturing organizations for the manufacture of both drug substance and finished drug product for our drug candidates for preclinical testing and expect to continue to do so for our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50"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We do not own or operate, and currently have no plans to establish, any manufacturing facilities. We rely on and expect to continue to rely on third-party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may be unable to establish agreements with CMOs or to do so on acceptable terms. Even if we are able to establish agreements with CMOs, reliance on them entails additional risks, including:</w:t>
      </w:r>
    </w:p>
    <w:p>
      <w:pPr>
        <w:spacing w:after="0" w:line="78" w:lineRule="exact"/>
        <w:rPr>
          <w:sz w:val="20"/>
          <w:szCs w:val="20"/>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reliance on the CMO for regulatory, compliance and quality assurance;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possible breach of the manufacturing agreement by the CMO;</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possible misappropriation of our proprietary information, including our trade secrets and know-how;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possible termination or nonrenewal of the agreement by the CMO at a time that is costly or inconvenient for us.</w:t>
      </w:r>
    </w:p>
    <w:p>
      <w:pPr>
        <w:spacing w:after="0" w:line="150" w:lineRule="exact"/>
        <w:rPr>
          <w:sz w:val="20"/>
          <w:szCs w:val="20"/>
          <w:color w:val="auto"/>
        </w:rPr>
      </w:pPr>
    </w:p>
    <w:p>
      <w:pPr>
        <w:jc w:val="both"/>
        <w:ind w:right="40" w:firstLine="513"/>
        <w:spacing w:after="0" w:line="263" w:lineRule="auto"/>
        <w:rPr>
          <w:sz w:val="20"/>
          <w:szCs w:val="20"/>
          <w:color w:val="auto"/>
        </w:rPr>
      </w:pPr>
      <w:r>
        <w:rPr>
          <w:rFonts w:ascii="Arial" w:cs="Arial" w:eastAsia="Arial" w:hAnsi="Arial"/>
          <w:sz w:val="12"/>
          <w:szCs w:val="12"/>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122" w:lineRule="exact"/>
        <w:rPr>
          <w:sz w:val="20"/>
          <w:szCs w:val="20"/>
          <w:color w:val="auto"/>
        </w:rPr>
      </w:pPr>
    </w:p>
    <w:p>
      <w:pPr>
        <w:ind w:right="20" w:firstLine="513"/>
        <w:spacing w:after="0" w:line="298" w:lineRule="auto"/>
        <w:rPr>
          <w:sz w:val="20"/>
          <w:szCs w:val="20"/>
          <w:color w:val="auto"/>
        </w:rPr>
      </w:pPr>
      <w:r>
        <w:rPr>
          <w:rFonts w:ascii="Arial" w:cs="Arial" w:eastAsia="Arial" w:hAnsi="Arial"/>
          <w:sz w:val="11"/>
          <w:szCs w:val="11"/>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105" w:lineRule="exact"/>
        <w:rPr>
          <w:sz w:val="20"/>
          <w:szCs w:val="20"/>
          <w:color w:val="auto"/>
        </w:rPr>
      </w:pPr>
    </w:p>
    <w:p>
      <w:pPr>
        <w:ind w:firstLine="513"/>
        <w:spacing w:after="0" w:line="281" w:lineRule="auto"/>
        <w:rPr>
          <w:sz w:val="20"/>
          <w:szCs w:val="20"/>
          <w:color w:val="auto"/>
        </w:rPr>
      </w:pPr>
      <w:r>
        <w:rPr>
          <w:rFonts w:ascii="Arial" w:cs="Arial" w:eastAsia="Arial" w:hAnsi="Arial"/>
          <w:sz w:val="11"/>
          <w:szCs w:val="11"/>
          <w:color w:val="auto"/>
        </w:rPr>
        <w:t>The facilities used by our contract manufacturers to manufacture our drug candidates must be approved by the FDA or the European Medicines Agency (EMA) pursuant to inspections that will be conducted after we submit our NDA to the FDA or our marketing authorization application (MAA) to the EMA.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comparable foreign regulatory bodies, they will not be able to secure and/or maintain marketing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8" w:name="page49"/>
    <w:bookmarkEnd w:id="48"/>
    <w:p>
      <w:pPr>
        <w:ind w:right="140" w:firstLine="513"/>
        <w:spacing w:after="0" w:line="276" w:lineRule="auto"/>
        <w:rPr>
          <w:sz w:val="20"/>
          <w:szCs w:val="20"/>
          <w:color w:val="auto"/>
        </w:rPr>
      </w:pPr>
      <w:r>
        <w:rPr>
          <w:rFonts w:ascii="Arial" w:cs="Arial" w:eastAsia="Arial" w:hAnsi="Arial"/>
          <w:sz w:val="12"/>
          <w:szCs w:val="12"/>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15"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be able to reach agreement with any alternative manufacturer.</w:t>
      </w:r>
    </w:p>
    <w:p>
      <w:pPr>
        <w:spacing w:after="0" w:line="124" w:lineRule="exact"/>
        <w:rPr>
          <w:sz w:val="20"/>
          <w:szCs w:val="20"/>
          <w:color w:val="auto"/>
        </w:rPr>
      </w:pPr>
    </w:p>
    <w:p>
      <w:pPr>
        <w:ind w:right="220" w:firstLine="513"/>
        <w:spacing w:after="0" w:line="276" w:lineRule="auto"/>
        <w:rPr>
          <w:sz w:val="20"/>
          <w:szCs w:val="20"/>
          <w:color w:val="auto"/>
        </w:rPr>
      </w:pPr>
      <w:r>
        <w:rPr>
          <w:rFonts w:ascii="Arial" w:cs="Arial" w:eastAsia="Arial" w:hAnsi="Arial"/>
          <w:sz w:val="12"/>
          <w:szCs w:val="12"/>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Some of our suppliers may experience disruption to their respective supply chain due to the effects of the COVID-19 pandemic, which could delay, prevent or impair our development or commercialization efforts.</w:t>
      </w:r>
    </w:p>
    <w:p>
      <w:pPr>
        <w:spacing w:after="0" w:line="90"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color w:val="auto"/>
        </w:rPr>
        <w:t>We obtain certain chemical or biological intermediates in the synthesis of our drug candidates and NHPs for toxicology testing in countries affected by the COVID-19 pandemic. If we are unable to obtain these chemical or biological intermediates or NHPs in sufficient quantity and in a timely manner,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94"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43"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In order to conduct clinical trials of our drug candidates, we will need to manufacture them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Commercialization of Our Drug candidates</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Even if any of our drug candidates receives marketing approval, a drug candidate may fail to achieve the degree of market acceptance by physicians, patients, third-party payors and others in the medical community necessary for commercial success.</w:t>
      </w:r>
    </w:p>
    <w:p>
      <w:pPr>
        <w:spacing w:after="0" w:line="43" w:lineRule="exact"/>
        <w:rPr>
          <w:sz w:val="20"/>
          <w:szCs w:val="20"/>
          <w:color w:val="auto"/>
        </w:rPr>
      </w:pPr>
    </w:p>
    <w:p>
      <w:pPr>
        <w:ind w:right="20" w:firstLine="513"/>
        <w:spacing w:after="0" w:line="298" w:lineRule="auto"/>
        <w:rPr>
          <w:sz w:val="20"/>
          <w:szCs w:val="20"/>
          <w:color w:val="auto"/>
        </w:rPr>
      </w:pPr>
      <w:r>
        <w:rPr>
          <w:rFonts w:ascii="Arial" w:cs="Arial" w:eastAsia="Arial" w:hAnsi="Arial"/>
          <w:sz w:val="11"/>
          <w:szCs w:val="11"/>
          <w:color w:val="auto"/>
        </w:rPr>
        <w:t>If any of our drug candidates receive marketing approval, it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drug candidates do not achieve an adequate level of acceptance, we may not generate significant revenue from product sales and we may not become profitable. The degree of market acceptance of our drug candidates, if approved for commercial sale, will depend on a number of factors, including:</w:t>
      </w:r>
    </w:p>
    <w:p>
      <w:pPr>
        <w:spacing w:after="0" w:line="33" w:lineRule="exact"/>
        <w:rPr>
          <w:sz w:val="20"/>
          <w:szCs w:val="20"/>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efficacy and potential advantages compared to alternative treatments;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prevalence and severity of any side effects, in particular compared to alternative treatments;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ability to offer our products for sale at competitive prices;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convenience and ease of administration compared to alternative treatments;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strength of marketing, sales and distribution support;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availability of third-party payor coverage and adequate reimbursement;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19" w:right="339" w:bottom="1440" w:gutter="0" w:footer="0" w:header="0"/>
        </w:sectPr>
      </w:pPr>
    </w:p>
    <w:bookmarkStart w:id="49" w:name="page50"/>
    <w:bookmarkEnd w:id="49"/>
    <w:p>
      <w:pPr>
        <w:ind w:left="1020" w:hanging="515"/>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timing of any marketing approval in relation to other product approvals;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any restrictions on the use of our products together with other medications.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we may not be successful in commercializing our drug candidates if and when they are approved.</w:t>
      </w:r>
    </w:p>
    <w:p>
      <w:pPr>
        <w:spacing w:after="0" w:line="78"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115" w:lineRule="exact"/>
        <w:rPr>
          <w:sz w:val="20"/>
          <w:szCs w:val="20"/>
          <w:color w:val="auto"/>
        </w:rPr>
      </w:pPr>
    </w:p>
    <w:p>
      <w:pPr>
        <w:ind w:firstLine="513"/>
        <w:spacing w:after="0" w:line="289" w:lineRule="auto"/>
        <w:rPr>
          <w:sz w:val="20"/>
          <w:szCs w:val="20"/>
          <w:color w:val="auto"/>
        </w:rPr>
      </w:pPr>
      <w:r>
        <w:rPr>
          <w:rFonts w:ascii="Arial" w:cs="Arial" w:eastAsia="Arial" w:hAnsi="Arial"/>
          <w:sz w:val="11"/>
          <w:szCs w:val="11"/>
          <w:color w:val="auto"/>
        </w:rPr>
        <w:t>We currently expect that we may build our own focused, specialized sales and marketing organization to support the commercialization in the United States of drug candidates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Factors that may inhibit our efforts to commercialize our products on our own include:</w:t>
      </w:r>
    </w:p>
    <w:p>
      <w:pPr>
        <w:spacing w:after="0" w:line="78" w:lineRule="exact"/>
        <w:rPr>
          <w:sz w:val="20"/>
          <w:szCs w:val="20"/>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inability to recruit, train and retain adequate numbers of effective sales, marketing, reimbursement, customer service, medical affairs, and other support personnel;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lack of complementary products to be offered by sales personnel, which may put us at a competitive disadvantage relative to companies with more extensive product lines;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unforeseen costs and expenses associated with creating an independent sales and marketing organization.</w:t>
      </w:r>
    </w:p>
    <w:p>
      <w:pPr>
        <w:spacing w:after="0" w:line="150"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If we are unable to establish our own sales and marketing capabilities and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96"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43" w:lineRule="exact"/>
        <w:rPr>
          <w:sz w:val="20"/>
          <w:szCs w:val="20"/>
          <w:color w:val="auto"/>
        </w:rPr>
      </w:pPr>
    </w:p>
    <w:p>
      <w:pPr>
        <w:ind w:firstLine="513"/>
        <w:spacing w:after="0" w:line="283" w:lineRule="auto"/>
        <w:rPr>
          <w:sz w:val="20"/>
          <w:szCs w:val="20"/>
          <w:color w:val="auto"/>
        </w:rPr>
      </w:pPr>
      <w:r>
        <w:rPr>
          <w:rFonts w:ascii="Arial" w:cs="Arial" w:eastAsia="Arial" w:hAnsi="Arial"/>
          <w:sz w:val="11"/>
          <w:szCs w:val="11"/>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113" w:lineRule="exact"/>
        <w:rPr>
          <w:sz w:val="20"/>
          <w:szCs w:val="20"/>
          <w:color w:val="auto"/>
        </w:rPr>
      </w:pPr>
    </w:p>
    <w:p>
      <w:pPr>
        <w:ind w:firstLine="513"/>
        <w:spacing w:after="0" w:line="326" w:lineRule="auto"/>
        <w:rPr>
          <w:sz w:val="20"/>
          <w:szCs w:val="20"/>
          <w:color w:val="auto"/>
        </w:rPr>
      </w:pPr>
      <w:r>
        <w:rPr>
          <w:rFonts w:ascii="Arial" w:cs="Arial" w:eastAsia="Arial" w:hAnsi="Arial"/>
          <w:sz w:val="10"/>
          <w:szCs w:val="10"/>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50" w:name="page51"/>
    <w:bookmarkEnd w:id="50"/>
    <w:p>
      <w:pPr>
        <w:ind w:right="20"/>
        <w:spacing w:after="0" w:line="259" w:lineRule="auto"/>
        <w:rPr>
          <w:sz w:val="20"/>
          <w:szCs w:val="20"/>
          <w:color w:val="auto"/>
        </w:rPr>
      </w:pPr>
      <w:r>
        <w:rPr>
          <w:rFonts w:ascii="Arial" w:cs="Arial" w:eastAsia="Arial" w:hAnsi="Arial"/>
          <w:sz w:val="12"/>
          <w:szCs w:val="12"/>
          <w:color w:val="auto"/>
        </w:rPr>
        <w:t>the prices charged for medical products. Coverage and reimbursement may not be available for any product that we commercialize and, even if these are available, the level of reimbursement may not be satisfactory.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124" w:lineRule="exact"/>
        <w:rPr>
          <w:sz w:val="20"/>
          <w:szCs w:val="20"/>
          <w:color w:val="auto"/>
        </w:rPr>
      </w:pPr>
    </w:p>
    <w:p>
      <w:pPr>
        <w:ind w:firstLine="513"/>
        <w:spacing w:after="0" w:line="254" w:lineRule="auto"/>
        <w:rPr>
          <w:sz w:val="20"/>
          <w:szCs w:val="20"/>
          <w:color w:val="auto"/>
        </w:rPr>
      </w:pPr>
      <w:r>
        <w:rPr>
          <w:rFonts w:ascii="Arial" w:cs="Arial" w:eastAsia="Arial" w:hAnsi="Arial"/>
          <w:sz w:val="12"/>
          <w:szCs w:val="12"/>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to limit commercialization of any products that we may develop.</w:t>
      </w:r>
    </w:p>
    <w:p>
      <w:pPr>
        <w:spacing w:after="0" w:line="78" w:lineRule="exact"/>
        <w:rPr>
          <w:sz w:val="20"/>
          <w:szCs w:val="20"/>
          <w:color w:val="auto"/>
        </w:rPr>
      </w:pPr>
    </w:p>
    <w:p>
      <w:pPr>
        <w:ind w:right="200" w:firstLine="513"/>
        <w:spacing w:after="0" w:line="323" w:lineRule="auto"/>
        <w:rPr>
          <w:sz w:val="20"/>
          <w:szCs w:val="20"/>
          <w:color w:val="auto"/>
        </w:rPr>
      </w:pPr>
      <w:r>
        <w:rPr>
          <w:rFonts w:ascii="Arial" w:cs="Arial" w:eastAsia="Arial" w:hAnsi="Arial"/>
          <w:sz w:val="11"/>
          <w:szCs w:val="11"/>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20" w:lineRule="exact"/>
        <w:rPr>
          <w:sz w:val="20"/>
          <w:szCs w:val="20"/>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decreased demand for any drug candidates or products that we may develop;</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termination of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withdrawal of marketing approval, recall, restriction on the approval or a “black box” warning or contraindication for an approved drug;</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significant costs to defend the related litigation;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injury to our reputation and significant negative media attention;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reduced resources of our management to pursue our business strategy;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inability to commercialize any products that we may develop.</w:t>
      </w:r>
    </w:p>
    <w:p>
      <w:pPr>
        <w:spacing w:after="0" w:line="150" w:lineRule="exact"/>
        <w:rPr>
          <w:sz w:val="20"/>
          <w:szCs w:val="20"/>
          <w:color w:val="auto"/>
        </w:rPr>
      </w:pPr>
    </w:p>
    <w:p>
      <w:pPr>
        <w:jc w:val="both"/>
        <w:ind w:right="140" w:firstLine="513"/>
        <w:spacing w:after="0" w:line="263" w:lineRule="auto"/>
        <w:rPr>
          <w:sz w:val="20"/>
          <w:szCs w:val="20"/>
          <w:color w:val="auto"/>
        </w:rPr>
      </w:pPr>
      <w:r>
        <w:rPr>
          <w:rFonts w:ascii="Arial" w:cs="Arial" w:eastAsia="Arial" w:hAnsi="Arial"/>
          <w:sz w:val="12"/>
          <w:szCs w:val="12"/>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8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If we are unable to obtain and maintain patent protection for our technology,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19" w:right="33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i w:val="1"/>
          <w:iCs w:val="1"/>
          <w:color w:val="auto"/>
        </w:rPr>
        <w:t>successfully commercialize our technology and drug candidates may be impaired, and we may not be able to compete effectively in our market.</w:t>
      </w:r>
    </w:p>
    <w:p>
      <w:pPr>
        <w:spacing w:after="0" w:line="78" w:lineRule="exact"/>
        <w:rPr>
          <w:sz w:val="20"/>
          <w:szCs w:val="20"/>
          <w:color w:val="auto"/>
        </w:rPr>
      </w:pPr>
    </w:p>
    <w:p>
      <w:pPr>
        <w:ind w:firstLine="513"/>
        <w:spacing w:after="0" w:line="310" w:lineRule="auto"/>
        <w:rPr>
          <w:sz w:val="20"/>
          <w:szCs w:val="20"/>
          <w:color w:val="auto"/>
        </w:rPr>
      </w:pPr>
      <w:r>
        <w:rPr>
          <w:rFonts w:ascii="Arial" w:cs="Arial" w:eastAsia="Arial" w:hAnsi="Arial"/>
          <w:sz w:val="10"/>
          <w:szCs w:val="10"/>
          <w:color w:val="auto"/>
        </w:rPr>
        <w:t>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However, the portfolio covering our drug candidates is at an early stage and comprised only of patent applications and we do not currently own or license any issued patents covering our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103" w:lineRule="exact"/>
        <w:rPr>
          <w:sz w:val="20"/>
          <w:szCs w:val="20"/>
          <w:color w:val="auto"/>
        </w:rPr>
      </w:pPr>
    </w:p>
    <w:p>
      <w:pPr>
        <w:ind w:right="20" w:firstLine="513"/>
        <w:spacing w:after="0" w:line="280" w:lineRule="auto"/>
        <w:rPr>
          <w:sz w:val="20"/>
          <w:szCs w:val="20"/>
          <w:color w:val="auto"/>
        </w:rPr>
      </w:pPr>
      <w:r>
        <w:rPr>
          <w:rFonts w:ascii="Arial" w:cs="Arial" w:eastAsia="Arial" w:hAnsi="Arial"/>
          <w:sz w:val="11"/>
          <w:szCs w:val="11"/>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Any of these outcomes could impair our ability to prevent competition from third parties.</w:t>
      </w:r>
    </w:p>
    <w:p>
      <w:pPr>
        <w:spacing w:after="0" w:line="115" w:lineRule="exact"/>
        <w:rPr>
          <w:sz w:val="20"/>
          <w:szCs w:val="20"/>
          <w:color w:val="auto"/>
        </w:rPr>
      </w:pPr>
    </w:p>
    <w:p>
      <w:pPr>
        <w:ind w:right="60" w:firstLine="513"/>
        <w:spacing w:after="0" w:line="280" w:lineRule="auto"/>
        <w:rPr>
          <w:sz w:val="20"/>
          <w:szCs w:val="20"/>
          <w:color w:val="auto"/>
        </w:rPr>
      </w:pPr>
      <w:r>
        <w:rPr>
          <w:rFonts w:ascii="Arial" w:cs="Arial" w:eastAsia="Arial" w:hAnsi="Arial"/>
          <w:sz w:val="11"/>
          <w:szCs w:val="11"/>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whether owned or in-licensed, are highly uncertain.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(USPTO), the laws and regulations governing patents could change in unpredictable ways that could weaken our ability to obtain patents or to enforce any patents that we might obtain in the future.</w:t>
      </w:r>
    </w:p>
    <w:p>
      <w:pPr>
        <w:spacing w:after="0" w:line="115" w:lineRule="exact"/>
        <w:rPr>
          <w:sz w:val="20"/>
          <w:szCs w:val="20"/>
          <w:color w:val="auto"/>
        </w:rPr>
      </w:pPr>
    </w:p>
    <w:p>
      <w:pPr>
        <w:ind w:firstLine="513"/>
        <w:spacing w:after="0" w:line="283" w:lineRule="auto"/>
        <w:rPr>
          <w:sz w:val="20"/>
          <w:szCs w:val="20"/>
          <w:color w:val="auto"/>
        </w:rPr>
      </w:pPr>
      <w:r>
        <w:rPr>
          <w:rFonts w:ascii="Arial" w:cs="Arial" w:eastAsia="Arial" w:hAnsi="Arial"/>
          <w:sz w:val="11"/>
          <w:szCs w:val="11"/>
          <w:color w:val="auto"/>
        </w:rPr>
        <w:t>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preissuance submission of prior art to the USPTO challenging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52" w:name="page53"/>
    <w:bookmarkEnd w:id="52"/>
    <w:p>
      <w:pPr>
        <w:ind w:right="40"/>
        <w:spacing w:after="0" w:line="279" w:lineRule="auto"/>
        <w:rPr>
          <w:sz w:val="20"/>
          <w:szCs w:val="20"/>
          <w:color w:val="auto"/>
        </w:rPr>
      </w:pPr>
      <w:r>
        <w:rPr>
          <w:rFonts w:ascii="Arial" w:cs="Arial" w:eastAsia="Arial" w:hAnsi="Arial"/>
          <w:sz w:val="11"/>
          <w:szCs w:val="11"/>
          <w:color w:val="auto"/>
        </w:rPr>
        <w:t xml:space="preserve">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cs="Arial" w:eastAsia="Arial" w:hAnsi="Arial"/>
          <w:sz w:val="11"/>
          <w:szCs w:val="11"/>
          <w:i w:val="1"/>
          <w:iCs w:val="1"/>
          <w:color w:val="auto"/>
        </w:rPr>
        <w:t>inter partes</w:t>
      </w:r>
      <w:r>
        <w:rPr>
          <w:rFonts w:ascii="Arial" w:cs="Arial" w:eastAsia="Arial" w:hAnsi="Arial"/>
          <w:sz w:val="11"/>
          <w:szCs w:val="11"/>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exclusivity,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scientists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117" w:lineRule="exact"/>
        <w:rPr>
          <w:sz w:val="20"/>
          <w:szCs w:val="20"/>
          <w:color w:val="auto"/>
        </w:rPr>
      </w:pPr>
    </w:p>
    <w:p>
      <w:pPr>
        <w:ind w:right="100" w:firstLine="513"/>
        <w:spacing w:after="0" w:line="283" w:lineRule="auto"/>
        <w:rPr>
          <w:sz w:val="20"/>
          <w:szCs w:val="20"/>
          <w:color w:val="auto"/>
        </w:rPr>
      </w:pPr>
      <w:r>
        <w:rPr>
          <w:rFonts w:ascii="Arial" w:cs="Arial" w:eastAsia="Arial" w:hAnsi="Arial"/>
          <w:sz w:val="11"/>
          <w:szCs w:val="11"/>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w:t>
      </w:r>
    </w:p>
    <w:p>
      <w:pPr>
        <w:spacing w:after="0" w:line="113"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78" w:lineRule="exact"/>
        <w:rPr>
          <w:sz w:val="20"/>
          <w:szCs w:val="20"/>
          <w:color w:val="auto"/>
        </w:rPr>
      </w:pPr>
    </w:p>
    <w:p>
      <w:pPr>
        <w:ind w:firstLine="513"/>
        <w:spacing w:after="0" w:line="254" w:lineRule="auto"/>
        <w:rPr>
          <w:sz w:val="20"/>
          <w:szCs w:val="20"/>
          <w:color w:val="auto"/>
        </w:rPr>
      </w:pPr>
      <w:r>
        <w:rPr>
          <w:rFonts w:ascii="Arial" w:cs="Arial" w:eastAsia="Arial" w:hAnsi="Arial"/>
          <w:sz w:val="12"/>
          <w:szCs w:val="12"/>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includes a number of other significant changes to U.S. patent law, including provisions that affect the way patent applications are prosecuted and may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and derivation proceedings.</w:t>
      </w:r>
    </w:p>
    <w:p>
      <w:pPr>
        <w:spacing w:after="0" w:line="128" w:lineRule="exact"/>
        <w:rPr>
          <w:sz w:val="20"/>
          <w:szCs w:val="20"/>
          <w:color w:val="auto"/>
        </w:rPr>
      </w:pPr>
    </w:p>
    <w:p>
      <w:pPr>
        <w:ind w:right="60" w:firstLine="513"/>
        <w:spacing w:after="0" w:line="298" w:lineRule="auto"/>
        <w:rPr>
          <w:sz w:val="20"/>
          <w:szCs w:val="20"/>
          <w:color w:val="auto"/>
        </w:rPr>
      </w:pPr>
      <w:r>
        <w:rPr>
          <w:rFonts w:ascii="Arial" w:cs="Arial" w:eastAsia="Arial" w:hAnsi="Arial"/>
          <w:sz w:val="11"/>
          <w:szCs w:val="11"/>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53" w:name="page54"/>
    <w:bookmarkEnd w:id="53"/>
    <w:p>
      <w:pPr>
        <w:spacing w:after="0"/>
        <w:rPr>
          <w:sz w:val="20"/>
          <w:szCs w:val="20"/>
          <w:color w:val="auto"/>
        </w:rPr>
      </w:pPr>
      <w:r>
        <w:rPr>
          <w:rFonts w:ascii="Arial" w:cs="Arial" w:eastAsia="Arial" w:hAnsi="Arial"/>
          <w:sz w:val="10"/>
          <w:szCs w:val="10"/>
          <w:color w:val="auto"/>
        </w:rPr>
        <w:t>obtain in the future. Any of the foregoing, including any similar adverse changes in the patent laws of other jurisdictions, could also have a material adverse effect on our business, financial condition, results of operations and prospects.</w:t>
      </w:r>
    </w:p>
    <w:p>
      <w:pPr>
        <w:spacing w:after="0" w:line="245"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b w:val="1"/>
          <w:bCs w:val="1"/>
          <w:i w:val="1"/>
          <w:iCs w:val="1"/>
          <w:color w:val="auto"/>
        </w:rPr>
        <w:t>Even if we are able to obtain patent protection for our drug candidates, the life of such protection, if any, is limited, and third parties could develop and commercialize products and technologies similar or identical to ours and compete directly against us after the expiration of our patent rights, if any, and our ability to successfully commercialize any product or technology would be materially adversely affected.</w:t>
      </w:r>
    </w:p>
    <w:p>
      <w:pPr>
        <w:spacing w:after="0" w:line="20"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24"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need to license intellectual property from third parties, and such licenses may not be available or may not be available on commercially reasonable terms.</w:t>
      </w:r>
    </w:p>
    <w:p>
      <w:pPr>
        <w:spacing w:after="0" w:line="78" w:lineRule="exact"/>
        <w:rPr>
          <w:sz w:val="20"/>
          <w:szCs w:val="20"/>
          <w:color w:val="auto"/>
        </w:rPr>
      </w:pPr>
    </w:p>
    <w:p>
      <w:pPr>
        <w:ind w:right="100" w:firstLine="513"/>
        <w:spacing w:after="0" w:line="263" w:lineRule="auto"/>
        <w:rPr>
          <w:sz w:val="20"/>
          <w:szCs w:val="20"/>
          <w:color w:val="auto"/>
        </w:rPr>
      </w:pPr>
      <w:r>
        <w:rPr>
          <w:rFonts w:ascii="Arial" w:cs="Arial" w:eastAsia="Arial" w:hAnsi="Arial"/>
          <w:sz w:val="12"/>
          <w:szCs w:val="12"/>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22"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w:t>
      </w:r>
    </w:p>
    <w:p>
      <w:pPr>
        <w:spacing w:after="0" w:line="196"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43" w:lineRule="exact"/>
        <w:rPr>
          <w:sz w:val="20"/>
          <w:szCs w:val="20"/>
          <w:color w:val="auto"/>
        </w:rPr>
      </w:pPr>
    </w:p>
    <w:p>
      <w:pPr>
        <w:ind w:right="240" w:firstLine="513"/>
        <w:spacing w:after="0" w:line="276" w:lineRule="auto"/>
        <w:rPr>
          <w:sz w:val="20"/>
          <w:szCs w:val="20"/>
          <w:color w:val="auto"/>
        </w:rPr>
      </w:pPr>
      <w:r>
        <w:rPr>
          <w:rFonts w:ascii="Arial" w:cs="Arial" w:eastAsia="Arial" w:hAnsi="Arial"/>
          <w:sz w:val="12"/>
          <w:szCs w:val="12"/>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115" w:lineRule="exact"/>
        <w:rPr>
          <w:sz w:val="20"/>
          <w:szCs w:val="20"/>
          <w:color w:val="auto"/>
        </w:rPr>
      </w:pPr>
    </w:p>
    <w:p>
      <w:pPr>
        <w:ind w:right="80" w:firstLine="513"/>
        <w:spacing w:after="0" w:line="283" w:lineRule="auto"/>
        <w:rPr>
          <w:sz w:val="20"/>
          <w:szCs w:val="20"/>
          <w:color w:val="auto"/>
        </w:rPr>
      </w:pPr>
      <w:r>
        <w:rPr>
          <w:rFonts w:ascii="Arial" w:cs="Arial" w:eastAsia="Arial" w:hAnsi="Arial"/>
          <w:sz w:val="11"/>
          <w:szCs w:val="11"/>
          <w:color w:val="auto"/>
        </w:rPr>
        <w:t xml:space="preserve">Numerous third-party U.S. and non-U.S. issued patents exist in the area of biotechnology, including in the area of CTMs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Arial" w:cs="Arial" w:eastAsia="Arial" w:hAnsi="Arial"/>
          <w:sz w:val="11"/>
          <w:szCs w:val="11"/>
          <w:i w:val="1"/>
          <w:iCs w:val="1"/>
          <w:color w:val="auto"/>
        </w:rPr>
        <w:t>inter partes</w:t>
      </w:r>
      <w:r>
        <w:rPr>
          <w:rFonts w:ascii="Arial" w:cs="Arial" w:eastAsia="Arial" w:hAnsi="Arial"/>
          <w:sz w:val="11"/>
          <w:szCs w:val="11"/>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Arial" w:cs="Arial" w:eastAsia="Arial" w:hAnsi="Arial"/>
          <w:sz w:val="11"/>
          <w:szCs w:val="11"/>
          <w:i w:val="1"/>
          <w:iCs w:val="1"/>
          <w:color w:val="auto"/>
        </w:rPr>
        <w:t>inter partes</w:t>
      </w:r>
      <w:r>
        <w:rPr>
          <w:rFonts w:ascii="Arial" w:cs="Arial" w:eastAsia="Arial" w:hAnsi="Arial"/>
          <w:sz w:val="11"/>
          <w:szCs w:val="11"/>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of our technologies infringe patent claims or other intellectual property rights held by them or that we are employing their proprietary technology without authorization.</w:t>
      </w:r>
    </w:p>
    <w:p>
      <w:pPr>
        <w:spacing w:after="0" w:line="150" w:lineRule="exact"/>
        <w:rPr>
          <w:sz w:val="20"/>
          <w:szCs w:val="20"/>
          <w:color w:val="auto"/>
        </w:rPr>
      </w:pPr>
    </w:p>
    <w:p>
      <w:pPr>
        <w:ind w:firstLine="513"/>
        <w:spacing w:after="0" w:line="279" w:lineRule="auto"/>
        <w:rPr>
          <w:sz w:val="20"/>
          <w:szCs w:val="20"/>
          <w:color w:val="auto"/>
        </w:rPr>
      </w:pPr>
      <w:r>
        <w:rPr>
          <w:rFonts w:ascii="Arial" w:cs="Arial" w:eastAsia="Arial" w:hAnsi="Arial"/>
          <w:sz w:val="11"/>
          <w:szCs w:val="11"/>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CTMs. This patent may be alleged to cover one or more of our CTM drug candidates, including our NX-2127 drug candidate. While we believe that we have valid defenses against any assertion of such patent against us, such defenses may be unsuccessful. If we are unsuccessful and any of our CTM drug candidates is found to infringe this patent, we could be required to obtain a license to such patent or forced to permanently cease developing, manufacturing, marketing and commercializing the infringing CTM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117" w:lineRule="exact"/>
        <w:rPr>
          <w:sz w:val="20"/>
          <w:szCs w:val="20"/>
          <w:color w:val="auto"/>
        </w:rPr>
      </w:pPr>
    </w:p>
    <w:p>
      <w:pPr>
        <w:ind w:right="20" w:firstLine="513"/>
        <w:spacing w:after="0" w:line="289" w:lineRule="auto"/>
        <w:rPr>
          <w:sz w:val="20"/>
          <w:szCs w:val="20"/>
          <w:color w:val="auto"/>
        </w:rPr>
      </w:pPr>
      <w:r>
        <w:rPr>
          <w:rFonts w:ascii="Arial" w:cs="Arial" w:eastAsia="Arial" w:hAnsi="Arial"/>
          <w:sz w:val="11"/>
          <w:szCs w:val="11"/>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111" w:lineRule="exact"/>
        <w:rPr>
          <w:sz w:val="20"/>
          <w:szCs w:val="20"/>
          <w:color w:val="auto"/>
        </w:rPr>
      </w:pPr>
    </w:p>
    <w:p>
      <w:pPr>
        <w:ind w:right="20" w:firstLine="513"/>
        <w:spacing w:after="0" w:line="310" w:lineRule="auto"/>
        <w:rPr>
          <w:sz w:val="20"/>
          <w:szCs w:val="20"/>
          <w:color w:val="auto"/>
        </w:rPr>
      </w:pPr>
      <w:r>
        <w:rPr>
          <w:rFonts w:ascii="Arial" w:cs="Arial" w:eastAsia="Arial" w:hAnsi="Arial"/>
          <w:sz w:val="10"/>
          <w:szCs w:val="10"/>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103" w:lineRule="exact"/>
        <w:rPr>
          <w:sz w:val="20"/>
          <w:szCs w:val="20"/>
          <w:color w:val="auto"/>
        </w:rPr>
      </w:pPr>
    </w:p>
    <w:p>
      <w:pPr>
        <w:ind w:right="40" w:firstLine="513"/>
        <w:spacing w:after="0" w:line="280" w:lineRule="auto"/>
        <w:rPr>
          <w:sz w:val="20"/>
          <w:szCs w:val="20"/>
          <w:color w:val="auto"/>
        </w:rPr>
      </w:pPr>
      <w:r>
        <w:rPr>
          <w:rFonts w:ascii="Arial" w:cs="Arial" w:eastAsia="Arial" w:hAnsi="Arial"/>
          <w:sz w:val="11"/>
          <w:szCs w:val="11"/>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55" w:name="page56"/>
    <w:bookmarkEnd w:id="55"/>
    <w:p>
      <w:pPr>
        <w:ind w:firstLine="513"/>
        <w:spacing w:after="0" w:line="256" w:lineRule="auto"/>
        <w:rPr>
          <w:sz w:val="20"/>
          <w:szCs w:val="20"/>
          <w:color w:val="auto"/>
        </w:rPr>
      </w:pPr>
      <w:r>
        <w:rPr>
          <w:rFonts w:ascii="Arial" w:cs="Arial" w:eastAsia="Arial" w:hAnsi="Arial"/>
          <w:sz w:val="12"/>
          <w:szCs w:val="12"/>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128" w:lineRule="exact"/>
        <w:rPr>
          <w:sz w:val="20"/>
          <w:szCs w:val="20"/>
          <w:color w:val="auto"/>
        </w:rPr>
      </w:pPr>
    </w:p>
    <w:p>
      <w:pPr>
        <w:ind w:right="240" w:firstLine="513"/>
        <w:spacing w:after="0" w:line="256" w:lineRule="auto"/>
        <w:rPr>
          <w:sz w:val="20"/>
          <w:szCs w:val="20"/>
          <w:color w:val="auto"/>
        </w:rPr>
      </w:pPr>
      <w:r>
        <w:rPr>
          <w:rFonts w:ascii="Arial" w:cs="Arial" w:eastAsia="Arial" w:hAnsi="Arial"/>
          <w:sz w:val="12"/>
          <w:szCs w:val="12"/>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128" w:lineRule="exact"/>
        <w:rPr>
          <w:sz w:val="20"/>
          <w:szCs w:val="20"/>
          <w:color w:val="auto"/>
        </w:rPr>
      </w:pPr>
    </w:p>
    <w:p>
      <w:pPr>
        <w:ind w:right="60" w:firstLine="513"/>
        <w:spacing w:after="0" w:line="280" w:lineRule="auto"/>
        <w:rPr>
          <w:sz w:val="20"/>
          <w:szCs w:val="20"/>
          <w:color w:val="auto"/>
        </w:rPr>
      </w:pPr>
      <w:r>
        <w:rPr>
          <w:rFonts w:ascii="Arial" w:cs="Arial" w:eastAsia="Arial" w:hAnsi="Arial"/>
          <w:sz w:val="11"/>
          <w:szCs w:val="11"/>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development efforts, adversely affect our ability to raise additional funds, and could limit our ability to continue our operations. Any of the foregoing could have a material adverse effect on our business.</w:t>
      </w:r>
    </w:p>
    <w:p>
      <w:pPr>
        <w:spacing w:after="0" w:line="187"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43" w:lineRule="exact"/>
        <w:rPr>
          <w:sz w:val="20"/>
          <w:szCs w:val="20"/>
          <w:color w:val="auto"/>
        </w:rPr>
      </w:pPr>
    </w:p>
    <w:p>
      <w:pPr>
        <w:ind w:firstLine="513"/>
        <w:spacing w:after="0" w:line="279" w:lineRule="auto"/>
        <w:rPr>
          <w:sz w:val="20"/>
          <w:szCs w:val="20"/>
          <w:color w:val="auto"/>
        </w:rPr>
      </w:pPr>
      <w:r>
        <w:rPr>
          <w:rFonts w:ascii="Arial" w:cs="Arial" w:eastAsia="Arial" w:hAnsi="Arial"/>
          <w:sz w:val="11"/>
          <w:szCs w:val="11"/>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use the proprietary information or know-how of others in their work for us, we may be subject to claims that these individuals or we have inadvertently or otherwise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117" w:lineRule="exact"/>
        <w:rPr>
          <w:sz w:val="20"/>
          <w:szCs w:val="20"/>
          <w:color w:val="auto"/>
        </w:rPr>
      </w:pPr>
    </w:p>
    <w:p>
      <w:pPr>
        <w:ind w:right="20" w:firstLine="513"/>
        <w:spacing w:after="0" w:line="259" w:lineRule="auto"/>
        <w:rPr>
          <w:sz w:val="20"/>
          <w:szCs w:val="20"/>
          <w:color w:val="auto"/>
        </w:rPr>
      </w:pPr>
      <w:r>
        <w:rPr>
          <w:rFonts w:ascii="Arial" w:cs="Arial" w:eastAsia="Arial" w:hAnsi="Arial"/>
          <w:sz w:val="12"/>
          <w:szCs w:val="12"/>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56" w:name="page57"/>
    <w:bookmarkEnd w:id="56"/>
    <w:p>
      <w:pPr>
        <w:spacing w:after="0" w:line="254" w:lineRule="auto"/>
        <w:rPr>
          <w:sz w:val="20"/>
          <w:szCs w:val="20"/>
          <w:color w:val="auto"/>
        </w:rPr>
      </w:pPr>
      <w:r>
        <w:rPr>
          <w:rFonts w:ascii="Arial" w:cs="Arial" w:eastAsia="Arial" w:hAnsi="Arial"/>
          <w:sz w:val="12"/>
          <w:szCs w:val="12"/>
          <w:color w:val="auto"/>
        </w:rPr>
        <w:t>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78" w:lineRule="exact"/>
        <w:rPr>
          <w:sz w:val="20"/>
          <w:szCs w:val="20"/>
          <w:color w:val="auto"/>
        </w:rPr>
      </w:pPr>
    </w:p>
    <w:p>
      <w:pPr>
        <w:ind w:firstLine="513"/>
        <w:spacing w:after="0" w:line="277" w:lineRule="auto"/>
        <w:rPr>
          <w:sz w:val="20"/>
          <w:szCs w:val="20"/>
          <w:color w:val="auto"/>
        </w:rPr>
      </w:pPr>
      <w:r>
        <w:rPr>
          <w:rFonts w:ascii="Arial" w:cs="Arial" w:eastAsia="Arial" w:hAnsi="Arial"/>
          <w:sz w:val="11"/>
          <w:szCs w:val="11"/>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1"/>
          <w:szCs w:val="11"/>
          <w:i w:val="1"/>
          <w:iCs w:val="1"/>
          <w:color w:val="auto"/>
        </w:rPr>
        <w:t>inter partes</w:t>
      </w:r>
      <w:r>
        <w:rPr>
          <w:rFonts w:ascii="Arial" w:cs="Arial" w:eastAsia="Arial" w:hAnsi="Arial"/>
          <w:sz w:val="11"/>
          <w:szCs w:val="11"/>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w:t>
      </w:r>
    </w:p>
    <w:p>
      <w:pPr>
        <w:spacing w:after="0" w:line="120" w:lineRule="exact"/>
        <w:rPr>
          <w:sz w:val="20"/>
          <w:szCs w:val="20"/>
          <w:color w:val="auto"/>
        </w:rPr>
      </w:pPr>
    </w:p>
    <w:p>
      <w:pPr>
        <w:ind w:firstLine="513"/>
        <w:spacing w:after="0" w:line="281" w:lineRule="auto"/>
        <w:rPr>
          <w:sz w:val="20"/>
          <w:szCs w:val="20"/>
          <w:color w:val="auto"/>
        </w:rPr>
      </w:pPr>
      <w:r>
        <w:rPr>
          <w:rFonts w:ascii="Arial" w:cs="Arial" w:eastAsia="Arial" w:hAnsi="Arial"/>
          <w:sz w:val="11"/>
          <w:szCs w:val="11"/>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w:t>
      </w:r>
    </w:p>
    <w:p>
      <w:pPr>
        <w:spacing w:after="0" w:line="78" w:lineRule="exact"/>
        <w:rPr>
          <w:sz w:val="20"/>
          <w:szCs w:val="20"/>
          <w:color w:val="auto"/>
        </w:rPr>
      </w:pPr>
    </w:p>
    <w:p>
      <w:pPr>
        <w:ind w:right="100" w:firstLine="513"/>
        <w:spacing w:after="0" w:line="255" w:lineRule="auto"/>
        <w:rPr>
          <w:sz w:val="20"/>
          <w:szCs w:val="20"/>
          <w:color w:val="auto"/>
        </w:rPr>
      </w:pPr>
      <w:r>
        <w:rPr>
          <w:rFonts w:ascii="Arial" w:cs="Arial" w:eastAsia="Arial" w:hAnsi="Arial"/>
          <w:sz w:val="12"/>
          <w:szCs w:val="12"/>
          <w:color w:val="auto"/>
        </w:rPr>
        <w:t>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19" w:right="339" w:bottom="1440" w:gutter="0" w:footer="0" w:header="0"/>
        </w:sectPr>
      </w:pPr>
    </w:p>
    <w:bookmarkStart w:id="57" w:name="page58"/>
    <w:bookmarkEnd w:id="57"/>
    <w:p>
      <w:pPr>
        <w:spacing w:after="0"/>
        <w:rPr>
          <w:sz w:val="20"/>
          <w:szCs w:val="20"/>
          <w:color w:val="auto"/>
        </w:rPr>
      </w:pPr>
      <w:r>
        <w:rPr>
          <w:rFonts w:ascii="Arial" w:cs="Arial" w:eastAsia="Arial" w:hAnsi="Arial"/>
          <w:sz w:val="10"/>
          <w:szCs w:val="10"/>
          <w:color w:val="auto"/>
        </w:rPr>
        <w:t>but enforcement is not as strong as that in the United States. These products may compete with our drug candidates and our patents or other intellectual property rights may not be effective or sufficient to prevent them from competing.</w:t>
      </w:r>
    </w:p>
    <w:p>
      <w:pPr>
        <w:spacing w:after="0" w:line="173" w:lineRule="exact"/>
        <w:rPr>
          <w:sz w:val="20"/>
          <w:szCs w:val="20"/>
          <w:color w:val="auto"/>
        </w:rPr>
      </w:pPr>
    </w:p>
    <w:p>
      <w:pPr>
        <w:ind w:right="20" w:firstLine="513"/>
        <w:spacing w:after="0" w:line="255" w:lineRule="auto"/>
        <w:rPr>
          <w:sz w:val="20"/>
          <w:szCs w:val="20"/>
          <w:color w:val="auto"/>
        </w:rPr>
      </w:pPr>
      <w:r>
        <w:rPr>
          <w:rFonts w:ascii="Arial" w:cs="Arial" w:eastAsia="Arial" w:hAnsi="Arial"/>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8" w:lineRule="exact"/>
        <w:rPr>
          <w:sz w:val="20"/>
          <w:szCs w:val="20"/>
          <w:color w:val="auto"/>
        </w:rPr>
      </w:pPr>
    </w:p>
    <w:p>
      <w:pPr>
        <w:jc w:val="both"/>
        <w:ind w:right="120" w:firstLine="513"/>
        <w:spacing w:after="0" w:line="263" w:lineRule="auto"/>
        <w:rPr>
          <w:sz w:val="20"/>
          <w:szCs w:val="20"/>
          <w:color w:val="auto"/>
        </w:rPr>
      </w:pPr>
      <w:r>
        <w:rPr>
          <w:rFonts w:ascii="Arial" w:cs="Arial" w:eastAsia="Arial" w:hAnsi="Arial"/>
          <w:sz w:val="12"/>
          <w:szCs w:val="12"/>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194"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43" w:lineRule="exact"/>
        <w:rPr>
          <w:sz w:val="20"/>
          <w:szCs w:val="20"/>
          <w:color w:val="auto"/>
        </w:rPr>
      </w:pPr>
    </w:p>
    <w:p>
      <w:pPr>
        <w:ind w:firstLine="513"/>
        <w:spacing w:after="0" w:line="255" w:lineRule="auto"/>
        <w:rPr>
          <w:sz w:val="20"/>
          <w:szCs w:val="20"/>
          <w:color w:val="auto"/>
        </w:rPr>
      </w:pPr>
      <w:r>
        <w:rPr>
          <w:rFonts w:ascii="Arial" w:cs="Arial" w:eastAsia="Arial" w:hAnsi="Arial"/>
          <w:sz w:val="12"/>
          <w:szCs w:val="12"/>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countries require compliance with a number of procedural, documentary, fee payment and other similar requirements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protect the confidentiality of our trade secrets, our business and competitive position would be harmed.</w:t>
      </w:r>
    </w:p>
    <w:p>
      <w:pPr>
        <w:spacing w:after="0" w:line="78" w:lineRule="exact"/>
        <w:rPr>
          <w:sz w:val="20"/>
          <w:szCs w:val="20"/>
          <w:color w:val="auto"/>
        </w:rPr>
      </w:pPr>
    </w:p>
    <w:p>
      <w:pPr>
        <w:ind w:firstLine="513"/>
        <w:spacing w:after="0" w:line="281" w:lineRule="auto"/>
        <w:rPr>
          <w:sz w:val="20"/>
          <w:szCs w:val="20"/>
          <w:color w:val="auto"/>
        </w:rPr>
      </w:pPr>
      <w:r>
        <w:rPr>
          <w:rFonts w:ascii="Arial" w:cs="Arial" w:eastAsia="Arial" w:hAnsi="Arial"/>
          <w:sz w:val="11"/>
          <w:szCs w:val="11"/>
          <w:color w:val="auto"/>
        </w:rPr>
        <w:t>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As a result, we could lose our trade secrets and third parties could use our trade secrets to compete with our drug candidates and technology.</w:t>
      </w:r>
    </w:p>
    <w:p>
      <w:pPr>
        <w:spacing w:after="0" w:line="115" w:lineRule="exact"/>
        <w:rPr>
          <w:sz w:val="20"/>
          <w:szCs w:val="20"/>
          <w:color w:val="auto"/>
        </w:rPr>
      </w:pPr>
    </w:p>
    <w:p>
      <w:pPr>
        <w:ind w:right="100" w:firstLine="513"/>
        <w:spacing w:after="0" w:line="263" w:lineRule="auto"/>
        <w:rPr>
          <w:sz w:val="20"/>
          <w:szCs w:val="20"/>
          <w:color w:val="auto"/>
        </w:rPr>
      </w:pPr>
      <w:r>
        <w:rPr>
          <w:rFonts w:ascii="Arial" w:cs="Arial" w:eastAsia="Arial" w:hAnsi="Arial"/>
          <w:sz w:val="12"/>
          <w:szCs w:val="12"/>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122" w:lineRule="exact"/>
        <w:rPr>
          <w:sz w:val="20"/>
          <w:szCs w:val="20"/>
          <w:color w:val="auto"/>
        </w:rPr>
      </w:pPr>
    </w:p>
    <w:p>
      <w:pPr>
        <w:ind w:right="380" w:firstLine="513"/>
        <w:spacing w:after="0" w:line="276" w:lineRule="auto"/>
        <w:rPr>
          <w:sz w:val="20"/>
          <w:szCs w:val="20"/>
          <w:color w:val="auto"/>
        </w:rPr>
      </w:pPr>
      <w:r>
        <w:rPr>
          <w:rFonts w:ascii="Arial" w:cs="Arial" w:eastAsia="Arial" w:hAnsi="Arial"/>
          <w:sz w:val="12"/>
          <w:szCs w:val="12"/>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58" w:name="page59"/>
    <w:bookmarkEnd w:id="58"/>
    <w:p>
      <w:pPr>
        <w:spacing w:after="0"/>
        <w:rPr>
          <w:sz w:val="20"/>
          <w:szCs w:val="20"/>
          <w:color w:val="auto"/>
        </w:rPr>
      </w:pPr>
      <w:r>
        <w:rPr>
          <w:rFonts w:ascii="Arial" w:cs="Arial" w:eastAsia="Arial" w:hAnsi="Arial"/>
          <w:sz w:val="12"/>
          <w:szCs w:val="12"/>
          <w:color w:val="auto"/>
        </w:rPr>
        <w:t>compete with us. If any of our trade secrets were to be disclosed to or independently developed by a competitor or other third parties, our competitive position would be harmed.</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w:t>
      </w:r>
    </w:p>
    <w:p>
      <w:pPr>
        <w:spacing w:after="0" w:line="78" w:lineRule="exact"/>
        <w:rPr>
          <w:sz w:val="20"/>
          <w:szCs w:val="20"/>
          <w:color w:val="auto"/>
        </w:rPr>
      </w:pPr>
    </w:p>
    <w:p>
      <w:pPr>
        <w:ind w:right="540" w:firstLine="513"/>
        <w:spacing w:after="0" w:line="276"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3" w:lineRule="exact"/>
        <w:rPr>
          <w:sz w:val="20"/>
          <w:szCs w:val="20"/>
          <w:color w:val="auto"/>
        </w:rPr>
      </w:pPr>
    </w:p>
    <w:p>
      <w:pPr>
        <w:ind w:left="1020" w:right="140" w:hanging="515"/>
        <w:spacing w:after="0" w:line="276" w:lineRule="auto"/>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others may be able to make products that are similar to any drug candidates we may develop or utilize similar technology but that are not covered by the claims of the patents that we own or license now or in the future;</w:t>
      </w:r>
    </w:p>
    <w:p>
      <w:pPr>
        <w:spacing w:after="0" w:line="42" w:lineRule="exact"/>
        <w:rPr>
          <w:rFonts w:ascii="Arial" w:cs="Arial" w:eastAsia="Arial" w:hAnsi="Arial"/>
          <w:sz w:val="12"/>
          <w:szCs w:val="12"/>
          <w:color w:val="auto"/>
        </w:rPr>
      </w:pPr>
    </w:p>
    <w:p>
      <w:pPr>
        <w:ind w:left="1020" w:right="220" w:hanging="515"/>
        <w:spacing w:after="0" w:line="276" w:lineRule="auto"/>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or our current or future license partners or collaborators, might not have been the first to file patent applications covering certain of our or their inventions;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owned or licensed intellectual property rights;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it is possible that our pending owned patent applications or those that we may own or license in the future will not lead to issued patents;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issued patents that we may hold rights to in the future may be held invalid or unenforceable, including as a result of legal challenges by our competitors;</w:t>
      </w:r>
    </w:p>
    <w:p>
      <w:pPr>
        <w:spacing w:after="0" w:line="78"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may choose not to file a patent in order to maintain certain trade secrets or know-how, and a third party may subsequently file a patent covering such intellectual property.</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Should any of these events occur, they could have a material adverse effect on our business, financial condition, results of operations and prospects.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Regulatory Approval and Marketing of Our Drug Candidates</w:t>
      </w:r>
    </w:p>
    <w:p>
      <w:pPr>
        <w:spacing w:after="0" w:line="82"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b w:val="1"/>
          <w:bCs w:val="1"/>
          <w:i w:val="1"/>
          <w:iCs w:val="1"/>
          <w:color w:val="auto"/>
        </w:rPr>
        <w:t>The regulatory approval process of the FDA is lengthy, time-consuming and inherently unpredictable, and if we are ultimately unable to obtain marketing approval for our drug candidates, our business will be substantially harmed.</w:t>
      </w:r>
    </w:p>
    <w:p>
      <w:pPr>
        <w:spacing w:after="0" w:line="43"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Our drug candidates could be delayed or fail to receive marketing approval for many reasons, including the following:</w:t>
      </w:r>
    </w:p>
    <w:p>
      <w:pPr>
        <w:spacing w:after="0" w:line="78" w:lineRule="exact"/>
        <w:rPr>
          <w:sz w:val="20"/>
          <w:szCs w:val="20"/>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FDA may disagree with our interpretation of data from preclinical studies or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FDA may disagree with the design or implementation of our planned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data collected from clinical trials of our drug candidates may not be sufficient to support the submission of an NDA to the FDA or other submissions necessary to obtain marketing approval in the United States;</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we may be unable to demonstrate to the satisfaction of the FDA that a drug candidate is safe and effective for its proposed indication;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results of clinical trials may not meet the level of statistical significance required by the FDA for approval;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we may be unable to demonstrate that our drug candidates’ clinical and other benefits outweigh their safety risks;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19" w:right="339" w:bottom="1440" w:gutter="0" w:footer="0" w:header="0"/>
        </w:sectPr>
      </w:pPr>
    </w:p>
    <w:bookmarkStart w:id="59" w:name="page60"/>
    <w:bookmarkEnd w:id="59"/>
    <w:p>
      <w:pPr>
        <w:ind w:left="1020" w:hanging="515"/>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FDA may find deficiencies with or fail to approve the manufacturing processes or facilities of third-party manufacturers with which we contract for clinical and commercial supplies;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approval policies or regulations of the FDA may significantly change in a manner rendering our clinical data insufficient for approval.</w:t>
      </w:r>
    </w:p>
    <w:p>
      <w:pPr>
        <w:spacing w:after="0" w:line="150" w:lineRule="exact"/>
        <w:rPr>
          <w:sz w:val="20"/>
          <w:szCs w:val="20"/>
          <w:color w:val="auto"/>
        </w:rPr>
      </w:pPr>
    </w:p>
    <w:p>
      <w:pPr>
        <w:jc w:val="both"/>
        <w:ind w:right="240" w:firstLine="513"/>
        <w:spacing w:after="0" w:line="263" w:lineRule="auto"/>
        <w:rPr>
          <w:sz w:val="20"/>
          <w:szCs w:val="20"/>
          <w:color w:val="auto"/>
        </w:rPr>
      </w:pPr>
      <w:r>
        <w:rPr>
          <w:rFonts w:ascii="Arial" w:cs="Arial" w:eastAsia="Arial" w:hAnsi="Arial"/>
          <w:sz w:val="12"/>
          <w:szCs w:val="12"/>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122" w:lineRule="exact"/>
        <w:rPr>
          <w:sz w:val="20"/>
          <w:szCs w:val="20"/>
          <w:color w:val="auto"/>
        </w:rPr>
      </w:pPr>
    </w:p>
    <w:p>
      <w:pPr>
        <w:ind w:right="120" w:firstLine="513"/>
        <w:spacing w:after="0" w:line="259" w:lineRule="auto"/>
        <w:rPr>
          <w:sz w:val="20"/>
          <w:szCs w:val="20"/>
          <w:color w:val="auto"/>
        </w:rPr>
      </w:pPr>
      <w:r>
        <w:rPr>
          <w:rFonts w:ascii="Arial" w:cs="Arial" w:eastAsia="Arial" w:hAnsi="Arial"/>
          <w:sz w:val="12"/>
          <w:szCs w:val="12"/>
          <w:color w:val="auto"/>
        </w:rPr>
        <w:t>In addition, even if we were to obtain approval, regulatory authorities may approve any of our drug candidates for fewer or more limited indications than we request, or they may impose significant limitations in the form of narrow indications, warnings or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124" w:lineRule="exact"/>
        <w:rPr>
          <w:sz w:val="20"/>
          <w:szCs w:val="20"/>
          <w:color w:val="auto"/>
        </w:rPr>
      </w:pPr>
    </w:p>
    <w:p>
      <w:pPr>
        <w:ind w:firstLine="754"/>
        <w:spacing w:after="0" w:line="279" w:lineRule="auto"/>
        <w:rPr>
          <w:sz w:val="20"/>
          <w:szCs w:val="20"/>
          <w:color w:val="auto"/>
        </w:rPr>
      </w:pPr>
      <w:r>
        <w:rPr>
          <w:rFonts w:ascii="Arial" w:cs="Arial" w:eastAsia="Arial" w:hAnsi="Arial"/>
          <w:sz w:val="11"/>
          <w:szCs w:val="11"/>
          <w:color w:val="auto"/>
        </w:rPr>
        <w:t>We may submit an NDA for one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As described in the “Government Regulation” section,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If such confirmatory postmarketing trial fails to confirm the drug’s clinical profile or risks and benefits, the FDA may withdraw its approval of the drug.</w:t>
      </w:r>
    </w:p>
    <w:p>
      <w:pPr>
        <w:spacing w:after="0" w:line="117" w:lineRule="exact"/>
        <w:rPr>
          <w:sz w:val="20"/>
          <w:szCs w:val="20"/>
          <w:color w:val="auto"/>
        </w:rPr>
      </w:pPr>
    </w:p>
    <w:p>
      <w:pPr>
        <w:jc w:val="both"/>
        <w:ind w:right="40" w:firstLine="754"/>
        <w:spacing w:after="0" w:line="263" w:lineRule="auto"/>
        <w:rPr>
          <w:sz w:val="20"/>
          <w:szCs w:val="20"/>
          <w:color w:val="auto"/>
        </w:rPr>
      </w:pPr>
      <w:r>
        <w:rPr>
          <w:rFonts w:ascii="Arial" w:cs="Arial" w:eastAsia="Arial" w:hAnsi="Arial"/>
          <w:sz w:val="12"/>
          <w:szCs w:val="12"/>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Furthermore, even if we do obtain approval through the Accelerated Approval Program, we may not experience a faster development process, review or approval compared to conventional FDA procedures.</w:t>
      </w:r>
    </w:p>
    <w:p>
      <w:pPr>
        <w:spacing w:after="0" w:line="122" w:lineRule="exact"/>
        <w:rPr>
          <w:sz w:val="20"/>
          <w:szCs w:val="20"/>
          <w:color w:val="auto"/>
        </w:rPr>
      </w:pPr>
    </w:p>
    <w:p>
      <w:pPr>
        <w:ind w:right="40" w:firstLine="754"/>
        <w:spacing w:after="0" w:line="255" w:lineRule="auto"/>
        <w:rPr>
          <w:sz w:val="20"/>
          <w:szCs w:val="20"/>
          <w:color w:val="auto"/>
        </w:rPr>
      </w:pPr>
      <w:r>
        <w:rPr>
          <w:rFonts w:ascii="Arial" w:cs="Arial" w:eastAsia="Arial" w:hAnsi="Arial"/>
          <w:sz w:val="12"/>
          <w:szCs w:val="12"/>
          <w:color w:val="auto"/>
        </w:rPr>
        <w:t>Even if FDA reviews an NDA seeking accelerated approval, there can be no assurance that approval will be granted on a timely basis, or at all.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60" w:name="page61"/>
    <w:bookmarkEnd w:id="60"/>
    <w:p>
      <w:pPr>
        <w:jc w:val="both"/>
        <w:ind w:right="40" w:firstLine="754"/>
        <w:spacing w:after="0" w:line="259" w:lineRule="auto"/>
        <w:rPr>
          <w:sz w:val="20"/>
          <w:szCs w:val="20"/>
          <w:color w:val="auto"/>
        </w:rPr>
      </w:pPr>
      <w:r>
        <w:rPr>
          <w:rFonts w:ascii="Arial" w:cs="Arial" w:eastAsia="Arial" w:hAnsi="Arial"/>
          <w:sz w:val="12"/>
          <w:szCs w:val="12"/>
          <w:color w:val="auto"/>
        </w:rPr>
        <w:t>Even if we receive approval for one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124" w:lineRule="exact"/>
        <w:rPr>
          <w:sz w:val="20"/>
          <w:szCs w:val="20"/>
          <w:color w:val="auto"/>
        </w:rPr>
      </w:pPr>
    </w:p>
    <w:p>
      <w:pPr>
        <w:ind w:right="240" w:firstLine="513"/>
        <w:spacing w:after="0" w:line="276" w:lineRule="auto"/>
        <w:rPr>
          <w:sz w:val="20"/>
          <w:szCs w:val="20"/>
          <w:color w:val="auto"/>
        </w:rPr>
      </w:pPr>
      <w:r>
        <w:rPr>
          <w:rFonts w:ascii="Arial" w:cs="Arial" w:eastAsia="Arial" w:hAnsi="Arial"/>
          <w:sz w:val="12"/>
          <w:szCs w:val="12"/>
          <w:color w:val="auto"/>
        </w:rPr>
        <w:t>Any delay in obtaining, or inability to obtain, approval through the Accelerated Approval Program would delay or prevent commercialization of our products, and would materially adversely affect our business, financial condition, results of operations, cash flows and prospects.</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We, as a company, have limited experience in filing for and obtaining regulatory approval to initiate a clinical trial and we do not have experience in manufacturing or in quality assurance in order to market a new drug in the United States or in any other jurisdiction.</w:t>
      </w:r>
    </w:p>
    <w:p>
      <w:pPr>
        <w:spacing w:after="0" w:line="43" w:lineRule="exact"/>
        <w:rPr>
          <w:sz w:val="20"/>
          <w:szCs w:val="20"/>
          <w:color w:val="auto"/>
        </w:rPr>
      </w:pPr>
    </w:p>
    <w:p>
      <w:pPr>
        <w:jc w:val="both"/>
        <w:ind w:right="280" w:firstLine="513"/>
        <w:spacing w:after="0" w:line="340" w:lineRule="auto"/>
        <w:rPr>
          <w:sz w:val="20"/>
          <w:szCs w:val="20"/>
          <w:color w:val="auto"/>
        </w:rPr>
      </w:pPr>
      <w:r>
        <w:rPr>
          <w:rFonts w:ascii="Arial" w:cs="Arial" w:eastAsia="Arial" w:hAnsi="Arial"/>
          <w:sz w:val="10"/>
          <w:szCs w:val="10"/>
          <w:color w:val="auto"/>
        </w:rPr>
        <w:t>As a company, we have limited experience in filing for or obtaining regulatory approval to initiate clinical trials and we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78" w:lineRule="exact"/>
        <w:rPr>
          <w:sz w:val="20"/>
          <w:szCs w:val="20"/>
          <w:color w:val="auto"/>
        </w:rPr>
      </w:pPr>
    </w:p>
    <w:p>
      <w:pPr>
        <w:ind w:right="40" w:firstLine="513"/>
        <w:spacing w:after="0" w:line="254" w:lineRule="auto"/>
        <w:rPr>
          <w:sz w:val="20"/>
          <w:szCs w:val="20"/>
          <w:color w:val="auto"/>
        </w:rPr>
      </w:pPr>
      <w:r>
        <w:rPr>
          <w:rFonts w:ascii="Arial" w:cs="Arial" w:eastAsia="Arial" w:hAnsi="Arial"/>
          <w:sz w:val="12"/>
          <w:szCs w:val="12"/>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130" w:lineRule="exact"/>
        <w:rPr>
          <w:sz w:val="20"/>
          <w:szCs w:val="20"/>
          <w:color w:val="auto"/>
        </w:rPr>
      </w:pPr>
    </w:p>
    <w:p>
      <w:pPr>
        <w:ind w:firstLine="513"/>
        <w:spacing w:after="0" w:line="278" w:lineRule="auto"/>
        <w:rPr>
          <w:sz w:val="20"/>
          <w:szCs w:val="20"/>
          <w:color w:val="auto"/>
        </w:rPr>
      </w:pPr>
      <w:r>
        <w:rPr>
          <w:rFonts w:ascii="Arial" w:cs="Arial" w:eastAsia="Arial" w:hAnsi="Arial"/>
          <w:sz w:val="11"/>
          <w:szCs w:val="11"/>
          <w:color w:val="auto"/>
        </w:rPr>
        <w:t>The United Kingdom’s recent exit from the European Union (EU), commonly referred to as “Brexit,” continues to create political and economic uncertainty, particularly in the United Kingdom and the EU. Following the UK’s departure from the EU on January 31, 2020 and the expiry of a transition period on December 31, 2020, the UK is now being treated as a ‘third country’ by the EU and new UK legislation has taken effect. This means that some regulatory activities, such as batch testing and Qualified Person certification conducted in Great Britain is no longer recognized in the EU. However, the UK and EU have concluded a Trade and Cooperation Agreement, which, subject to ratification by the EU, has limited the immediate disruption to the supply of medicines, particularly by enabling tariff and quota-free trade between the UK and the EU (provided that the rules of origin requirements are met), and has streamlined some issues, for example by enabling mutual recognition of good manufacturing practice (GMP)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to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 - adding an extra layer of regulatory complexity. A consequence of the withdrawal of the United Kingdom from the EU is that companies now need to comply with a separate UK regulatory legal framework in order to commercialize medicinal products in Great Britain (namely, England, Wales and Scotland, as EU law continues to apply in Northern Ireland). It is also important to note that obtaining a marketing authorization is not sufficient to gain effective access to the market in the EU and in the UK; companies still need to agree a reimbursement price for the products and in some jurisdictions, such as the UK and Germany, a further positive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61" w:name="page62"/>
    <w:bookmarkEnd w:id="61"/>
    <w:p>
      <w:pPr>
        <w:spacing w:after="0"/>
        <w:rPr>
          <w:sz w:val="20"/>
          <w:szCs w:val="20"/>
          <w:color w:val="auto"/>
        </w:rPr>
      </w:pPr>
      <w:r>
        <w:rPr>
          <w:rFonts w:ascii="Arial" w:cs="Arial" w:eastAsia="Arial" w:hAnsi="Arial"/>
          <w:sz w:val="12"/>
          <w:szCs w:val="12"/>
          <w:color w:val="auto"/>
        </w:rPr>
        <w:t>recommendation from health technology on cost-effectiveness is required for the products to be actually prescribed and reimbursed by the respective national health systems (see below).</w:t>
      </w:r>
    </w:p>
    <w:p>
      <w:pPr>
        <w:spacing w:after="0" w:line="150" w:lineRule="exact"/>
        <w:rPr>
          <w:sz w:val="20"/>
          <w:szCs w:val="20"/>
          <w:color w:val="auto"/>
        </w:rPr>
      </w:pPr>
    </w:p>
    <w:p>
      <w:pPr>
        <w:ind w:right="80" w:firstLine="513"/>
        <w:spacing w:after="0" w:line="263" w:lineRule="auto"/>
        <w:rPr>
          <w:sz w:val="20"/>
          <w:szCs w:val="20"/>
          <w:color w:val="auto"/>
        </w:rPr>
      </w:pPr>
      <w:r>
        <w:rPr>
          <w:rFonts w:ascii="Arial" w:cs="Arial" w:eastAsia="Arial" w:hAnsi="Arial"/>
          <w:sz w:val="12"/>
          <w:szCs w:val="12"/>
          <w:color w:val="auto"/>
        </w:rPr>
        <w:t>If we fail to comply with the regulatory requirements in international markets and thus receive applicable marketing approvals, our target market will be reduced, our ability to realize the full market potential of our drug candidates will be harmed and our business will be adversely affected. We may not obtain foreign regulatory approvals on a timely basis, if at all. Our failure to obtain approval of any of our drug candidates by regulatory authorities in another country may significantly diminish the commercial prospects of that drug candidate and our business prospects could decline.</w:t>
      </w:r>
    </w:p>
    <w:p>
      <w:pPr>
        <w:spacing w:after="0" w:line="194"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43" w:lineRule="exact"/>
        <w:rPr>
          <w:sz w:val="20"/>
          <w:szCs w:val="20"/>
          <w:color w:val="auto"/>
        </w:rPr>
      </w:pPr>
    </w:p>
    <w:p>
      <w:pPr>
        <w:ind w:firstLine="513"/>
        <w:spacing w:after="0" w:line="340" w:lineRule="auto"/>
        <w:rPr>
          <w:sz w:val="20"/>
          <w:szCs w:val="20"/>
          <w:color w:val="auto"/>
        </w:rPr>
      </w:pPr>
      <w:r>
        <w:rPr>
          <w:rFonts w:ascii="Arial" w:cs="Arial" w:eastAsia="Arial" w:hAnsi="Arial"/>
          <w:sz w:val="10"/>
          <w:szCs w:val="10"/>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87"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to monitor and ensure compliance with cGMPs.</w:t>
      </w:r>
    </w:p>
    <w:p>
      <w:pPr>
        <w:spacing w:after="0" w:line="122" w:lineRule="exact"/>
        <w:rPr>
          <w:sz w:val="20"/>
          <w:szCs w:val="20"/>
          <w:color w:val="auto"/>
        </w:rPr>
      </w:pPr>
    </w:p>
    <w:p>
      <w:pPr>
        <w:ind w:right="140" w:firstLine="513"/>
        <w:spacing w:after="0" w:line="276" w:lineRule="auto"/>
        <w:rPr>
          <w:sz w:val="20"/>
          <w:szCs w:val="20"/>
          <w:color w:val="auto"/>
        </w:rPr>
      </w:pPr>
      <w:r>
        <w:rPr>
          <w:rFonts w:ascii="Arial" w:cs="Arial" w:eastAsia="Arial" w:hAnsi="Arial"/>
          <w:sz w:val="12"/>
          <w:szCs w:val="12"/>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115"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94" w:lineRule="exact"/>
        <w:rPr>
          <w:sz w:val="20"/>
          <w:szCs w:val="20"/>
          <w:color w:val="auto"/>
        </w:rPr>
      </w:pPr>
    </w:p>
    <w:p>
      <w:pPr>
        <w:ind w:right="440"/>
        <w:spacing w:after="0" w:line="323" w:lineRule="auto"/>
        <w:rPr>
          <w:sz w:val="20"/>
          <w:szCs w:val="20"/>
          <w:color w:val="auto"/>
        </w:rPr>
      </w:pPr>
      <w:r>
        <w:rPr>
          <w:rFonts w:ascii="Arial" w:cs="Arial" w:eastAsia="Arial" w:hAnsi="Arial"/>
          <w:sz w:val="11"/>
          <w:szCs w:val="11"/>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20" w:lineRule="exact"/>
        <w:rPr>
          <w:sz w:val="20"/>
          <w:szCs w:val="20"/>
          <w:color w:val="auto"/>
        </w:rPr>
      </w:pPr>
    </w:p>
    <w:p>
      <w:pPr>
        <w:ind w:right="40" w:firstLine="513"/>
        <w:spacing w:after="0" w:line="254" w:lineRule="auto"/>
        <w:rPr>
          <w:sz w:val="20"/>
          <w:szCs w:val="20"/>
          <w:color w:val="auto"/>
        </w:rPr>
      </w:pPr>
      <w:r>
        <w:rPr>
          <w:rFonts w:ascii="Arial" w:cs="Arial" w:eastAsia="Arial" w:hAnsi="Arial"/>
          <w:sz w:val="12"/>
          <w:szCs w:val="12"/>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and other regulatory authorities (such as the MHRA, the UK regulatory authority).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 and trace,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a risk evaluation and mitigation strategy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58" w:lineRule="exact"/>
        <w:rPr>
          <w:sz w:val="20"/>
          <w:szCs w:val="20"/>
          <w:color w:val="auto"/>
        </w:rPr>
      </w:pPr>
    </w:p>
    <w:p>
      <w:pPr>
        <w:ind w:right="260" w:firstLine="513"/>
        <w:spacing w:after="0" w:line="259" w:lineRule="auto"/>
        <w:rPr>
          <w:sz w:val="20"/>
          <w:szCs w:val="20"/>
          <w:color w:val="auto"/>
        </w:rPr>
      </w:pPr>
      <w:r>
        <w:rPr>
          <w:rFonts w:ascii="Arial" w:cs="Arial" w:eastAsia="Arial" w:hAnsi="Arial"/>
          <w:sz w:val="12"/>
          <w:szCs w:val="12"/>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62" w:name="page63"/>
    <w:bookmarkEnd w:id="62"/>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regulatory authorities may withdraw their approval of the drug or seize the drug;</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we, or any future collaborators, may be required to recall the drug, change the way the drug is administered or conduct additional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additional restrictions may be imposed on the marketing of, or the manufacturing processes for, the particular drug;</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we may be subject to fines, injunctions or the imposition of civil or criminal penalties;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regulatory authorities may require the addition of labeling statements, such as a “black box” warning or a contraindication;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we, or any future collaborators, may be required to create a Medication Guide outlining the risks of the previously unidentified side effects for distribution to patients;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we, or any future collaborators, could be sued and held liable for harm caused to patients;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drug may become less competitive in the marketplace;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reputation may suffer.</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Any of these events could have a material and adverse effect on our operations and business and could adversely impact our stock price.</w:t>
      </w:r>
    </w:p>
    <w:p>
      <w:pPr>
        <w:spacing w:after="0" w:line="150"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28" w:lineRule="exact"/>
        <w:rPr>
          <w:sz w:val="20"/>
          <w:szCs w:val="20"/>
          <w:color w:val="auto"/>
        </w:rPr>
      </w:pPr>
    </w:p>
    <w:p>
      <w:pPr>
        <w:ind w:right="220" w:firstLine="513"/>
        <w:spacing w:after="0" w:line="276" w:lineRule="auto"/>
        <w:rPr>
          <w:sz w:val="20"/>
          <w:szCs w:val="20"/>
          <w:color w:val="auto"/>
        </w:rPr>
      </w:pPr>
      <w:r>
        <w:rPr>
          <w:rFonts w:ascii="Arial" w:cs="Arial" w:eastAsia="Arial" w:hAnsi="Arial"/>
          <w:sz w:val="12"/>
          <w:szCs w:val="12"/>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43" w:lineRule="exact"/>
        <w:rPr>
          <w:sz w:val="20"/>
          <w:szCs w:val="20"/>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restrictions on such products, manufacturers or manufacturing processes;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restrictions and warnings on the labeling or marketing of a product;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restrictions on product distribution or use;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requirements to conduct post-marketing studies or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warning letters or untitled letters;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withdrawal of the products from the market;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refusal to approve pending applications or supplements to approved applications that we submit;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recall of products;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fines, restitution or disgorgement of profits or revenues;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suspension or withdrawal of marketing approvals;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suspension of any ongoing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damage to relationships with any potential collaborators;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unfavorable press coverage and damage to our reputation;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refusal to permit the import or export of our products;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product seizure;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 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litigation involving patients using our products.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63" w:name="page64"/>
    <w:bookmarkEnd w:id="63"/>
    <w:p>
      <w:pPr>
        <w:ind w:right="20" w:firstLine="513"/>
        <w:spacing w:after="0" w:line="263" w:lineRule="auto"/>
        <w:rPr>
          <w:sz w:val="20"/>
          <w:szCs w:val="20"/>
          <w:color w:val="auto"/>
        </w:rPr>
      </w:pPr>
      <w:r>
        <w:rPr>
          <w:rFonts w:ascii="Arial" w:cs="Arial" w:eastAsia="Arial" w:hAnsi="Arial"/>
          <w:sz w:val="12"/>
          <w:szCs w:val="12"/>
          <w:color w:val="auto"/>
        </w:rPr>
        <w:t>Non-compliance with EU requirements regarding safety monitoring or pharmacovigilance, and with requirements related to the development of products for the pediatric population (as explained further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122" w:lineRule="exact"/>
        <w:rPr>
          <w:sz w:val="20"/>
          <w:szCs w:val="20"/>
          <w:color w:val="auto"/>
        </w:rPr>
      </w:pPr>
    </w:p>
    <w:p>
      <w:pPr>
        <w:ind w:right="60" w:firstLine="513"/>
        <w:spacing w:after="0" w:line="256" w:lineRule="auto"/>
        <w:rPr>
          <w:sz w:val="20"/>
          <w:szCs w:val="20"/>
          <w:color w:val="auto"/>
        </w:rPr>
      </w:pPr>
      <w:r>
        <w:rPr>
          <w:rFonts w:ascii="Arial" w:cs="Arial" w:eastAsia="Arial" w:hAnsi="Arial"/>
          <w:sz w:val="12"/>
          <w:szCs w:val="12"/>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28"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b w:val="1"/>
          <w:bCs w:val="1"/>
          <w:i w:val="1"/>
          <w:iCs w:val="1"/>
          <w:color w:val="auto"/>
        </w:rPr>
        <w:t>If we decide to seek Orphan Drug Designation for any of our current or future product candidates, we may be unsuccessful or may be unable to maintain the benefits associated with Orphan Drug Designation, including the potential for supplemental market exclusivity.</w:t>
      </w:r>
    </w:p>
    <w:p>
      <w:pPr>
        <w:spacing w:after="0" w:line="115" w:lineRule="exact"/>
        <w:rPr>
          <w:sz w:val="20"/>
          <w:szCs w:val="20"/>
          <w:color w:val="auto"/>
        </w:rPr>
      </w:pPr>
    </w:p>
    <w:p>
      <w:pPr>
        <w:ind w:right="100" w:firstLine="513"/>
        <w:spacing w:after="0" w:line="283" w:lineRule="auto"/>
        <w:rPr>
          <w:sz w:val="20"/>
          <w:szCs w:val="20"/>
          <w:color w:val="auto"/>
        </w:rPr>
      </w:pPr>
      <w:r>
        <w:rPr>
          <w:rFonts w:ascii="Arial" w:cs="Arial" w:eastAsia="Arial" w:hAnsi="Arial"/>
          <w:sz w:val="11"/>
          <w:szCs w:val="11"/>
          <w:color w:val="auto"/>
        </w:rPr>
        <w:t>We may seek Orphan Drug Designation for one or more of our current or future product candidates. Regulatory authorities in some jurisdictions, including the United States and Europe,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and licensure process.</w:t>
      </w:r>
    </w:p>
    <w:p>
      <w:pPr>
        <w:spacing w:after="0" w:line="113" w:lineRule="exact"/>
        <w:rPr>
          <w:sz w:val="20"/>
          <w:szCs w:val="20"/>
          <w:color w:val="auto"/>
        </w:rPr>
      </w:pPr>
    </w:p>
    <w:p>
      <w:pPr>
        <w:ind w:right="180" w:firstLine="513"/>
        <w:spacing w:after="0" w:line="285" w:lineRule="auto"/>
        <w:rPr>
          <w:sz w:val="20"/>
          <w:szCs w:val="20"/>
          <w:color w:val="auto"/>
        </w:rPr>
      </w:pPr>
      <w:r>
        <w:rPr>
          <w:rFonts w:ascii="Arial" w:cs="Arial" w:eastAsia="Arial" w:hAnsi="Arial"/>
          <w:sz w:val="11"/>
          <w:szCs w:val="11"/>
          <w:color w:val="auto"/>
        </w:rPr>
        <w:t>If a product that has Orphan Drug Designation subsequently receives the first FDA approval or licensure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product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113" w:lineRule="exact"/>
        <w:rPr>
          <w:sz w:val="20"/>
          <w:szCs w:val="20"/>
          <w:color w:val="auto"/>
        </w:rPr>
      </w:pPr>
    </w:p>
    <w:p>
      <w:pPr>
        <w:ind w:right="200" w:firstLine="513"/>
        <w:spacing w:after="0" w:line="259" w:lineRule="auto"/>
        <w:rPr>
          <w:sz w:val="20"/>
          <w:szCs w:val="20"/>
          <w:color w:val="auto"/>
        </w:rPr>
      </w:pPr>
      <w:r>
        <w:rPr>
          <w:rFonts w:ascii="Arial" w:cs="Arial" w:eastAsia="Arial" w:hAnsi="Arial"/>
          <w:sz w:val="12"/>
          <w:szCs w:val="12"/>
          <w:color w:val="auto"/>
        </w:rPr>
        <w:t>We may seek Orphan Drug Designation for our product candidates in additional orphan indications in which there is a medically plausible basis for the use of these product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115" w:lineRule="exact"/>
        <w:rPr>
          <w:sz w:val="20"/>
          <w:szCs w:val="20"/>
          <w:color w:val="auto"/>
        </w:rPr>
      </w:pPr>
    </w:p>
    <w:p>
      <w:pPr>
        <w:ind w:right="80" w:firstLine="623"/>
        <w:spacing w:after="0" w:line="256" w:lineRule="auto"/>
        <w:rPr>
          <w:sz w:val="20"/>
          <w:szCs w:val="20"/>
          <w:color w:val="auto"/>
        </w:rPr>
      </w:pPr>
      <w:r>
        <w:rPr>
          <w:rFonts w:ascii="Arial" w:cs="Arial" w:eastAsia="Arial" w:hAnsi="Arial"/>
          <w:sz w:val="12"/>
          <w:szCs w:val="12"/>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64" w:name="page65"/>
    <w:bookmarkEnd w:id="64"/>
    <w:p>
      <w:pPr>
        <w:spacing w:after="0"/>
        <w:rPr>
          <w:sz w:val="20"/>
          <w:szCs w:val="20"/>
          <w:color w:val="auto"/>
        </w:rPr>
      </w:pPr>
      <w:r>
        <w:rPr>
          <w:rFonts w:ascii="Arial" w:cs="Arial" w:eastAsia="Arial" w:hAnsi="Arial"/>
          <w:sz w:val="11"/>
          <w:szCs w:val="11"/>
          <w:color w:val="auto"/>
        </w:rPr>
        <w:t>generally able to offer them at lower prices. Thus, following the introduction of a generic drug, a significant percentage of the sales of any branded product or reference-listed drug is typically lost to the generic drug.</w:t>
      </w:r>
    </w:p>
    <w:p>
      <w:pPr>
        <w:spacing w:after="0" w:line="162" w:lineRule="exact"/>
        <w:rPr>
          <w:sz w:val="20"/>
          <w:szCs w:val="20"/>
          <w:color w:val="auto"/>
        </w:rPr>
      </w:pPr>
    </w:p>
    <w:p>
      <w:pPr>
        <w:ind w:firstLine="623"/>
        <w:spacing w:after="0" w:line="253" w:lineRule="auto"/>
        <w:rPr>
          <w:sz w:val="20"/>
          <w:szCs w:val="20"/>
          <w:color w:val="auto"/>
        </w:rPr>
      </w:pPr>
      <w:r>
        <w:rPr>
          <w:rFonts w:ascii="Arial" w:cs="Arial" w:eastAsia="Arial" w:hAnsi="Arial"/>
          <w:sz w:val="12"/>
          <w:szCs w:val="12"/>
          <w:color w:val="auto"/>
        </w:rPr>
        <w:t>The FDA may not approve an ANDA for a generic drug until any applicable period of non-patent exclusivity for the reference-listed drug has expired. The Federal Food, Drug, and Cosmetic Act (FDCA), provides a period of five years of non-patent exclusivity for a new drug containing a new chemical entity (NCE). During the exclusivity period, the FDA may not accept for review an ANDA or a 505(b)(2) NDA submitted by another company for another version of such product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product candidate. This three-year exclusivity covers only the conditions associated with the new clinical investigations and does not prohibit the FDA from approving ANDAs for product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131" w:lineRule="exact"/>
        <w:rPr>
          <w:sz w:val="20"/>
          <w:szCs w:val="20"/>
          <w:color w:val="auto"/>
        </w:rPr>
      </w:pPr>
    </w:p>
    <w:p>
      <w:pPr>
        <w:ind w:right="20" w:firstLine="623"/>
        <w:spacing w:after="0" w:line="255" w:lineRule="auto"/>
        <w:rPr>
          <w:sz w:val="20"/>
          <w:szCs w:val="20"/>
          <w:color w:val="auto"/>
        </w:rPr>
      </w:pPr>
      <w:r>
        <w:rPr>
          <w:rFonts w:ascii="Arial" w:cs="Arial" w:eastAsia="Arial" w:hAnsi="Arial"/>
          <w:sz w:val="12"/>
          <w:szCs w:val="12"/>
          <w:color w:val="auto"/>
        </w:rPr>
        <w:t>In the European Union and the UK, innovative medicinal products are authorized based on a full marketing authorization application (as opposed to an application for marketing authorization that relies on data in the marketing 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(and where applicable the result of the pediatric studies unless a waiver or a deferral has been obtained – as described further below). In the EU, these applications must be made pursuant to either Directive 2001/83/EC (for the decentralised procedure or the mutual recognition procedure) or Regulation 726/2004(for the centralised procedure). In the UK, there are various procedures available under the new regulatory legal framework to pharmaceutical products, including the possibility to recognized assessment conducted by the European authorities under certain circumstance or by applying directly to the UK regulatory authority (the MHRA).</w:t>
      </w:r>
    </w:p>
    <w:p>
      <w:pPr>
        <w:spacing w:after="0" w:line="128" w:lineRule="exact"/>
        <w:rPr>
          <w:sz w:val="20"/>
          <w:szCs w:val="20"/>
          <w:color w:val="auto"/>
        </w:rPr>
      </w:pPr>
    </w:p>
    <w:p>
      <w:pPr>
        <w:ind w:right="40" w:firstLine="623"/>
        <w:spacing w:after="0" w:line="278" w:lineRule="auto"/>
        <w:rPr>
          <w:sz w:val="20"/>
          <w:szCs w:val="20"/>
          <w:color w:val="auto"/>
        </w:rPr>
      </w:pPr>
      <w:r>
        <w:rPr>
          <w:rFonts w:ascii="Arial" w:cs="Arial" w:eastAsia="Arial" w:hAnsi="Arial"/>
          <w:sz w:val="11"/>
          <w:szCs w:val="11"/>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EEA). During this period, applicants for approval of generics or biosimilars cannot rely on data contained in the marketing authorization dossier submitted for the already authorized, or reference, medicinal product to support their application. After expiry of the eight 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European Union market, but a generic or biosimilar marketing authorization application can be submitted to the competent regulatory authorities in the European Union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 The period of regulatory data protection and marketing protection applies in the UK (running from the date of the first authorization in Great Britain).</w:t>
      </w:r>
    </w:p>
    <w:p>
      <w:pPr>
        <w:spacing w:after="0" w:line="116" w:lineRule="exact"/>
        <w:rPr>
          <w:sz w:val="20"/>
          <w:szCs w:val="20"/>
          <w:color w:val="auto"/>
        </w:rPr>
      </w:pPr>
    </w:p>
    <w:p>
      <w:pPr>
        <w:ind w:right="60" w:firstLine="623"/>
        <w:spacing w:after="0" w:line="285" w:lineRule="auto"/>
        <w:rPr>
          <w:sz w:val="20"/>
          <w:szCs w:val="20"/>
          <w:color w:val="auto"/>
        </w:rPr>
      </w:pPr>
      <w:r>
        <w:rPr>
          <w:rFonts w:ascii="Arial" w:cs="Arial" w:eastAsia="Arial" w:hAnsi="Arial"/>
          <w:sz w:val="11"/>
          <w:szCs w:val="11"/>
          <w:color w:val="auto"/>
        </w:rPr>
        <w:t>In the EU, pursuant to Regulation 1901/2006, and in the UK pursuant to the Human Medicines Regulations 2012 (as amended), marketing authorization applications must include pediatric data based on pediatric investigation plans agreed with the EMA if the MAA concerns (i) a new active substance, or (ii) a new indication, pharmacological form, route of administration (where product is protected by an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65" w:name="page66"/>
    <w:bookmarkEnd w:id="65"/>
    <w:p>
      <w:pPr>
        <w:ind w:right="280"/>
        <w:spacing w:after="0" w:line="276" w:lineRule="auto"/>
        <w:rPr>
          <w:sz w:val="20"/>
          <w:szCs w:val="20"/>
          <w:color w:val="auto"/>
        </w:rPr>
      </w:pPr>
      <w:r>
        <w:rPr>
          <w:rFonts w:ascii="Arial" w:cs="Arial" w:eastAsia="Arial" w:hAnsi="Arial"/>
          <w:sz w:val="12"/>
          <w:szCs w:val="12"/>
          <w:color w:val="auto"/>
        </w:rPr>
        <w:t>the results of all studies conducted in compliance with an agreed pediatric investigation plan, the holder of the patent or supplementary protection certificate may be entitled to a six-month extension to the supplementary protection certificate.</w:t>
      </w:r>
    </w:p>
    <w:p>
      <w:pPr>
        <w:spacing w:after="0" w:line="115" w:lineRule="exact"/>
        <w:rPr>
          <w:sz w:val="20"/>
          <w:szCs w:val="20"/>
          <w:color w:val="auto"/>
        </w:rPr>
      </w:pPr>
    </w:p>
    <w:p>
      <w:pPr>
        <w:ind w:right="60" w:firstLine="623"/>
        <w:spacing w:after="0" w:line="285" w:lineRule="auto"/>
        <w:rPr>
          <w:sz w:val="20"/>
          <w:szCs w:val="20"/>
          <w:color w:val="auto"/>
        </w:rPr>
      </w:pPr>
      <w:r>
        <w:rPr>
          <w:rFonts w:ascii="Arial" w:cs="Arial" w:eastAsia="Arial" w:hAnsi="Arial"/>
          <w:sz w:val="11"/>
          <w:szCs w:val="11"/>
          <w:color w:val="auto"/>
        </w:rPr>
        <w:t>Products receiving orphan designation in the European Union may receive 10 years of orphan market exclusivity. Applications must first satisfy the orphan designation criteria and apply for orphan designation before making the application for marketing authorization. The applicant must then successfully maintain the orphan designation at the time of the marketing authorization application in order to qualify for 10 years orphan market exclusivity. During this 10-year period, the competent authorities of the European Union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2"/>
          <w:szCs w:val="12"/>
          <w:color w:val="auto"/>
        </w:rPr>
        <w:t>There are also three exceptions to the orphan market exclusivity principle. Marketing authorization may be granted to a similar medicinal product for the same orphan therapeutic indication if:</w:t>
      </w:r>
    </w:p>
    <w:p>
      <w:pPr>
        <w:spacing w:after="0" w:line="78" w:lineRule="exact"/>
        <w:rPr>
          <w:sz w:val="20"/>
          <w:szCs w:val="20"/>
          <w:color w:val="auto"/>
        </w:rPr>
      </w:pPr>
    </w:p>
    <w:p>
      <w:pPr>
        <w:ind w:left="1020" w:hanging="515"/>
        <w:spacing w:after="0"/>
        <w:tabs>
          <w:tab w:leader="none" w:pos="1020"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second applicant can establish in its application that its medicinal product, although similar to the orphan medicinal product already authorized, is safer, more effective or otherwise clinically superior;</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holder of the marketing authorization for the original orphan medicinal product consents to a second orphan medicinal product application; 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holder of the marketing authorization for the original orphan medicinal product cannot supply sufficient quantities of orphan medicinal product.</w:t>
      </w:r>
    </w:p>
    <w:p>
      <w:pPr>
        <w:spacing w:after="0" w:line="150" w:lineRule="exact"/>
        <w:rPr>
          <w:sz w:val="20"/>
          <w:szCs w:val="20"/>
          <w:color w:val="auto"/>
        </w:rPr>
      </w:pPr>
    </w:p>
    <w:p>
      <w:pPr>
        <w:jc w:val="both"/>
        <w:ind w:right="80" w:firstLine="623"/>
        <w:spacing w:after="0" w:line="263" w:lineRule="auto"/>
        <w:rPr>
          <w:sz w:val="20"/>
          <w:szCs w:val="20"/>
          <w:color w:val="auto"/>
        </w:rPr>
      </w:pPr>
      <w:r>
        <w:rPr>
          <w:rFonts w:ascii="Arial" w:cs="Arial" w:eastAsia="Arial" w:hAnsi="Arial"/>
          <w:sz w:val="12"/>
          <w:szCs w:val="12"/>
          <w:color w:val="auto"/>
        </w:rPr>
        <w:t>An orphan product can also obtain an additional two years of orphan market exclusivity in the European Union if the marketing authorization application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12"/>
          <w:szCs w:val="12"/>
          <w:color w:val="auto"/>
        </w:rPr>
        <w:t>Although the UK has left the EU, its regulatory legal framework provides for similar periods of protection (namely regulatory data protection, marketing protection and market exclusivity).</w:t>
      </w:r>
    </w:p>
    <w:p>
      <w:pPr>
        <w:spacing w:after="0" w:line="150"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94"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20" w:lineRule="exact"/>
        <w:rPr>
          <w:sz w:val="20"/>
          <w:szCs w:val="20"/>
          <w:color w:val="auto"/>
        </w:rPr>
      </w:pPr>
    </w:p>
    <w:p>
      <w:pPr>
        <w:ind w:right="520" w:firstLine="513"/>
        <w:spacing w:after="0" w:line="276" w:lineRule="auto"/>
        <w:rPr>
          <w:sz w:val="20"/>
          <w:szCs w:val="20"/>
          <w:color w:val="auto"/>
        </w:rPr>
      </w:pPr>
      <w:r>
        <w:rPr>
          <w:rFonts w:ascii="Arial" w:cs="Arial" w:eastAsia="Arial" w:hAnsi="Arial"/>
          <w:sz w:val="12"/>
          <w:szCs w:val="12"/>
          <w:color w:val="auto"/>
        </w:rPr>
        <w:t>Our arrangements with third-party payors, physicians, and other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Applicable U.S. federal and state healthcare laws and regulations include the following:</w:t>
      </w:r>
    </w:p>
    <w:p>
      <w:pPr>
        <w:spacing w:after="0" w:line="78" w:lineRule="exact"/>
        <w:rPr>
          <w:sz w:val="20"/>
          <w:szCs w:val="20"/>
          <w:color w:val="auto"/>
        </w:rPr>
      </w:pPr>
    </w:p>
    <w:p>
      <w:pPr>
        <w:ind w:left="1020" w:hanging="515"/>
        <w:spacing w:after="0" w:line="259" w:lineRule="auto"/>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66" w:name="page67"/>
    <w:bookmarkEnd w:id="66"/>
    <w:p>
      <w:pPr>
        <w:ind w:left="1020"/>
        <w:spacing w:after="0"/>
        <w:rPr>
          <w:sz w:val="20"/>
          <w:szCs w:val="20"/>
          <w:color w:val="auto"/>
        </w:rPr>
      </w:pPr>
      <w:r>
        <w:rPr>
          <w:rFonts w:ascii="Arial" w:cs="Arial" w:eastAsia="Arial" w:hAnsi="Arial"/>
          <w:sz w:val="12"/>
          <w:szCs w:val="12"/>
          <w:color w:val="auto"/>
        </w:rPr>
        <w:t>significant civil monetary penalties and criminal fines, as well as imprisonment and exclusion from participation in federal healthcare programs;</w:t>
      </w:r>
    </w:p>
    <w:p>
      <w:pPr>
        <w:spacing w:after="0" w:line="78" w:lineRule="exact"/>
        <w:rPr>
          <w:sz w:val="20"/>
          <w:szCs w:val="20"/>
          <w:color w:val="auto"/>
        </w:rPr>
      </w:pPr>
    </w:p>
    <w:p>
      <w:pPr>
        <w:ind w:left="1020" w:hanging="515"/>
        <w:spacing w:after="0" w:line="285" w:lineRule="auto"/>
        <w:tabs>
          <w:tab w:leader="none" w:pos="10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 xml:space="preserve">the federal civil False Claims Act, which may be enforced through civil whistleblower or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41" w:lineRule="exact"/>
        <w:rPr>
          <w:rFonts w:ascii="Arial" w:cs="Arial" w:eastAsia="Arial" w:hAnsi="Arial"/>
          <w:sz w:val="11"/>
          <w:szCs w:val="11"/>
          <w:color w:val="auto"/>
        </w:rPr>
      </w:pPr>
    </w:p>
    <w:p>
      <w:pPr>
        <w:ind w:left="1020" w:right="200" w:hanging="515"/>
        <w:spacing w:after="0" w:line="259" w:lineRule="auto"/>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52" w:lineRule="exact"/>
        <w:rPr>
          <w:rFonts w:ascii="Arial" w:cs="Arial" w:eastAsia="Arial" w:hAnsi="Arial"/>
          <w:sz w:val="12"/>
          <w:szCs w:val="12"/>
          <w:color w:val="auto"/>
        </w:rPr>
      </w:pPr>
    </w:p>
    <w:p>
      <w:pPr>
        <w:jc w:val="both"/>
        <w:ind w:left="1020" w:hanging="515"/>
        <w:spacing w:after="0" w:line="263" w:lineRule="auto"/>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federal criminal statutes created by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50" w:lineRule="exact"/>
        <w:rPr>
          <w:rFonts w:ascii="Arial" w:cs="Arial" w:eastAsia="Arial" w:hAnsi="Arial"/>
          <w:sz w:val="12"/>
          <w:szCs w:val="12"/>
          <w:color w:val="auto"/>
        </w:rPr>
      </w:pPr>
    </w:p>
    <w:p>
      <w:pPr>
        <w:ind w:left="1020" w:right="80" w:hanging="515"/>
        <w:spacing w:after="0" w:line="276" w:lineRule="auto"/>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42" w:lineRule="exact"/>
        <w:rPr>
          <w:rFonts w:ascii="Arial" w:cs="Arial" w:eastAsia="Arial" w:hAnsi="Arial"/>
          <w:sz w:val="12"/>
          <w:szCs w:val="12"/>
          <w:color w:val="auto"/>
        </w:rPr>
      </w:pPr>
    </w:p>
    <w:p>
      <w:pPr>
        <w:ind w:left="1020" w:right="300" w:hanging="515"/>
        <w:spacing w:after="0" w:line="276" w:lineRule="auto"/>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federal Food, Drug, and Cosmetic Act which among other things, strictly regulates drug marketing, prohibits manufacturers from marketing such products for off-label use and regulates the distribution of samples;</w:t>
      </w:r>
    </w:p>
    <w:p>
      <w:pPr>
        <w:spacing w:after="0" w:line="42" w:lineRule="exact"/>
        <w:rPr>
          <w:rFonts w:ascii="Arial" w:cs="Arial" w:eastAsia="Arial" w:hAnsi="Arial"/>
          <w:sz w:val="12"/>
          <w:szCs w:val="12"/>
          <w:color w:val="auto"/>
        </w:rPr>
      </w:pPr>
    </w:p>
    <w:p>
      <w:pPr>
        <w:ind w:left="1020" w:right="20" w:hanging="515"/>
        <w:spacing w:after="0" w:line="276" w:lineRule="auto"/>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federal and state laws that require pharmaceutical manufacturers to report certain calculated product prices to the government or provide certain discounts or rebates to government authorities or private entities, often as a condition of product coverage and reimbursement under federal healthcare programs</w:t>
      </w:r>
    </w:p>
    <w:p>
      <w:pPr>
        <w:spacing w:after="0" w:line="42" w:lineRule="exact"/>
        <w:rPr>
          <w:rFonts w:ascii="Arial" w:cs="Arial" w:eastAsia="Arial" w:hAnsi="Arial"/>
          <w:sz w:val="12"/>
          <w:szCs w:val="12"/>
          <w:color w:val="auto"/>
        </w:rPr>
      </w:pPr>
    </w:p>
    <w:p>
      <w:pPr>
        <w:ind w:left="1020" w:right="80" w:hanging="515"/>
        <w:spacing w:after="0" w:line="259" w:lineRule="auto"/>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and teaching hospitals, and for reports submitted on or after January 1, 2022, physician assistants, nurse practitioners, clinical nurse specialists, certified nurse anesthetists and certified nurse-midwives as well as certain ownership and investment interests held by physicians and their immediate families;</w:t>
      </w:r>
    </w:p>
    <w:p>
      <w:pPr>
        <w:spacing w:after="0" w:line="52" w:lineRule="exact"/>
        <w:rPr>
          <w:rFonts w:ascii="Arial" w:cs="Arial" w:eastAsia="Arial" w:hAnsi="Arial"/>
          <w:sz w:val="12"/>
          <w:szCs w:val="12"/>
          <w:color w:val="auto"/>
        </w:rPr>
      </w:pPr>
    </w:p>
    <w:p>
      <w:pPr>
        <w:ind w:left="1020" w:right="400" w:hanging="515"/>
        <w:spacing w:after="0" w:line="276" w:lineRule="auto"/>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state laws that require pharmaceutical companies to comply with the pharmaceutical industry’s voluntary compliance guidelines and relevant compliance guidance promulgated by the federal government;</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state laws that require drug manufacturers to report information related to payments and other transfers of value to physicians and other healthcare providers or marketing expenditures;</w:t>
      </w:r>
    </w:p>
    <w:p>
      <w:pPr>
        <w:spacing w:after="0" w:line="78" w:lineRule="exact"/>
        <w:rPr>
          <w:rFonts w:ascii="Arial" w:cs="Arial" w:eastAsia="Arial" w:hAnsi="Arial"/>
          <w:sz w:val="12"/>
          <w:szCs w:val="12"/>
          <w:color w:val="auto"/>
        </w:rPr>
      </w:pPr>
    </w:p>
    <w:p>
      <w:pPr>
        <w:ind w:left="1020" w:right="40" w:hanging="515"/>
        <w:spacing w:after="0" w:line="276" w:lineRule="auto"/>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spacing w:after="0" w:line="42" w:lineRule="exact"/>
        <w:rPr>
          <w:rFonts w:ascii="Arial" w:cs="Arial" w:eastAsia="Arial" w:hAnsi="Arial"/>
          <w:sz w:val="12"/>
          <w:szCs w:val="12"/>
          <w:color w:val="auto"/>
        </w:rPr>
      </w:pPr>
    </w:p>
    <w:p>
      <w:pPr>
        <w:ind w:left="1020" w:right="300" w:hanging="515"/>
        <w:spacing w:after="0" w:line="276" w:lineRule="auto"/>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15" w:lineRule="exact"/>
        <w:rPr>
          <w:sz w:val="20"/>
          <w:szCs w:val="20"/>
          <w:color w:val="auto"/>
        </w:rPr>
      </w:pPr>
    </w:p>
    <w:p>
      <w:pPr>
        <w:jc w:val="both"/>
        <w:ind w:right="60" w:firstLine="513"/>
        <w:spacing w:after="0" w:line="263" w:lineRule="auto"/>
        <w:rPr>
          <w:sz w:val="20"/>
          <w:szCs w:val="20"/>
          <w:color w:val="auto"/>
        </w:rPr>
      </w:pPr>
      <w:r>
        <w:rPr>
          <w:rFonts w:ascii="Arial" w:cs="Arial" w:eastAsia="Arial" w:hAnsi="Arial"/>
          <w:sz w:val="12"/>
          <w:szCs w:val="12"/>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67" w:name="page68"/>
    <w:bookmarkEnd w:id="67"/>
    <w:p>
      <w:pPr>
        <w:ind w:right="100"/>
        <w:spacing w:after="0" w:line="256" w:lineRule="auto"/>
        <w:rPr>
          <w:sz w:val="20"/>
          <w:szCs w:val="20"/>
          <w:color w:val="auto"/>
        </w:rPr>
      </w:pPr>
      <w:r>
        <w:rPr>
          <w:rFonts w:ascii="Arial" w:cs="Arial" w:eastAsia="Arial" w:hAnsi="Arial"/>
          <w:sz w:val="12"/>
          <w:szCs w:val="12"/>
          <w:color w:val="auto"/>
        </w:rPr>
        <w:t>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20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FDA’s and other regulatory authorities’ policies may change, and additional government regulations may be enacted that could prevent, limit or delay regulatory approval of our product candidates.</w:t>
      </w:r>
    </w:p>
    <w:p>
      <w:pPr>
        <w:spacing w:after="0" w:line="90" w:lineRule="exact"/>
        <w:rPr>
          <w:sz w:val="20"/>
          <w:szCs w:val="20"/>
          <w:color w:val="auto"/>
        </w:rPr>
      </w:pPr>
    </w:p>
    <w:p>
      <w:pPr>
        <w:ind w:right="60" w:firstLine="513"/>
        <w:spacing w:after="0" w:line="340" w:lineRule="auto"/>
        <w:rPr>
          <w:sz w:val="20"/>
          <w:szCs w:val="20"/>
          <w:color w:val="auto"/>
        </w:rPr>
      </w:pPr>
      <w:r>
        <w:rPr>
          <w:rFonts w:ascii="Arial" w:cs="Arial" w:eastAsia="Arial" w:hAnsi="Arial"/>
          <w:sz w:val="10"/>
          <w:szCs w:val="10"/>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15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90" w:lineRule="exact"/>
        <w:rPr>
          <w:sz w:val="20"/>
          <w:szCs w:val="20"/>
          <w:color w:val="auto"/>
        </w:rPr>
      </w:pPr>
    </w:p>
    <w:p>
      <w:pPr>
        <w:ind w:right="20" w:firstLine="513"/>
        <w:spacing w:after="0" w:line="259" w:lineRule="auto"/>
        <w:rPr>
          <w:sz w:val="20"/>
          <w:szCs w:val="20"/>
          <w:color w:val="auto"/>
        </w:rPr>
      </w:pPr>
      <w:r>
        <w:rPr>
          <w:rFonts w:ascii="Arial" w:cs="Arial" w:eastAsia="Arial" w:hAnsi="Arial"/>
          <w:sz w:val="12"/>
          <w:szCs w:val="12"/>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24"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24" w:lineRule="exact"/>
        <w:rPr>
          <w:sz w:val="20"/>
          <w:szCs w:val="20"/>
          <w:color w:val="auto"/>
        </w:rPr>
      </w:pPr>
    </w:p>
    <w:p>
      <w:pPr>
        <w:ind w:right="120" w:firstLine="513"/>
        <w:spacing w:after="0" w:line="255" w:lineRule="auto"/>
        <w:rPr>
          <w:sz w:val="20"/>
          <w:szCs w:val="20"/>
          <w:color w:val="auto"/>
        </w:rPr>
      </w:pPr>
      <w:r>
        <w:rPr>
          <w:rFonts w:ascii="Arial" w:cs="Arial" w:eastAsia="Arial" w:hAnsi="Arial"/>
          <w:sz w:val="12"/>
          <w:szCs w:val="12"/>
          <w:color w:val="auto"/>
        </w:rPr>
        <w:t>To date, there have been several recent U.S. congressional inquiries and proposed and enacted state and federal legislation and regulation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Departments of Health and Human Services, Labor and the Treasury. Any future measures will require authorization through additional legislation or regulation to become effective, and it is uncertain whether Congress or the new Biden Administration will seek new legislative and/or administrative measures to control drug costs.</w:t>
      </w:r>
    </w:p>
    <w:p>
      <w:pPr>
        <w:spacing w:after="0" w:line="128" w:lineRule="exact"/>
        <w:rPr>
          <w:sz w:val="20"/>
          <w:szCs w:val="20"/>
          <w:color w:val="auto"/>
        </w:rPr>
      </w:pPr>
    </w:p>
    <w:p>
      <w:pPr>
        <w:jc w:val="both"/>
        <w:ind w:right="100" w:firstLine="513"/>
        <w:spacing w:after="0" w:line="289" w:lineRule="auto"/>
        <w:rPr>
          <w:sz w:val="20"/>
          <w:szCs w:val="20"/>
          <w:color w:val="auto"/>
        </w:rPr>
      </w:pPr>
      <w:r>
        <w:rPr>
          <w:rFonts w:ascii="Arial" w:cs="Arial" w:eastAsia="Arial" w:hAnsi="Arial"/>
          <w:sz w:val="11"/>
          <w:szCs w:val="11"/>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11"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68" w:name="page69"/>
    <w:bookmarkEnd w:id="68"/>
    <w:p>
      <w:pPr>
        <w:spacing w:after="0"/>
        <w:rPr>
          <w:sz w:val="20"/>
          <w:szCs w:val="20"/>
          <w:color w:val="auto"/>
        </w:rPr>
      </w:pPr>
      <w:r>
        <w:rPr>
          <w:rFonts w:ascii="Arial" w:cs="Arial" w:eastAsia="Arial" w:hAnsi="Arial"/>
          <w:sz w:val="12"/>
          <w:szCs w:val="12"/>
          <w:color w:val="auto"/>
        </w:rPr>
        <w:t>significantly delay or prevent marketing approval, as well as subject us to more stringent product labeling and post-marketing testing and other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Governments outside of the United States tend to impose strict price controls, which may adversely affect our revenues from the sales of drugs, if any.</w:t>
      </w:r>
    </w:p>
    <w:p>
      <w:pPr>
        <w:spacing w:after="0" w:line="78"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 Health Technology Appraisal (HTA) to assess the cost-effectiveness of the product (in the UK that HTA assessment is conducted by NICE) which may significantly affect effective access to the market. If reimbursement of our drugs is unavailable or limited in scope or amount, or if pricing is set at unsatisfactory levels, our business could be materially harmed.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Employees, Managing our Growth and Other Legal Matters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outbreak of COVID-19 may adversely affect our business and the market price of our common stock.</w:t>
      </w:r>
    </w:p>
    <w:p>
      <w:pPr>
        <w:spacing w:after="0" w:line="78" w:lineRule="exact"/>
        <w:rPr>
          <w:sz w:val="20"/>
          <w:szCs w:val="20"/>
          <w:color w:val="auto"/>
        </w:rPr>
      </w:pPr>
    </w:p>
    <w:p>
      <w:pPr>
        <w:ind w:firstLine="513"/>
        <w:spacing w:after="0" w:line="277" w:lineRule="auto"/>
        <w:rPr>
          <w:sz w:val="20"/>
          <w:szCs w:val="20"/>
          <w:color w:val="auto"/>
        </w:rPr>
      </w:pPr>
      <w:r>
        <w:rPr>
          <w:rFonts w:ascii="Arial" w:cs="Arial" w:eastAsia="Arial" w:hAnsi="Arial"/>
          <w:sz w:val="11"/>
          <w:szCs w:val="11"/>
          <w:color w:val="auto"/>
        </w:rPr>
        <w:t>The ongoing global pandemic of COVID-19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drug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Additionally, disruptions at the FDA, the EMA and other regulators, caused by global health concerns, including the COVID-19 pandemic, including delays in inspections of clinical trial or manufacturing sites required as part of the drug application review process, could result in delays of reviews and approvals of our drug candidates or our proposed clinical trials. For example, in response to the COVID-19 pandemic, on March 10, 2020, the FDA announced its intention to postpone most inspections of foreign manufacturing facilities and products inspections of domestic manufacturing facilities through April 2020. On March 18, 2020, the FDA announced its intention to temporarily postpone routine surveillance inspections of domestic manufacturing facilities and provided guidance regarding the conduct of clinical trials. On July 10, 2020, the FDA announced that it is working toward the goal of restarting on-site inspections it deems to be “mission critical.” On August 19, 2020, the FDA published guidance clarifying how it intends to conduct inspections during the COVID-19 pandemic, including how it plans to determine which inspections are “mission critical.”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It is unclear how FDA’s policies and guidance will impact any inspections of our facilities, including our clinical trial sites. Regulatory authorities outside the United States may adopt similar restrictions or other policy measures in response to the COVID-19 pandemic.</w:t>
      </w:r>
    </w:p>
    <w:p>
      <w:pPr>
        <w:spacing w:after="0" w:line="44" w:lineRule="exact"/>
        <w:rPr>
          <w:sz w:val="20"/>
          <w:szCs w:val="20"/>
          <w:color w:val="auto"/>
        </w:rPr>
      </w:pPr>
    </w:p>
    <w:p>
      <w:pPr>
        <w:ind w:right="60" w:firstLine="513"/>
        <w:spacing w:after="0" w:line="285" w:lineRule="auto"/>
        <w:rPr>
          <w:sz w:val="20"/>
          <w:szCs w:val="20"/>
          <w:color w:val="auto"/>
        </w:rPr>
      </w:pPr>
      <w:r>
        <w:rPr>
          <w:rFonts w:ascii="Arial" w:cs="Arial" w:eastAsia="Arial" w:hAnsi="Arial"/>
          <w:sz w:val="11"/>
          <w:szCs w:val="11"/>
          <w:color w:val="auto"/>
        </w:rPr>
        <w:t>The COVID-19 outbreak and mitigation measures also may have an adverse impact on global economic conditions, which could adversely impact our business, financial condition or results of operations. Additionally, the COVID-19 outbreak has resulted in significant financial market volatility and uncertainty. A continuation or worsening of the levels of market disruption and volatility seen in the recent past as a result of the COVID-19 outbreak could have an adverse effect on our ability to access capital and on the market price of our common stock. It is currently not possible to predict how long the COVID-19 outbreak will last or the time that it will take for economic activity to return to prior levels. The extent to which the COVID-19 outbreak impacts our results will depend on future developments that are highly uncertain and cannot be predicted, including new information that may emerge concerning the severity of the virus and the actions taken to contain its impact. See also the section titled “—Risks Related to Dependence on Third Parties.”</w:t>
      </w:r>
    </w:p>
    <w:p>
      <w:pPr>
        <w:spacing w:after="0" w:line="18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43" w:lineRule="exact"/>
        <w:rPr>
          <w:sz w:val="20"/>
          <w:szCs w:val="20"/>
          <w:color w:val="auto"/>
        </w:rPr>
      </w:pPr>
    </w:p>
    <w:p>
      <w:pPr>
        <w:ind w:right="60" w:firstLine="513"/>
        <w:spacing w:after="0" w:line="276" w:lineRule="auto"/>
        <w:rPr>
          <w:sz w:val="20"/>
          <w:szCs w:val="20"/>
          <w:color w:val="auto"/>
        </w:rPr>
      </w:pPr>
      <w:r>
        <w:rPr>
          <w:rFonts w:ascii="Arial" w:cs="Arial" w:eastAsia="Arial" w:hAnsi="Arial"/>
          <w:sz w:val="12"/>
          <w:szCs w:val="12"/>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our Chief Scientific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69" w:name="page70"/>
    <w:bookmarkEnd w:id="69"/>
    <w:p>
      <w:pPr>
        <w:ind w:right="160"/>
        <w:spacing w:after="0" w:line="259" w:lineRule="auto"/>
        <w:rPr>
          <w:sz w:val="20"/>
          <w:szCs w:val="20"/>
          <w:color w:val="auto"/>
        </w:rPr>
      </w:pPr>
      <w:r>
        <w:rPr>
          <w:rFonts w:ascii="Arial" w:cs="Arial" w:eastAsia="Arial" w:hAnsi="Arial"/>
          <w:sz w:val="12"/>
          <w:szCs w:val="12"/>
          <w:color w:val="auto"/>
        </w:rPr>
        <w:t>Officer, Gwenn Hansen, Ph.D. The loss of the services of Drs. Sands and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24" w:lineRule="exact"/>
        <w:rPr>
          <w:sz w:val="20"/>
          <w:szCs w:val="20"/>
          <w:color w:val="auto"/>
        </w:rPr>
      </w:pPr>
    </w:p>
    <w:p>
      <w:pPr>
        <w:jc w:val="both"/>
        <w:ind w:firstLine="513"/>
        <w:spacing w:after="0" w:line="263" w:lineRule="auto"/>
        <w:rPr>
          <w:sz w:val="20"/>
          <w:szCs w:val="20"/>
          <w:color w:val="auto"/>
        </w:rPr>
      </w:pPr>
      <w:r>
        <w:rPr>
          <w:rFonts w:ascii="Arial" w:cs="Arial" w:eastAsia="Arial" w:hAnsi="Arial"/>
          <w:sz w:val="12"/>
          <w:szCs w:val="12"/>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that vest over time. The value to employees of stock options that vest over time will be significantly affected by movements in our stock price that are beyond our control and may at any time be insufficient to counteract offers from other companies.</w:t>
      </w:r>
    </w:p>
    <w:p>
      <w:pPr>
        <w:spacing w:after="0" w:line="122"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28" w:lineRule="exact"/>
        <w:rPr>
          <w:sz w:val="20"/>
          <w:szCs w:val="20"/>
          <w:color w:val="auto"/>
        </w:rPr>
      </w:pPr>
    </w:p>
    <w:p>
      <w:pPr>
        <w:ind w:right="160" w:firstLine="513"/>
        <w:spacing w:after="0" w:line="379" w:lineRule="auto"/>
        <w:rPr>
          <w:sz w:val="20"/>
          <w:szCs w:val="20"/>
          <w:color w:val="auto"/>
        </w:rPr>
      </w:pPr>
      <w:r>
        <w:rPr>
          <w:rFonts w:ascii="Arial" w:cs="Arial" w:eastAsia="Arial" w:hAnsi="Arial"/>
          <w:sz w:val="10"/>
          <w:szCs w:val="10"/>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need to grow our organization, and we may experience difficulties in managing this growth, which could disrupt our operations.</w:t>
      </w:r>
    </w:p>
    <w:p>
      <w:pPr>
        <w:spacing w:after="0" w:line="78" w:lineRule="exact"/>
        <w:rPr>
          <w:sz w:val="20"/>
          <w:szCs w:val="20"/>
          <w:color w:val="auto"/>
        </w:rPr>
      </w:pPr>
    </w:p>
    <w:p>
      <w:pPr>
        <w:ind w:right="80" w:firstLine="513"/>
        <w:spacing w:after="0" w:line="281" w:lineRule="auto"/>
        <w:rPr>
          <w:sz w:val="20"/>
          <w:szCs w:val="20"/>
          <w:color w:val="auto"/>
        </w:rPr>
      </w:pPr>
      <w:r>
        <w:rPr>
          <w:rFonts w:ascii="Arial" w:cs="Arial" w:eastAsia="Arial" w:hAnsi="Arial"/>
          <w:sz w:val="11"/>
          <w:szCs w:val="11"/>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for NX-2127 in December 2020 and received clearance by the FDA to initiate human clinical trials. We expect our four most advanced drug candidates to enter clinical trials in 2021.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We are exposed to the risk that our employees, independent contractors, vendors, principal investigators, CROs and consultants may engage in fraudulent conduct or other illegal activity. Misconduct by these parties could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include:</w:t>
      </w:r>
    </w:p>
    <w:p>
      <w:pPr>
        <w:spacing w:after="0" w:line="69" w:lineRule="exact"/>
        <w:rPr>
          <w:sz w:val="20"/>
          <w:szCs w:val="20"/>
          <w:color w:val="auto"/>
        </w:rPr>
      </w:pPr>
    </w:p>
    <w:p>
      <w:pPr>
        <w:ind w:left="1020" w:hanging="515"/>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intentional, reckless or negligent conduct or disclosure to us of unauthorized activities that violate the regulations of the FDA or similar foreign regulatory authorities;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healthcare fraud and abuse in violation of U.S. and foreign laws and regulations;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violations of U.S. federal securities laws relating to trading in our common stock;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failures to report financial information or data accurately.</w:t>
      </w:r>
    </w:p>
    <w:p>
      <w:pPr>
        <w:spacing w:after="0" w:line="150" w:lineRule="exact"/>
        <w:rPr>
          <w:sz w:val="20"/>
          <w:szCs w:val="20"/>
          <w:color w:val="auto"/>
        </w:rPr>
      </w:pPr>
    </w:p>
    <w:p>
      <w:pPr>
        <w:ind w:right="240" w:firstLine="513"/>
        <w:spacing w:after="0" w:line="276" w:lineRule="auto"/>
        <w:rPr>
          <w:sz w:val="20"/>
          <w:szCs w:val="20"/>
          <w:color w:val="auto"/>
        </w:rPr>
      </w:pPr>
      <w:r>
        <w:rPr>
          <w:rFonts w:ascii="Arial" w:cs="Arial" w:eastAsia="Arial" w:hAnsi="Arial"/>
          <w:sz w:val="12"/>
          <w:szCs w:val="12"/>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70" w:name="page71"/>
    <w:bookmarkEnd w:id="70"/>
    <w:p>
      <w:pPr>
        <w:jc w:val="both"/>
        <w:ind w:right="20"/>
        <w:spacing w:after="0" w:line="256" w:lineRule="auto"/>
        <w:rPr>
          <w:sz w:val="20"/>
          <w:szCs w:val="20"/>
          <w:color w:val="auto"/>
        </w:rPr>
      </w:pPr>
      <w:r>
        <w:rPr>
          <w:rFonts w:ascii="Arial" w:cs="Arial" w:eastAsia="Arial" w:hAnsi="Arial"/>
          <w:sz w:val="12"/>
          <w:szCs w:val="12"/>
          <w:color w:val="auto"/>
        </w:rPr>
        <w:t>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diminished profits and future earnings, any of which could adversely affect our ability to operate our business or cause reputational harm.</w:t>
      </w:r>
    </w:p>
    <w:p>
      <w:pPr>
        <w:spacing w:after="0" w:line="200"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50" w:lineRule="exact"/>
        <w:rPr>
          <w:sz w:val="20"/>
          <w:szCs w:val="20"/>
          <w:color w:val="auto"/>
        </w:rPr>
      </w:pPr>
    </w:p>
    <w:p>
      <w:pPr>
        <w:ind w:right="80" w:firstLine="513"/>
        <w:spacing w:after="0" w:line="285" w:lineRule="auto"/>
        <w:rPr>
          <w:sz w:val="20"/>
          <w:szCs w:val="20"/>
          <w:color w:val="auto"/>
        </w:rPr>
      </w:pPr>
      <w:r>
        <w:rPr>
          <w:rFonts w:ascii="Arial" w:cs="Arial" w:eastAsia="Arial" w:hAnsi="Arial"/>
          <w:sz w:val="11"/>
          <w:szCs w:val="11"/>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113" w:lineRule="exact"/>
        <w:rPr>
          <w:sz w:val="20"/>
          <w:szCs w:val="20"/>
          <w:color w:val="auto"/>
        </w:rPr>
      </w:pPr>
    </w:p>
    <w:p>
      <w:pPr>
        <w:ind w:right="40" w:firstLine="513"/>
        <w:spacing w:after="0" w:line="256" w:lineRule="auto"/>
        <w:rPr>
          <w:sz w:val="20"/>
          <w:szCs w:val="20"/>
          <w:color w:val="auto"/>
        </w:rPr>
      </w:pPr>
      <w:r>
        <w:rPr>
          <w:rFonts w:ascii="Arial" w:cs="Arial" w:eastAsia="Arial" w:hAnsi="Arial"/>
          <w:sz w:val="12"/>
          <w:szCs w:val="12"/>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our system infrastructure, or that of our third-party vendors and other contractors and consultants or lead to data leakage.</w:t>
      </w:r>
    </w:p>
    <w:p>
      <w:pPr>
        <w:spacing w:after="0" w:line="128" w:lineRule="exact"/>
        <w:rPr>
          <w:sz w:val="20"/>
          <w:szCs w:val="20"/>
          <w:color w:val="auto"/>
        </w:rPr>
      </w:pPr>
    </w:p>
    <w:p>
      <w:pPr>
        <w:ind w:firstLine="513"/>
        <w:spacing w:after="0" w:line="278" w:lineRule="auto"/>
        <w:rPr>
          <w:sz w:val="20"/>
          <w:szCs w:val="20"/>
          <w:color w:val="auto"/>
        </w:rPr>
      </w:pPr>
      <w:r>
        <w:rPr>
          <w:rFonts w:ascii="Arial" w:cs="Arial" w:eastAsia="Arial" w:hAnsi="Arial"/>
          <w:sz w:val="11"/>
          <w:szCs w:val="11"/>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that access confidential information increases the risk of data security breaches, which could lead to the loss of confidential information or other intellectual property.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19" w:lineRule="exact"/>
        <w:rPr>
          <w:sz w:val="20"/>
          <w:szCs w:val="20"/>
          <w:color w:val="auto"/>
        </w:rPr>
      </w:pPr>
    </w:p>
    <w:p>
      <w:pPr>
        <w:ind w:right="40" w:firstLine="513"/>
        <w:spacing w:after="0" w:line="326" w:lineRule="auto"/>
        <w:rPr>
          <w:sz w:val="20"/>
          <w:szCs w:val="20"/>
          <w:color w:val="auto"/>
        </w:rPr>
      </w:pPr>
      <w:r>
        <w:rPr>
          <w:rFonts w:ascii="Arial" w:cs="Arial" w:eastAsia="Arial" w:hAnsi="Arial"/>
          <w:sz w:val="10"/>
          <w:szCs w:val="10"/>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71" w:name="page72"/>
    <w:bookmarkEnd w:id="71"/>
    <w:p>
      <w:pPr>
        <w:ind w:right="60"/>
        <w:spacing w:after="0" w:line="313" w:lineRule="auto"/>
        <w:rPr>
          <w:sz w:val="20"/>
          <w:szCs w:val="20"/>
          <w:color w:val="auto"/>
        </w:rPr>
      </w:pPr>
      <w:r>
        <w:rPr>
          <w:rFonts w:ascii="Arial" w:cs="Arial" w:eastAsia="Arial" w:hAnsi="Arial"/>
          <w:sz w:val="10"/>
          <w:szCs w:val="10"/>
          <w:color w:val="auto"/>
        </w:rPr>
        <w:t>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litigation based on a variety of laws and legal duties, such as the California Consumer Privacy Act (the CCPA), which provides for a private right of action in the event of certain data security breaches. Such actions could result in significant legal and financial exposure and reputational damages that could have a material adverse effect on our business, results of operations, prospects and financial condition.</w:t>
      </w:r>
    </w:p>
    <w:p>
      <w:pPr>
        <w:spacing w:after="0" w:line="174"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w:t>
      </w:r>
    </w:p>
    <w:p>
      <w:pPr>
        <w:spacing w:after="0" w:line="20" w:lineRule="exact"/>
        <w:rPr>
          <w:sz w:val="20"/>
          <w:szCs w:val="20"/>
          <w:color w:val="auto"/>
        </w:rPr>
      </w:pPr>
    </w:p>
    <w:p>
      <w:pPr>
        <w:ind w:right="140" w:firstLine="513"/>
        <w:spacing w:after="0" w:line="285" w:lineRule="auto"/>
        <w:rPr>
          <w:sz w:val="20"/>
          <w:szCs w:val="20"/>
          <w:color w:val="auto"/>
        </w:rPr>
      </w:pPr>
      <w:r>
        <w:rPr>
          <w:rFonts w:ascii="Arial" w:cs="Arial" w:eastAsia="Arial" w:hAnsi="Arial"/>
          <w:sz w:val="11"/>
          <w:szCs w:val="11"/>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and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13" w:lineRule="exact"/>
        <w:rPr>
          <w:sz w:val="20"/>
          <w:szCs w:val="20"/>
          <w:color w:val="auto"/>
        </w:rPr>
      </w:pPr>
    </w:p>
    <w:p>
      <w:pPr>
        <w:ind w:firstLine="513"/>
        <w:spacing w:after="0" w:line="278" w:lineRule="auto"/>
        <w:rPr>
          <w:sz w:val="20"/>
          <w:szCs w:val="20"/>
          <w:color w:val="auto"/>
        </w:rPr>
      </w:pPr>
      <w:r>
        <w:rPr>
          <w:rFonts w:ascii="Arial" w:cs="Arial" w:eastAsia="Arial" w:hAnsi="Arial"/>
          <w:sz w:val="11"/>
          <w:szCs w:val="11"/>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U.S. Department of Health and Human Services (HHS) has the discretion to impose penalties without attempting to first resolve violations.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19" w:lineRule="exact"/>
        <w:rPr>
          <w:sz w:val="20"/>
          <w:szCs w:val="20"/>
          <w:color w:val="auto"/>
        </w:rPr>
      </w:pPr>
    </w:p>
    <w:p>
      <w:pPr>
        <w:ind w:right="40" w:firstLine="513"/>
        <w:spacing w:after="0" w:line="281" w:lineRule="auto"/>
        <w:rPr>
          <w:sz w:val="20"/>
          <w:szCs w:val="20"/>
          <w:color w:val="auto"/>
        </w:rPr>
      </w:pPr>
      <w:r>
        <w:rPr>
          <w:rFonts w:ascii="Arial" w:cs="Arial" w:eastAsia="Arial" w:hAnsi="Arial"/>
          <w:sz w:val="11"/>
          <w:szCs w:val="11"/>
          <w:color w:val="auto"/>
        </w:rPr>
        <w:t>Data privacy remains an evolving landscape at both the domestic and international level, with new regulations coming into effect. For example, the CCPA, which came into effect on January 1, 2020, and became enforceable by the California Attorney General on July 1, 2020, along with related regulations which came into force on August 14, 2020. Additionally, although not effective until January 1, 2023, the California Privacy Rights Act (the CPRA), which expands upon the CCPA, was passed in the recent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Additionally, the CCPA requires companies that process personal information of California residents to make disclosures to consumers about their data collection, use and sharing practices, allow consumers to opt out of certain data sharing with third parties and provide a private right of action for data breaches, as described above. Although the CCPA includes limited exceptions, including exceptions for personal health information collected by covered entities or business associates subject to HIPAA, among others, the CCPA may regulate or impact our processing of personal information depending on the context. Additionally, the CPRA expands on the requirements of the CCPA</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72" w:name="page73"/>
    <w:bookmarkEnd w:id="72"/>
    <w:p>
      <w:pPr>
        <w:ind w:right="100"/>
        <w:spacing w:after="0" w:line="276" w:lineRule="auto"/>
        <w:rPr>
          <w:sz w:val="20"/>
          <w:szCs w:val="20"/>
          <w:color w:val="auto"/>
        </w:rPr>
      </w:pPr>
      <w:r>
        <w:rPr>
          <w:rFonts w:ascii="Arial" w:cs="Arial" w:eastAsia="Arial" w:hAnsi="Arial"/>
          <w:sz w:val="12"/>
          <w:szCs w:val="12"/>
          <w:color w:val="auto"/>
        </w:rPr>
        <w:t>by granting California residents expanded privacy rights and additional requirements for businesses. The CCPA and CPRA may increase our compliance costs and potential liability, particularly in the event of a data breach, and could have a material adverse effect on our business, including how we use personal information, financial condition, results of operations or prospects.</w:t>
      </w:r>
    </w:p>
    <w:p>
      <w:pPr>
        <w:spacing w:after="0" w:line="115" w:lineRule="exact"/>
        <w:rPr>
          <w:sz w:val="20"/>
          <w:szCs w:val="20"/>
          <w:color w:val="auto"/>
        </w:rPr>
      </w:pPr>
    </w:p>
    <w:p>
      <w:pPr>
        <w:ind w:firstLine="513"/>
        <w:spacing w:after="0" w:line="254" w:lineRule="auto"/>
        <w:rPr>
          <w:sz w:val="20"/>
          <w:szCs w:val="20"/>
          <w:color w:val="auto"/>
        </w:rPr>
      </w:pPr>
      <w:r>
        <w:rPr>
          <w:rFonts w:ascii="Arial" w:cs="Arial" w:eastAsia="Arial" w:hAnsi="Arial"/>
          <w:sz w:val="12"/>
          <w:szCs w:val="12"/>
          <w:color w:val="auto"/>
        </w:rPr>
        <w:t>Additionally, the CCPA has prompted a number of proposals for new federal and state-level privacy legislation, such as in Nevada, New Hampshire, Illinois and Nebraska. One of these, the Virginia Consumer Data Protection Act, is very similar to the CCPA and was recently passed. It will go into effect on January 1, 2023. Such new privacy laws add additional complexity, requirements, restrictions and potential legal risk, require additional investment in resources for compliance programs, and could impact business strategies and the availability of previously useful data. The interplay of federal and state laws (e.g., in addition to California, Massachusetts and Nevada have adopted laws requiring the implementation of certain security measures to protect personal information, and all 50 states and the District of Columbia, Puerto Rico, the U.S. Virgin Islands and Guam have adopted breach notification laws) may be subject to varying interpretations by courts and government agencies, creating complex compliance issues for us and our customers and potentially exposing us to additional expense, adverse publicity and liability. Further, as regulatory focus on privacy, security and data use issues in the U.S. continues to increase and laws and regulations concerning the protection of personal information expand and become more complex, these potential risks to products and services could intensify.</w:t>
      </w:r>
    </w:p>
    <w:p>
      <w:pPr>
        <w:spacing w:after="0" w:line="130" w:lineRule="exact"/>
        <w:rPr>
          <w:sz w:val="20"/>
          <w:szCs w:val="20"/>
          <w:color w:val="auto"/>
        </w:rPr>
      </w:pPr>
    </w:p>
    <w:p>
      <w:pPr>
        <w:ind w:firstLine="513"/>
        <w:spacing w:after="0" w:line="305" w:lineRule="auto"/>
        <w:rPr>
          <w:sz w:val="20"/>
          <w:szCs w:val="20"/>
          <w:color w:val="auto"/>
        </w:rPr>
      </w:pPr>
      <w:r>
        <w:rPr>
          <w:rFonts w:ascii="Arial" w:cs="Arial" w:eastAsia="Arial" w:hAnsi="Arial"/>
          <w:sz w:val="10"/>
          <w:szCs w:val="10"/>
          <w:color w:val="auto"/>
        </w:rPr>
        <w:t>In addition, in May 2018, the EU General Data Protection Regulation (the EU GDPR) took effect in the European Economic Area (EEA). The EU GDPR governs the collection, use, disclosure, transfer or other processing of personal data, replacing data protection laws issued by each EU member state based on the Directive 95/46/EC (the Directive).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located in the EEA to the United States and other jurisdictions that the European Commission does not recognize as having “adequate” data protection laws. In particular, on July 16, 2020, the Court of Justice of the EU (the Court of Justice) invalidated the European Union-United States (EU-U.S.) Privacy Shield on the grounds that the EU-U.S. Privacy Shield failed to offer adequate protections to EU personal information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of Justice made clear that reliance on Standard Contractual Clauses alone may not necessarily be sufficient in all circumstances.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Standard Contractual Clauses, for cross-border data transfers. To comply with this guidance, we may need to implement additional safeguards to further enhance the security of data transferred out of the EEA, which could increase our compliance costs, expose us to further regulatory scrutiny and liability, and adversely affect our business. Further, the European Commission published new versions of the Standard Contractual Clauses in June 2021 which place onerous obligations on the parties.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 The GDPR imposes substantial fines for breaches and violations (up to the greater of €20 million or 4% of our global turnover). The GDPR allows data subjects and consumer associations to lodge complaints with supervisory authorities, seek judicial remedies and obtain compensation for damages resulting from violations of the GDPR.</w:t>
      </w:r>
    </w:p>
    <w:p>
      <w:pPr>
        <w:spacing w:after="0" w:line="254" w:lineRule="exact"/>
        <w:rPr>
          <w:sz w:val="20"/>
          <w:szCs w:val="20"/>
          <w:color w:val="auto"/>
        </w:rPr>
      </w:pPr>
    </w:p>
    <w:p>
      <w:pPr>
        <w:ind w:right="60" w:firstLine="513"/>
        <w:spacing w:after="0" w:line="259" w:lineRule="auto"/>
        <w:rPr>
          <w:sz w:val="20"/>
          <w:szCs w:val="20"/>
          <w:color w:val="auto"/>
        </w:rPr>
      </w:pPr>
      <w:r>
        <w:rPr>
          <w:rFonts w:ascii="Arial" w:cs="Arial" w:eastAsia="Arial" w:hAnsi="Arial"/>
          <w:sz w:val="12"/>
          <w:szCs w:val="12"/>
          <w:color w:val="auto"/>
        </w:rPr>
        <w:t>Further, following the end of the Brexit Transition Period (on 31 December 2020) the EU GDPR has been implemented in the United Kingdom (as the UK GDPR). The UK GDPR site alongside the UK Data Protection Act 2018 which implements certain derogations in the EU GDPR into UK law. Under the UK GDPR, companies not established in the UK but who process personal information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 million or 4% of global turnover.</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1"/>
          <w:szCs w:val="11"/>
          <w:color w:val="auto"/>
        </w:rPr>
        <w:t>Some countries also are considering or have passed legislation requiring local storage and processing of data, or similar requirements, which could increase the cost and complexity of delivering our products and services.</w:t>
      </w:r>
    </w:p>
    <w:p>
      <w:pPr>
        <w:spacing w:after="0" w:line="162" w:lineRule="exact"/>
        <w:rPr>
          <w:sz w:val="20"/>
          <w:szCs w:val="20"/>
          <w:color w:val="auto"/>
        </w:rPr>
      </w:pPr>
    </w:p>
    <w:p>
      <w:pPr>
        <w:ind w:right="480" w:firstLine="513"/>
        <w:spacing w:after="0" w:line="276" w:lineRule="auto"/>
        <w:rPr>
          <w:sz w:val="20"/>
          <w:szCs w:val="20"/>
          <w:color w:val="auto"/>
        </w:rPr>
      </w:pPr>
      <w:r>
        <w:rPr>
          <w:rFonts w:ascii="Arial" w:cs="Arial" w:eastAsia="Arial" w:hAnsi="Arial"/>
          <w:sz w:val="12"/>
          <w:szCs w:val="12"/>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73" w:name="page74"/>
    <w:bookmarkEnd w:id="73"/>
    <w:p>
      <w:pPr>
        <w:ind w:right="20"/>
        <w:spacing w:after="0" w:line="280" w:lineRule="auto"/>
        <w:rPr>
          <w:sz w:val="20"/>
          <w:szCs w:val="20"/>
          <w:color w:val="auto"/>
        </w:rPr>
      </w:pPr>
      <w:r>
        <w:rPr>
          <w:rFonts w:ascii="Arial" w:cs="Arial" w:eastAsia="Arial" w:hAnsi="Arial"/>
          <w:sz w:val="11"/>
          <w:szCs w:val="11"/>
          <w:color w:val="auto"/>
        </w:rPr>
        <w:t>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and adverse impact on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federal income tax reform and changes in other tax laws could adversely affect us.</w:t>
      </w:r>
    </w:p>
    <w:p>
      <w:pPr>
        <w:spacing w:after="0" w:line="78" w:lineRule="exact"/>
        <w:rPr>
          <w:sz w:val="20"/>
          <w:szCs w:val="20"/>
          <w:color w:val="auto"/>
        </w:rPr>
      </w:pPr>
    </w:p>
    <w:p>
      <w:pPr>
        <w:ind w:right="80" w:firstLine="513"/>
        <w:spacing w:after="0" w:line="263" w:lineRule="auto"/>
        <w:rPr>
          <w:sz w:val="20"/>
          <w:szCs w:val="20"/>
          <w:color w:val="auto"/>
        </w:rPr>
      </w:pPr>
      <w:r>
        <w:rPr>
          <w:rFonts w:ascii="Arial" w:cs="Arial" w:eastAsia="Arial" w:hAnsi="Arial"/>
          <w:sz w:val="12"/>
          <w:szCs w:val="12"/>
          <w:color w:val="auto"/>
        </w:rPr>
        <w:t>In December 2017, U.S. federal tax legislation commonly referred to as the TCJA was signed into law, significantly reforming the Internal Revenue Code of 1986, as amended (the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122" w:lineRule="exact"/>
        <w:rPr>
          <w:sz w:val="20"/>
          <w:szCs w:val="20"/>
          <w:color w:val="auto"/>
        </w:rPr>
      </w:pPr>
    </w:p>
    <w:p>
      <w:pPr>
        <w:ind w:firstLine="513"/>
        <w:spacing w:after="0" w:line="323" w:lineRule="auto"/>
        <w:rPr>
          <w:sz w:val="20"/>
          <w:szCs w:val="20"/>
          <w:color w:val="auto"/>
        </w:rPr>
      </w:pPr>
      <w:r>
        <w:rPr>
          <w:rFonts w:ascii="Arial" w:cs="Arial" w:eastAsia="Arial" w:hAnsi="Arial"/>
          <w:sz w:val="11"/>
          <w:szCs w:val="11"/>
          <w:color w:val="auto"/>
        </w:rPr>
        <w:t>In March 2020, U.S. federal tax legislation named the CARES Act, was signed into law. Such legislation modified the TCJA by, among other things, eliminating the limitation on the deduction of NOLs to 80% of current year taxable income for tax years beginning before January 1, 2021, and increasing the amount of interest expense that may be deducted from 30% to 50% of adjusted taxable income for tax years beginning in 2019 or 2020.</w:t>
      </w:r>
    </w:p>
    <w:p>
      <w:pPr>
        <w:spacing w:after="0" w:line="92" w:lineRule="exact"/>
        <w:rPr>
          <w:sz w:val="20"/>
          <w:szCs w:val="20"/>
          <w:color w:val="auto"/>
        </w:rPr>
      </w:pPr>
    </w:p>
    <w:p>
      <w:pPr>
        <w:ind w:right="80" w:firstLine="513"/>
        <w:spacing w:after="0" w:line="289" w:lineRule="auto"/>
        <w:rPr>
          <w:sz w:val="20"/>
          <w:szCs w:val="20"/>
          <w:color w:val="auto"/>
        </w:rPr>
      </w:pPr>
      <w:r>
        <w:rPr>
          <w:rFonts w:ascii="Arial" w:cs="Arial" w:eastAsia="Arial" w:hAnsi="Arial"/>
          <w:sz w:val="11"/>
          <w:szCs w:val="11"/>
          <w:color w:val="auto"/>
        </w:rPr>
        <w:t>The TCJA is a far-reaching and complex revision to the U.S. federal income tax laws with disparate and, in some cases, countervailing impacts on different categories of taxpayers and industries. The long-term impact of the TCJA, as modified by the CARES Act, on the overall economy, the industries in which we operate and our and our partners’ businesses still cannot be reliably predicted. There can be no assurance that the TCJA, as modified by the CARES Act, will not negatively impact our future operating results. The estimated impact of the TCJA, as modified by the CARES Act, is based on our management’s current knowledge and assumptions, following consultation with our tax advisors. Because of our valuation allowance in the United States, ongoing tax effects of the TCJA, as modified by the CARES Act, are not expected to materially change our effective tax rate in future periods.</w:t>
      </w:r>
    </w:p>
    <w:p>
      <w:pPr>
        <w:spacing w:after="0" w:line="111"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In addition, new legislation or regulations that could affect our tax burden could be enacted by any governmental authority. We cannot predict the timing or extent of such tax-related developments that could negatively impact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utilize our net operating loss carryforwards may be subject to limitations.</w:t>
      </w:r>
    </w:p>
    <w:p>
      <w:pPr>
        <w:spacing w:after="0" w:line="78" w:lineRule="exact"/>
        <w:rPr>
          <w:sz w:val="20"/>
          <w:szCs w:val="20"/>
          <w:color w:val="auto"/>
        </w:rPr>
      </w:pPr>
    </w:p>
    <w:p>
      <w:pPr>
        <w:ind w:right="80" w:firstLine="513"/>
        <w:spacing w:after="0" w:line="313" w:lineRule="auto"/>
        <w:rPr>
          <w:sz w:val="20"/>
          <w:szCs w:val="20"/>
          <w:color w:val="auto"/>
        </w:rPr>
      </w:pPr>
      <w:r>
        <w:rPr>
          <w:rFonts w:ascii="Arial" w:cs="Arial" w:eastAsia="Arial" w:hAnsi="Arial"/>
          <w:sz w:val="10"/>
          <w:szCs w:val="10"/>
          <w:color w:val="auto"/>
        </w:rPr>
        <w:t>We have incurred substantial losses during our history, do not expect to become profitable in the near future and may never achieve profitability. As of November 30, 2020, we had federal and state net operating loss (NOL) carryforwards of approximately $55.7 million and $153.3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102" w:lineRule="exact"/>
        <w:rPr>
          <w:sz w:val="20"/>
          <w:szCs w:val="20"/>
          <w:color w:val="auto"/>
        </w:rPr>
      </w:pPr>
    </w:p>
    <w:p>
      <w:pPr>
        <w:ind w:right="300" w:firstLine="513"/>
        <w:spacing w:after="0" w:line="276" w:lineRule="auto"/>
        <w:rPr>
          <w:sz w:val="20"/>
          <w:szCs w:val="20"/>
          <w:color w:val="auto"/>
        </w:rPr>
      </w:pPr>
      <w:r>
        <w:rPr>
          <w:rFonts w:ascii="Arial" w:cs="Arial" w:eastAsia="Arial" w:hAnsi="Arial"/>
          <w:sz w:val="12"/>
          <w:szCs w:val="12"/>
          <w:color w:val="auto"/>
        </w:rPr>
        <w:t>Under Sections 382 and 383 of the Code, if a corporation undergoes an “ownership change” (generally defined as a greater than 50% change (by value) in its equity ownership over a three-year period), the corporation’s ability to use its pre-change NOLs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74" w:name="page75"/>
    <w:bookmarkEnd w:id="74"/>
    <w:p>
      <w:pPr>
        <w:spacing w:after="0" w:line="285" w:lineRule="auto"/>
        <w:rPr>
          <w:sz w:val="20"/>
          <w:szCs w:val="20"/>
          <w:color w:val="auto"/>
        </w:rPr>
      </w:pPr>
      <w:r>
        <w:rPr>
          <w:rFonts w:ascii="Arial" w:cs="Arial" w:eastAsia="Arial" w:hAnsi="Arial"/>
          <w:sz w:val="11"/>
          <w:szCs w:val="11"/>
          <w:color w:val="auto"/>
        </w:rPr>
        <w:t>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acquisitions, joint ventures, spin outs or strategic alliances or transactions could disrupt our business and harm our financial condition and results of operations.</w:t>
      </w:r>
    </w:p>
    <w:p>
      <w:pPr>
        <w:spacing w:after="0" w:line="78" w:lineRule="exact"/>
        <w:rPr>
          <w:sz w:val="20"/>
          <w:szCs w:val="20"/>
          <w:color w:val="auto"/>
        </w:rPr>
      </w:pPr>
    </w:p>
    <w:p>
      <w:pPr>
        <w:ind w:right="60" w:firstLine="513"/>
        <w:spacing w:after="0" w:line="289" w:lineRule="auto"/>
        <w:rPr>
          <w:sz w:val="20"/>
          <w:szCs w:val="20"/>
          <w:color w:val="auto"/>
        </w:rPr>
      </w:pPr>
      <w:r>
        <w:rPr>
          <w:rFonts w:ascii="Arial" w:cs="Arial" w:eastAsia="Arial" w:hAnsi="Arial"/>
          <w:sz w:val="11"/>
          <w:szCs w:val="11"/>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39" w:lineRule="exact"/>
        <w:rPr>
          <w:sz w:val="20"/>
          <w:szCs w:val="20"/>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diversion of management time and focus from operating our business to addressing acquisition integration challenges;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coordination of research and development efforts;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retention of key employees from the acquired company;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changes in relationships with strategic partners as a result of product acquisitions or strategic positioning resulting from the acquisition;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cultural challenges associated with integrating employees from the acquired company into our organization;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need to implement or improve controls, procedures and policies at a business that prior to the acquisition may have lacked sufficiently effective controls, procedures and policies;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liability for activities of the acquired company before the acquisition, including intellectual property infringement claims, violation of laws, commercial disputes, tax liabilities and other known liabilities;</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unanticipated write-offs or charges;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litigation or other claims in connection with the acquired company, including claims from terminated employees, customers, former stockholders or other third parties.</w:t>
      </w:r>
    </w:p>
    <w:p>
      <w:pPr>
        <w:spacing w:after="0" w:line="150" w:lineRule="exact"/>
        <w:rPr>
          <w:sz w:val="20"/>
          <w:szCs w:val="20"/>
          <w:color w:val="auto"/>
        </w:rPr>
      </w:pPr>
    </w:p>
    <w:p>
      <w:pPr>
        <w:jc w:val="both"/>
        <w:ind w:right="60" w:firstLine="513"/>
        <w:spacing w:after="0" w:line="263" w:lineRule="auto"/>
        <w:rPr>
          <w:sz w:val="20"/>
          <w:szCs w:val="20"/>
          <w:color w:val="auto"/>
        </w:rPr>
      </w:pPr>
      <w:r>
        <w:rPr>
          <w:rFonts w:ascii="Arial" w:cs="Arial" w:eastAsia="Arial" w:hAnsi="Arial"/>
          <w:sz w:val="12"/>
          <w:szCs w:val="12"/>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w:t>
      </w:r>
    </w:p>
    <w:p>
      <w:pPr>
        <w:spacing w:after="0" w:line="122" w:lineRule="exact"/>
        <w:rPr>
          <w:sz w:val="20"/>
          <w:szCs w:val="20"/>
          <w:color w:val="auto"/>
        </w:rPr>
      </w:pPr>
    </w:p>
    <w:p>
      <w:pPr>
        <w:ind w:right="20" w:firstLine="513"/>
        <w:spacing w:after="0" w:line="280" w:lineRule="auto"/>
        <w:rPr>
          <w:sz w:val="20"/>
          <w:szCs w:val="20"/>
          <w:color w:val="auto"/>
        </w:rPr>
      </w:pPr>
      <w:r>
        <w:rPr>
          <w:rFonts w:ascii="Arial" w:cs="Arial" w:eastAsia="Arial" w:hAnsi="Arial"/>
          <w:sz w:val="11"/>
          <w:szCs w:val="11"/>
          <w:color w:val="auto"/>
        </w:rPr>
        <w:t>Additionally, we may not realize the expected value of out-licensing, joint ventures, spin outs or other strategic transactions. For example, in July 2020, we established DeCART, a wholly owned subsidiary, with an investment of $3.0 million and granted DeCART a license to three of our compounds, including NX-0255, for drug-enhanced isolation of T cells nonexclusively with respect to one CAR-T therapy target and exclusively with respect to three novel CAR-T therapy targets. Over time, we intend for DeCART to seek equity financing from third parties and to become an independent operating entity. However, we cannot assure you that DeCART will be able to obtain financing on attractive terms or at all. We may lose all or part of our investment in DeCART. Our license agreement to DeCART does not require DeCART to pay any milestone payments or royalties or other payments to us, and to the extent that DeCART is successful, we would benefit exclusively through our ownership of shares of DeCART’s capital stock. If DeCART raises additional funds through further issuances of equity or convertible debt securities, including to its service providers pursuant to its equity incentive plan, our ownership interest could be significantly diluted, and any new equity securities issued by DeCART may have rights, preferences, and privileges superior to ours. We cannot assure you that we will retain significant influence over the management of DeCART, and the directors or management of DeCART may make decisions or take actions that we disagree with. Conflicts of interest may arise from time to time in connection with this transaction, DeCART may not successfully develop CAR-T or any other therapies and we may not realize the expected value from this strategy.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75" w:name="page76"/>
    <w:bookmarkEnd w:id="75"/>
    <w:p>
      <w:pPr>
        <w:ind w:right="120"/>
        <w:spacing w:after="0" w:line="276" w:lineRule="auto"/>
        <w:rPr>
          <w:sz w:val="20"/>
          <w:szCs w:val="20"/>
          <w:color w:val="auto"/>
        </w:rPr>
      </w:pPr>
      <w:r>
        <w:rPr>
          <w:rFonts w:ascii="Arial" w:cs="Arial" w:eastAsia="Arial" w:hAnsi="Arial"/>
          <w:sz w:val="12"/>
          <w:szCs w:val="12"/>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43" w:lineRule="exact"/>
        <w:rPr>
          <w:sz w:val="20"/>
          <w:szCs w:val="20"/>
          <w:color w:val="auto"/>
        </w:rPr>
      </w:pPr>
    </w:p>
    <w:p>
      <w:pPr>
        <w:ind w:right="80" w:firstLine="513"/>
        <w:spacing w:after="0" w:line="285" w:lineRule="auto"/>
        <w:rPr>
          <w:sz w:val="20"/>
          <w:szCs w:val="20"/>
          <w:color w:val="auto"/>
        </w:rPr>
      </w:pPr>
      <w:r>
        <w:rPr>
          <w:rFonts w:ascii="Arial" w:cs="Arial" w:eastAsia="Arial" w:hAnsi="Arial"/>
          <w:sz w:val="11"/>
          <w:szCs w:val="11"/>
          <w:color w:val="auto"/>
        </w:rPr>
        <w:t>Our operations are subject to anti-corruption laws, including the Foreign Corrupt Practices Act (the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13" w:lineRule="exact"/>
        <w:rPr>
          <w:sz w:val="20"/>
          <w:szCs w:val="20"/>
          <w:color w:val="auto"/>
        </w:rPr>
      </w:pPr>
    </w:p>
    <w:p>
      <w:pPr>
        <w:ind w:right="260" w:firstLine="513"/>
        <w:spacing w:after="0" w:line="323" w:lineRule="auto"/>
        <w:rPr>
          <w:sz w:val="20"/>
          <w:szCs w:val="20"/>
          <w:color w:val="auto"/>
        </w:rPr>
      </w:pPr>
      <w:r>
        <w:rPr>
          <w:rFonts w:ascii="Arial" w:cs="Arial" w:eastAsia="Arial" w:hAnsi="Arial"/>
          <w:sz w:val="11"/>
          <w:szCs w:val="11"/>
          <w:color w:val="auto"/>
        </w:rPr>
        <w:t>We also are subject to other laws and regulations governing our international operations, including regulations administered by the governments of the United States, United Kingdom and authorities in the EU, including applicable export control regulations, economic sanctions on countries and persons, customs requirements and currency exchange regulations, which we collectively refer to as Trade Control Laws.</w:t>
      </w:r>
    </w:p>
    <w:p>
      <w:pPr>
        <w:spacing w:after="0" w:line="92" w:lineRule="exact"/>
        <w:rPr>
          <w:sz w:val="20"/>
          <w:szCs w:val="20"/>
          <w:color w:val="auto"/>
        </w:rPr>
      </w:pPr>
    </w:p>
    <w:p>
      <w:pPr>
        <w:ind w:right="60" w:firstLine="513"/>
        <w:spacing w:after="0" w:line="256" w:lineRule="auto"/>
        <w:rPr>
          <w:sz w:val="20"/>
          <w:szCs w:val="20"/>
          <w:color w:val="auto"/>
        </w:rPr>
      </w:pPr>
      <w:r>
        <w:rPr>
          <w:rFonts w:ascii="Arial" w:cs="Arial" w:eastAsia="Arial" w:hAnsi="Arial"/>
          <w:sz w:val="12"/>
          <w:szCs w:val="12"/>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78" w:lineRule="exact"/>
        <w:rPr>
          <w:sz w:val="20"/>
          <w:szCs w:val="20"/>
          <w:color w:val="auto"/>
        </w:rPr>
      </w:pPr>
    </w:p>
    <w:p>
      <w:pPr>
        <w:ind w:right="40" w:firstLine="513"/>
        <w:spacing w:after="0" w:line="256"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28" w:lineRule="exact"/>
        <w:rPr>
          <w:sz w:val="20"/>
          <w:szCs w:val="20"/>
          <w:color w:val="auto"/>
        </w:rPr>
      </w:pPr>
    </w:p>
    <w:p>
      <w:pPr>
        <w:ind w:right="80" w:firstLine="513"/>
        <w:spacing w:after="0" w:line="289" w:lineRule="auto"/>
        <w:rPr>
          <w:sz w:val="20"/>
          <w:szCs w:val="20"/>
          <w:color w:val="auto"/>
        </w:rPr>
      </w:pPr>
      <w:r>
        <w:rPr>
          <w:rFonts w:ascii="Arial" w:cs="Arial" w:eastAsia="Arial" w:hAnsi="Arial"/>
          <w:sz w:val="11"/>
          <w:szCs w:val="11"/>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Unfavorable global economic conditions could adversely affect our business, financial condition, stock price and results of operations.</w:t>
      </w:r>
    </w:p>
    <w:p>
      <w:pPr>
        <w:spacing w:after="0" w:line="78" w:lineRule="exact"/>
        <w:rPr>
          <w:sz w:val="20"/>
          <w:szCs w:val="20"/>
          <w:color w:val="auto"/>
        </w:rPr>
      </w:pPr>
    </w:p>
    <w:p>
      <w:pPr>
        <w:ind w:firstLine="513"/>
        <w:spacing w:after="0" w:line="255" w:lineRule="auto"/>
        <w:rPr>
          <w:sz w:val="20"/>
          <w:szCs w:val="20"/>
          <w:color w:val="auto"/>
        </w:rPr>
      </w:pPr>
      <w:r>
        <w:rPr>
          <w:rFonts w:ascii="Arial" w:cs="Arial" w:eastAsia="Arial" w:hAnsi="Arial"/>
          <w:sz w:val="12"/>
          <w:szCs w:val="12"/>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recent volatility associated with the COVID-19 outbreak has caused significant instability and disruptions in the capital and credit markets.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76" w:name="page77"/>
    <w:bookmarkEnd w:id="76"/>
    <w:p>
      <w:pPr>
        <w:ind w:right="80"/>
        <w:spacing w:after="0" w:line="276" w:lineRule="auto"/>
        <w:rPr>
          <w:sz w:val="20"/>
          <w:szCs w:val="20"/>
          <w:color w:val="auto"/>
        </w:rPr>
      </w:pPr>
      <w:r>
        <w:rPr>
          <w:rFonts w:ascii="Arial" w:cs="Arial" w:eastAsia="Arial" w:hAnsi="Arial"/>
          <w:sz w:val="12"/>
          <w:szCs w:val="12"/>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43" w:lineRule="exact"/>
        <w:rPr>
          <w:sz w:val="20"/>
          <w:szCs w:val="20"/>
          <w:color w:val="auto"/>
        </w:rPr>
      </w:pPr>
    </w:p>
    <w:p>
      <w:pPr>
        <w:ind w:right="20" w:firstLine="513"/>
        <w:spacing w:after="0" w:line="278" w:lineRule="auto"/>
        <w:rPr>
          <w:sz w:val="20"/>
          <w:szCs w:val="20"/>
          <w:color w:val="auto"/>
        </w:rPr>
      </w:pPr>
      <w:r>
        <w:rPr>
          <w:rFonts w:ascii="Arial" w:cs="Arial" w:eastAsia="Arial" w:hAnsi="Arial"/>
          <w:sz w:val="11"/>
          <w:szCs w:val="11"/>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expect our operating results to be subject to quarterly fluctuations. Our net loss and other operating results will be affected by numerous factors, including:</w:t>
      </w:r>
    </w:p>
    <w:p>
      <w:pPr>
        <w:spacing w:after="0" w:line="78" w:lineRule="exact"/>
        <w:rPr>
          <w:sz w:val="20"/>
          <w:szCs w:val="20"/>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variations in the level of expense related to the ongoing development of our drug candidates, DELigase platform, DeTIL or future development programs;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results of preclinical and clinical trials, or the addition or termination of clinical trials or funding support by us or by existing or future collaborators or licensing partners;</w:t>
      </w:r>
    </w:p>
    <w:p>
      <w:pPr>
        <w:spacing w:after="0" w:line="78"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any intellectual property infringement lawsuit or opposition, interference or cancellation proceeding in which we may become involved;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additions and departures of key personnel;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strategic decisions by us or our competitors, such as acquisitions, divestitures, spin-offs, joint ventures, strategic investments or changes in business strategy;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if any of our drug candidates receives regulatory approval, the terms of such approval and market acceptance and demand for such drug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regulatory developments affecting our drug candidates or those of our competitors;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general market and economic conditions.</w:t>
      </w:r>
    </w:p>
    <w:p>
      <w:pPr>
        <w:spacing w:after="0" w:line="150"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00" w:top="491" w:right="359" w:bottom="1440" w:gutter="0" w:footer="0" w:header="0"/>
        </w:sectPr>
      </w:pPr>
    </w:p>
    <w:bookmarkStart w:id="77" w:name="page78"/>
    <w:bookmarkEnd w:id="77"/>
    <w:p>
      <w:pPr>
        <w:spacing w:after="0"/>
        <w:rPr>
          <w:sz w:val="20"/>
          <w:szCs w:val="20"/>
          <w:color w:val="auto"/>
        </w:rPr>
      </w:pPr>
      <w:r>
        <w:rPr>
          <w:rFonts w:ascii="Arial" w:cs="Arial" w:eastAsia="Arial" w:hAnsi="Arial"/>
          <w:sz w:val="12"/>
          <w:szCs w:val="12"/>
          <w:b w:val="1"/>
          <w:bCs w:val="1"/>
          <w:i w:val="1"/>
          <w:iCs w:val="1"/>
          <w:color w:val="auto"/>
        </w:rPr>
        <w:t>Our stock price may be volatile and you could lose all or part of your investment.</w:t>
      </w:r>
    </w:p>
    <w:p>
      <w:pPr>
        <w:spacing w:after="0" w:line="78" w:lineRule="exact"/>
        <w:rPr>
          <w:sz w:val="20"/>
          <w:szCs w:val="20"/>
          <w:color w:val="auto"/>
        </w:rPr>
      </w:pPr>
    </w:p>
    <w:p>
      <w:pPr>
        <w:ind w:firstLine="513"/>
        <w:spacing w:after="0" w:line="323" w:lineRule="auto"/>
        <w:rPr>
          <w:sz w:val="20"/>
          <w:szCs w:val="20"/>
          <w:color w:val="auto"/>
        </w:rPr>
      </w:pPr>
      <w:r>
        <w:rPr>
          <w:rFonts w:ascii="Arial" w:cs="Arial" w:eastAsia="Arial" w:hAnsi="Arial"/>
          <w:sz w:val="11"/>
          <w:szCs w:val="11"/>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20" w:lineRule="exact"/>
        <w:rPr>
          <w:sz w:val="20"/>
          <w:szCs w:val="20"/>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results of preclinical studies and clinical trials of our drug candidates, or those of our competitors or our existing or future collaborators;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regulatory or legal developments in the United States and other countries, especially changes in laws or regulations applicable to our drug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success of competitive products or technologies;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introductions and announcements of new products by us, our collaboration partners, or our competitors, and the timing of these introductions or announcements;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actions taken by regulatory agencies with respect to our drug candidates, clinical studies, manufacturing process or sales and marketing terms;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actual or anticipated variations in our financial results or in those of companies that are perceived to be similar to us;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success of our efforts to acquire or in-license additional technologies, products or drug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developments concerning our current or future collaborations, including but not limited to those with our sources of manufacturing supply and our commercialization partners;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market conditions in the pharmaceutical and biotechnology sectors;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acquisitions, strategic collaborations, joint ventures or capital commitments;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developments or disputes concerning patents or other proprietary rights, including patents, litigation matters and our ability to obtain patent protection for our drug candidates and products;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our ability or inability to raise additional capital and the terms on which we raise it;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recruitment or departure of key personnel;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changes in the structure of healthcare payment systems;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actual or anticipated changes in earnings estimates or changes in stock market analyst recommendations regarding our common stock, other comparable companies or our industry generally;</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our failure or the failure of our competitors to meet analysts’ projections or guidance that we or our competitors may provide to the market;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fluctuations in the valuation of companies perceived by investors to be comparable to us;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announcement and expectation of additional financing efforts;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speculation in the press or investment community;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trading volume of our common stock;</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sales of our common stock by us or our stockholders;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concentrated ownership of our common stock;</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changes in accounting principles;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terrorist acts, acts of war or periods of widespread civil unrest;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effects of public health crises, pandemics and epidemics, such as COVID-19;</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natural disasters and other calamities;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general economic, industry and market conditions.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100"/>
          </w:cols>
          <w:pgMar w:left="300" w:top="491" w:right="499" w:bottom="1440" w:gutter="0" w:footer="0" w:header="0"/>
        </w:sectPr>
      </w:pPr>
    </w:p>
    <w:bookmarkStart w:id="78" w:name="page79"/>
    <w:bookmarkEnd w:id="78"/>
    <w:p>
      <w:pPr>
        <w:jc w:val="both"/>
        <w:ind w:right="80" w:firstLine="513"/>
        <w:spacing w:after="0" w:line="298" w:lineRule="auto"/>
        <w:rPr>
          <w:sz w:val="20"/>
          <w:szCs w:val="20"/>
          <w:color w:val="auto"/>
        </w:rPr>
      </w:pPr>
      <w:r>
        <w:rPr>
          <w:rFonts w:ascii="Arial" w:cs="Arial" w:eastAsia="Arial" w:hAnsi="Arial"/>
          <w:sz w:val="11"/>
          <w:szCs w:val="11"/>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stockholders and management own a significant percentage of our stock and will be able to exert significant control over matters subject to stockholder approval.</w:t>
      </w:r>
    </w:p>
    <w:p>
      <w:pPr>
        <w:spacing w:after="0" w:line="78" w:lineRule="exact"/>
        <w:rPr>
          <w:sz w:val="20"/>
          <w:szCs w:val="20"/>
          <w:color w:val="auto"/>
        </w:rPr>
      </w:pPr>
    </w:p>
    <w:p>
      <w:pPr>
        <w:ind w:right="160" w:firstLine="513"/>
        <w:spacing w:after="0" w:line="255" w:lineRule="auto"/>
        <w:rPr>
          <w:sz w:val="20"/>
          <w:szCs w:val="20"/>
          <w:color w:val="auto"/>
        </w:rPr>
      </w:pPr>
      <w:r>
        <w:rPr>
          <w:rFonts w:ascii="Arial" w:cs="Arial" w:eastAsia="Arial" w:hAnsi="Arial"/>
          <w:sz w:val="12"/>
          <w:szCs w:val="12"/>
          <w:color w:val="auto"/>
        </w:rPr>
        <w:t>Based on the beneficial ownership of our common stock as of May 31, 2021, our executive officers, directors and affiliates beneficially owned a substantial percentage of our outstanding voting stock. As a result, these stockholders, if acting together, could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sale of a substantial number of shares of our common stock may cause the price of our common stock to decline.</w:t>
      </w:r>
    </w:p>
    <w:p>
      <w:pPr>
        <w:spacing w:after="0" w:line="78" w:lineRule="exact"/>
        <w:rPr>
          <w:sz w:val="20"/>
          <w:szCs w:val="20"/>
          <w:color w:val="auto"/>
        </w:rPr>
      </w:pPr>
    </w:p>
    <w:p>
      <w:pPr>
        <w:ind w:right="220" w:firstLine="513"/>
        <w:spacing w:after="0" w:line="259" w:lineRule="auto"/>
        <w:rPr>
          <w:sz w:val="20"/>
          <w:szCs w:val="20"/>
          <w:color w:val="auto"/>
        </w:rPr>
      </w:pPr>
      <w:r>
        <w:rPr>
          <w:rFonts w:ascii="Arial" w:cs="Arial" w:eastAsia="Arial" w:hAnsi="Arial"/>
          <w:sz w:val="12"/>
          <w:szCs w:val="12"/>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In connection with our follow-on offering in March 2021, each of our officers, directors and their affiliates entered into lock-up agreements with the underwriters that restrict their ability to sell or transfer their shares, subject to certain exceptions. These lock-up agreements expired on May 3, 2021, at which point the shares subject to the lock-up agreements became eligible for sale in the public market.</w:t>
      </w:r>
    </w:p>
    <w:p>
      <w:pPr>
        <w:spacing w:after="0" w:line="124" w:lineRule="exact"/>
        <w:rPr>
          <w:sz w:val="20"/>
          <w:szCs w:val="20"/>
          <w:color w:val="auto"/>
        </w:rPr>
      </w:pPr>
    </w:p>
    <w:p>
      <w:pPr>
        <w:ind w:right="320" w:firstLine="513"/>
        <w:spacing w:after="0" w:line="323" w:lineRule="auto"/>
        <w:rPr>
          <w:sz w:val="20"/>
          <w:szCs w:val="20"/>
          <w:color w:val="auto"/>
        </w:rPr>
      </w:pPr>
      <w:r>
        <w:rPr>
          <w:rFonts w:ascii="Arial" w:cs="Arial" w:eastAsia="Arial" w:hAnsi="Arial"/>
          <w:sz w:val="11"/>
          <w:szCs w:val="11"/>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92" w:lineRule="exact"/>
        <w:rPr>
          <w:sz w:val="20"/>
          <w:szCs w:val="20"/>
          <w:color w:val="auto"/>
        </w:rPr>
      </w:pPr>
    </w:p>
    <w:p>
      <w:pPr>
        <w:ind w:right="120" w:firstLine="513"/>
        <w:spacing w:after="0" w:line="379" w:lineRule="auto"/>
        <w:rPr>
          <w:sz w:val="20"/>
          <w:szCs w:val="20"/>
          <w:color w:val="auto"/>
        </w:rPr>
      </w:pPr>
      <w:r>
        <w:rPr>
          <w:rFonts w:ascii="Arial" w:cs="Arial" w:eastAsia="Arial" w:hAnsi="Arial"/>
          <w:sz w:val="10"/>
          <w:szCs w:val="10"/>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90" w:lineRule="exact"/>
        <w:rPr>
          <w:sz w:val="20"/>
          <w:szCs w:val="20"/>
          <w:color w:val="auto"/>
        </w:rPr>
      </w:pPr>
    </w:p>
    <w:p>
      <w:pPr>
        <w:ind w:right="60" w:firstLine="513"/>
        <w:spacing w:after="0" w:line="259" w:lineRule="auto"/>
        <w:rPr>
          <w:sz w:val="20"/>
          <w:szCs w:val="20"/>
          <w:color w:val="auto"/>
        </w:rPr>
      </w:pPr>
      <w:r>
        <w:rPr>
          <w:rFonts w:ascii="Arial" w:cs="Arial" w:eastAsia="Arial" w:hAnsi="Arial"/>
          <w:sz w:val="12"/>
          <w:szCs w:val="12"/>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future sale and issuance of equity or of debt securities that are convertible into equity will dilute our share capital.</w:t>
      </w:r>
    </w:p>
    <w:p>
      <w:pPr>
        <w:spacing w:after="0" w:line="78" w:lineRule="exact"/>
        <w:rPr>
          <w:sz w:val="20"/>
          <w:szCs w:val="20"/>
          <w:color w:val="auto"/>
        </w:rPr>
      </w:pPr>
    </w:p>
    <w:p>
      <w:pPr>
        <w:ind w:firstLine="513"/>
        <w:spacing w:after="0" w:line="289" w:lineRule="auto"/>
        <w:rPr>
          <w:sz w:val="20"/>
          <w:szCs w:val="20"/>
          <w:color w:val="auto"/>
        </w:rPr>
      </w:pPr>
      <w:r>
        <w:rPr>
          <w:rFonts w:ascii="Arial" w:cs="Arial" w:eastAsia="Arial" w:hAnsi="Arial"/>
          <w:sz w:val="11"/>
          <w:szCs w:val="11"/>
          <w:color w:val="auto"/>
        </w:rPr>
        <w:t>We may choose to raise additional capital in the future, depending on market conditions, strategic considerations and operational requirements. For example, in March 2021, we sold an additional 5,175,000 shares of our common stock in a follow-on public offering.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635" w:right="339" w:bottom="1440" w:gutter="0" w:footer="0" w:header="0"/>
        </w:sectPr>
      </w:pPr>
    </w:p>
    <w:bookmarkStart w:id="79" w:name="page80"/>
    <w:bookmarkEnd w:id="79"/>
    <w:p>
      <w:pPr>
        <w:ind w:right="180"/>
        <w:spacing w:after="0" w:line="276" w:lineRule="auto"/>
        <w:rPr>
          <w:sz w:val="20"/>
          <w:szCs w:val="20"/>
          <w:color w:val="auto"/>
        </w:rPr>
      </w:pPr>
      <w:r>
        <w:rPr>
          <w:rFonts w:ascii="Arial" w:cs="Arial" w:eastAsia="Arial" w:hAnsi="Arial"/>
          <w:sz w:val="12"/>
          <w:szCs w:val="12"/>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43" w:lineRule="exact"/>
        <w:rPr>
          <w:sz w:val="20"/>
          <w:szCs w:val="20"/>
          <w:color w:val="auto"/>
        </w:rPr>
      </w:pPr>
    </w:p>
    <w:p>
      <w:pPr>
        <w:ind w:firstLine="513"/>
        <w:spacing w:after="0" w:line="304" w:lineRule="auto"/>
        <w:rPr>
          <w:sz w:val="20"/>
          <w:szCs w:val="20"/>
          <w:color w:val="auto"/>
        </w:rPr>
      </w:pPr>
      <w:r>
        <w:rPr>
          <w:rFonts w:ascii="Arial" w:cs="Arial" w:eastAsia="Arial" w:hAnsi="Arial"/>
          <w:sz w:val="10"/>
          <w:szCs w:val="10"/>
          <w:color w:val="auto"/>
        </w:rPr>
        <w:t>We are an “emerging growth company” (EGC) as defined in the JOBS Act. For as long as we continue to be an EGC, we may take advantage of exemptions from various reporting requirements applicable to other public companies that are not EGCs, including (i) not being required to comply with the auditor attestation requirements of Section 404 of the Sarbanes-Oxley Act of 2002 (the Sarbanes-Oxley Act), (ii) reduced disclosure obligations regarding executive compensation in our periodic reports, registration statements and proxy statements, and (iii) exemptions from the requirements of holding nonbinding advisory stockholder votes on executive compensation and stockholder approval of any golden parachute payments not approved previously. We could be an EGC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prior May 31, or if we have total annual gross revenue of</w:t>
      </w:r>
    </w:p>
    <w:p>
      <w:pPr>
        <w:spacing w:after="0" w:line="1" w:lineRule="exact"/>
        <w:rPr>
          <w:sz w:val="20"/>
          <w:szCs w:val="20"/>
          <w:color w:val="auto"/>
        </w:rPr>
      </w:pPr>
    </w:p>
    <w:p>
      <w:pPr>
        <w:ind w:right="40"/>
        <w:spacing w:after="0" w:line="315" w:lineRule="auto"/>
        <w:rPr>
          <w:sz w:val="20"/>
          <w:szCs w:val="20"/>
          <w:color w:val="auto"/>
        </w:rPr>
      </w:pPr>
      <w:r>
        <w:rPr>
          <w:rFonts w:ascii="Arial" w:cs="Arial" w:eastAsia="Arial" w:hAnsi="Arial"/>
          <w:sz w:val="10"/>
          <w:szCs w:val="10"/>
          <w:color w:val="auto"/>
        </w:rPr>
        <w:t>$1.07 billion or more during any fiscal year before that time, in which cases we no longer would be an EGC as of the following November 30, or if we issue more than $1.0 billion in non-convertible debt during the prior three-year period before that time, in which case we no longer would be an EGC immediately. Even after we no longer qualify as an EGC, we still may qualify as a “smaller reporting company,” as such term is defined in Rule 12b-2 under the Exchange Act of 1934, as amended (the Exchange Act),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less-active trading market for our common stock and our share price may be more volatile.</w:t>
      </w:r>
    </w:p>
    <w:p>
      <w:pPr>
        <w:spacing w:after="0" w:line="100" w:lineRule="exact"/>
        <w:rPr>
          <w:sz w:val="20"/>
          <w:szCs w:val="20"/>
          <w:color w:val="auto"/>
        </w:rPr>
      </w:pPr>
    </w:p>
    <w:p>
      <w:pPr>
        <w:ind w:right="140" w:firstLine="513"/>
        <w:spacing w:after="0" w:line="326" w:lineRule="auto"/>
        <w:rPr>
          <w:sz w:val="20"/>
          <w:szCs w:val="20"/>
          <w:color w:val="auto"/>
        </w:rPr>
      </w:pPr>
      <w:r>
        <w:rPr>
          <w:rFonts w:ascii="Arial" w:cs="Arial" w:eastAsia="Arial" w:hAnsi="Arial"/>
          <w:sz w:val="10"/>
          <w:szCs w:val="10"/>
          <w:color w:val="auto"/>
        </w:rPr>
        <w:t>Under the JOBS Act, EGCs also may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(the Securities Act), upon issuance of a new or revised accounting standard that applies to our financial statements and that has a different effective date for public and private companies, we will disclose the date on which adoption is required for non-EGCs and the date on which we will adopt the recently issued accounting standard.</w:t>
      </w:r>
    </w:p>
    <w:p>
      <w:pPr>
        <w:spacing w:after="0" w:line="95" w:lineRule="exact"/>
        <w:rPr>
          <w:sz w:val="20"/>
          <w:szCs w:val="20"/>
          <w:color w:val="auto"/>
        </w:rPr>
      </w:pPr>
    </w:p>
    <w:p>
      <w:pPr>
        <w:ind w:right="100" w:firstLine="513"/>
        <w:spacing w:after="0" w:line="326" w:lineRule="auto"/>
        <w:rPr>
          <w:sz w:val="20"/>
          <w:szCs w:val="20"/>
          <w:color w:val="auto"/>
        </w:rPr>
      </w:pPr>
      <w:r>
        <w:rPr>
          <w:rFonts w:ascii="Arial" w:cs="Arial" w:eastAsia="Arial" w:hAnsi="Arial"/>
          <w:sz w:val="10"/>
          <w:szCs w:val="10"/>
          <w:color w:val="auto"/>
        </w:rPr>
        <w:t>We also are a “smaller reporting company,” and may continue to be a smaller reporting company if either (i) the market value of our stock held by non-affiliates is less than $250 million as of the prior May 31, or (ii) our annual revenue is less than $100 million during the most recently completed fiscal year and the market value of our stock held by non-affiliates is less than $700 million as of the prior May 31.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167"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3" w:lineRule="exact"/>
        <w:rPr>
          <w:sz w:val="20"/>
          <w:szCs w:val="20"/>
          <w:color w:val="auto"/>
        </w:rPr>
      </w:pPr>
    </w:p>
    <w:p>
      <w:pPr>
        <w:ind w:right="360" w:firstLine="513"/>
        <w:spacing w:after="0" w:line="276" w:lineRule="auto"/>
        <w:rPr>
          <w:sz w:val="20"/>
          <w:szCs w:val="20"/>
          <w:color w:val="auto"/>
        </w:rPr>
      </w:pPr>
      <w:r>
        <w:rPr>
          <w:rFonts w:ascii="Arial" w:cs="Arial" w:eastAsia="Arial" w:hAnsi="Arial"/>
          <w:sz w:val="12"/>
          <w:szCs w:val="12"/>
          <w:color w:val="auto"/>
        </w:rPr>
        <w:t>Our restated certificate of incorporation and our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43" w:lineRule="exact"/>
        <w:rPr>
          <w:sz w:val="20"/>
          <w:szCs w:val="20"/>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establish a classified board of directors so that not all members of our board are elected at one time;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permit only our board of directors to establish the number of directors and fill vacancies on our board;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provide that directors may be removed only “for cause” and only with the approval of two-thirds of our stockholders;</w:t>
      </w:r>
    </w:p>
    <w:p>
      <w:pPr>
        <w:spacing w:after="0" w:line="78" w:lineRule="exact"/>
        <w:rPr>
          <w:rFonts w:ascii="Arial" w:cs="Arial" w:eastAsia="Arial" w:hAnsi="Arial"/>
          <w:sz w:val="12"/>
          <w:szCs w:val="12"/>
          <w:color w:val="auto"/>
        </w:rPr>
      </w:pPr>
    </w:p>
    <w:p>
      <w:pPr>
        <w:ind w:left="1020" w:right="80" w:hanging="515"/>
        <w:spacing w:after="0" w:line="276" w:lineRule="auto"/>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require super-majority voting to amend some provisions in our restated certificate of incorporation and restated bylaws, unless such amendments are approved by two-thirds of our board of directors, in which case stockholders can approve by a simple majority;</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authorize the issuance of “blank check” preferred stock that our board could use to implement a stockholder rights plan;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eliminate the ability of our stockholders to call special meetings of stockholders;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0" w:name="page81"/>
    <w:bookmarkEnd w:id="80"/>
    <w:p>
      <w:pPr>
        <w:ind w:left="1020" w:hanging="515"/>
        <w:spacing w:after="0"/>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prohibit stockholder action by written consent, which requires all stockholder actions to be taken at a meeting of our stockholders;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prohibit cumulative voting;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establish advance notice requirements for nominations for election to our board or for proposing matters that can be acted upon by stockholders at annual stockholder meetings.</w:t>
      </w:r>
    </w:p>
    <w:p>
      <w:pPr>
        <w:spacing w:after="0" w:line="150" w:lineRule="exact"/>
        <w:rPr>
          <w:sz w:val="20"/>
          <w:szCs w:val="20"/>
          <w:color w:val="auto"/>
        </w:rPr>
      </w:pPr>
    </w:p>
    <w:p>
      <w:pPr>
        <w:ind w:right="600" w:firstLine="513"/>
        <w:spacing w:after="0" w:line="276" w:lineRule="auto"/>
        <w:rPr>
          <w:sz w:val="20"/>
          <w:szCs w:val="20"/>
          <w:color w:val="auto"/>
        </w:rPr>
      </w:pPr>
      <w:r>
        <w:rPr>
          <w:rFonts w:ascii="Arial" w:cs="Arial" w:eastAsia="Arial" w:hAnsi="Arial"/>
          <w:sz w:val="12"/>
          <w:szCs w:val="12"/>
          <w:color w:val="auto"/>
        </w:rPr>
        <w:t>In addition,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Our restated certificate of incorporation and our restated bylaws contain exclusive forum provisions for certain claims, which could limit our stockholders’ ability to obtain a favorable judicial forum for disputes with us or our directors, officers or employees.</w:t>
      </w:r>
    </w:p>
    <w:p>
      <w:pPr>
        <w:spacing w:after="0" w:line="43" w:lineRule="exact"/>
        <w:rPr>
          <w:sz w:val="20"/>
          <w:szCs w:val="20"/>
          <w:color w:val="auto"/>
        </w:rPr>
      </w:pPr>
    </w:p>
    <w:p>
      <w:pPr>
        <w:jc w:val="both"/>
        <w:ind w:right="40" w:firstLine="513"/>
        <w:spacing w:after="0" w:line="263" w:lineRule="auto"/>
        <w:rPr>
          <w:sz w:val="20"/>
          <w:szCs w:val="20"/>
          <w:color w:val="auto"/>
        </w:rPr>
      </w:pPr>
      <w:r>
        <w:rPr>
          <w:rFonts w:ascii="Arial" w:cs="Arial" w:eastAsia="Arial" w:hAnsi="Arial"/>
          <w:sz w:val="12"/>
          <w:szCs w:val="12"/>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122" w:lineRule="exact"/>
        <w:rPr>
          <w:sz w:val="20"/>
          <w:szCs w:val="20"/>
          <w:color w:val="auto"/>
        </w:rPr>
      </w:pPr>
    </w:p>
    <w:p>
      <w:pPr>
        <w:ind w:firstLine="513"/>
        <w:spacing w:after="0" w:line="280" w:lineRule="auto"/>
        <w:rPr>
          <w:sz w:val="20"/>
          <w:szCs w:val="20"/>
          <w:color w:val="auto"/>
        </w:rPr>
      </w:pPr>
      <w:r>
        <w:rPr>
          <w:rFonts w:ascii="Arial" w:cs="Arial" w:eastAsia="Arial" w:hAnsi="Arial"/>
          <w:sz w:val="11"/>
          <w:szCs w:val="11"/>
          <w:color w:val="auto"/>
        </w:rPr>
        <w:t>Moreover, Section 22 of the Securities Act creates concurrent jurisdiction for federal and state courts over all claims brought to enforce any duty or liability created by the Securities Act or the rules and regulations thereunder and our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15" w:lineRule="exact"/>
        <w:rPr>
          <w:sz w:val="20"/>
          <w:szCs w:val="20"/>
          <w:color w:val="auto"/>
        </w:rPr>
      </w:pPr>
    </w:p>
    <w:p>
      <w:pPr>
        <w:ind w:firstLine="513"/>
        <w:spacing w:after="0" w:line="289" w:lineRule="auto"/>
        <w:rPr>
          <w:sz w:val="20"/>
          <w:szCs w:val="20"/>
          <w:color w:val="auto"/>
        </w:rPr>
      </w:pPr>
      <w:r>
        <w:rPr>
          <w:rFonts w:ascii="Arial" w:cs="Arial" w:eastAsia="Arial" w:hAnsi="Arial"/>
          <w:sz w:val="11"/>
          <w:szCs w:val="11"/>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90" w:lineRule="exact"/>
        <w:rPr>
          <w:sz w:val="20"/>
          <w:szCs w:val="20"/>
          <w:color w:val="auto"/>
        </w:rPr>
      </w:pPr>
    </w:p>
    <w:p>
      <w:pPr>
        <w:ind w:right="20" w:firstLine="513"/>
        <w:spacing w:after="0" w:line="281" w:lineRule="auto"/>
        <w:rPr>
          <w:sz w:val="20"/>
          <w:szCs w:val="20"/>
          <w:color w:val="auto"/>
        </w:rPr>
      </w:pPr>
      <w:r>
        <w:rPr>
          <w:rFonts w:ascii="Arial" w:cs="Arial" w:eastAsia="Arial" w:hAnsi="Arial"/>
          <w:sz w:val="11"/>
          <w:szCs w:val="11"/>
          <w:color w:val="auto"/>
        </w:rPr>
        <w:t>As a public company, and particularly after we no longer are an EGC, we will incur significant legal, accounting and other expenses that we did not incur as a private company. The Sarbanes-Oxley Act, the Dodd-Frank Wall Street Reform and Consumer Protection Act, the listing requirements of the Nasdaq Global Market (Nasdaq) and other applicable securities rules and regulations impose various requirements on public companies, including establishment and maintenance of effective disclosure and financial controls and corporate governance practices. Our management and other personnel are required to devote a substantial amount of time to these compliance initiatives. Moreover, we expect these rules and regulations to substantially increase our legal and financial compliance costs and to make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81" w:name="page82"/>
    <w:bookmarkEnd w:id="81"/>
    <w:p>
      <w:pPr>
        <w:ind w:right="20"/>
        <w:spacing w:after="0" w:line="276" w:lineRule="auto"/>
        <w:rPr>
          <w:sz w:val="20"/>
          <w:szCs w:val="20"/>
          <w:color w:val="auto"/>
        </w:rPr>
      </w:pPr>
      <w:r>
        <w:rPr>
          <w:rFonts w:ascii="Arial" w:cs="Arial" w:eastAsia="Arial" w:hAnsi="Arial"/>
          <w:sz w:val="12"/>
          <w:szCs w:val="12"/>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43" w:lineRule="exact"/>
        <w:rPr>
          <w:sz w:val="20"/>
          <w:szCs w:val="20"/>
          <w:color w:val="auto"/>
        </w:rPr>
      </w:pPr>
    </w:p>
    <w:p>
      <w:pPr>
        <w:ind w:firstLine="513"/>
        <w:spacing w:after="0" w:line="254" w:lineRule="auto"/>
        <w:rPr>
          <w:sz w:val="20"/>
          <w:szCs w:val="20"/>
          <w:color w:val="auto"/>
        </w:rPr>
      </w:pPr>
      <w:r>
        <w:rPr>
          <w:rFonts w:ascii="Arial" w:cs="Arial" w:eastAsia="Arial" w:hAnsi="Arial"/>
          <w:sz w:val="12"/>
          <w:szCs w:val="12"/>
          <w:color w:val="auto"/>
        </w:rPr>
        <w:t>We are not currently required to comply with the SEC’s rules that implement Section 404 of the Sarbanes-Oxley Act, and therefore are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process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130" w:lineRule="exact"/>
        <w:rPr>
          <w:sz w:val="20"/>
          <w:szCs w:val="20"/>
          <w:color w:val="auto"/>
        </w:rPr>
      </w:pPr>
    </w:p>
    <w:p>
      <w:pPr>
        <w:ind w:right="40" w:firstLine="513"/>
        <w:spacing w:after="0" w:line="281" w:lineRule="auto"/>
        <w:rPr>
          <w:sz w:val="20"/>
          <w:szCs w:val="20"/>
          <w:color w:val="auto"/>
        </w:rPr>
      </w:pPr>
      <w:r>
        <w:rPr>
          <w:rFonts w:ascii="Arial" w:cs="Arial" w:eastAsia="Arial" w:hAnsi="Arial"/>
          <w:sz w:val="11"/>
          <w:szCs w:val="11"/>
          <w:color w:val="auto"/>
        </w:rPr>
        <w:t>In the course of preparing our financial statements for fiscal years 2018 and 2019, we identified a material weakness in our internal control over financial reporting. Specifically, we did not design and maintain formally documented controls and accounting policies and procedures, including information technology general controls, segregation of duties over the review and approval of account reconciliations and manual journal entries, and the period-end financial reporting process. The existing material weakness resulted in a revision to the basic and diluted weighted-average number of shares outstanding and basic and diluted net loss per share calculations for the three- and nine-month periods ended August 31, 2020. In addition, this material weakness also resulted in the revision to the diluted weighted-average number of shares outstanding and basic and diluted net income per share calculations for the three-month period ended May 31, 2020. The material weakness has not been remediated as of May 31, 2021 and could result in a misstatement of substantially all of our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15"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We cannot assure you that we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do not anticipate paying any cash dividends on our capital stock in the foreseeable future, capital appreciation, if any, will be your sole source of gain.</w:t>
      </w:r>
    </w:p>
    <w:p>
      <w:pPr>
        <w:spacing w:after="0" w:line="78" w:lineRule="exact"/>
        <w:rPr>
          <w:sz w:val="20"/>
          <w:szCs w:val="20"/>
          <w:color w:val="auto"/>
        </w:rPr>
      </w:pPr>
    </w:p>
    <w:p>
      <w:pPr>
        <w:ind w:right="160" w:firstLine="513"/>
        <w:spacing w:after="0" w:line="276" w:lineRule="auto"/>
        <w:rPr>
          <w:sz w:val="20"/>
          <w:szCs w:val="20"/>
          <w:color w:val="auto"/>
        </w:rPr>
      </w:pPr>
      <w:r>
        <w:rPr>
          <w:rFonts w:ascii="Arial" w:cs="Arial" w:eastAsia="Arial" w:hAnsi="Arial"/>
          <w:sz w:val="12"/>
          <w:szCs w:val="12"/>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securities litigation, which is expensive and could divert management attention.</w:t>
      </w:r>
    </w:p>
    <w:p>
      <w:pPr>
        <w:spacing w:after="0" w:line="78" w:lineRule="exact"/>
        <w:rPr>
          <w:sz w:val="20"/>
          <w:szCs w:val="20"/>
          <w:color w:val="auto"/>
        </w:rPr>
      </w:pPr>
    </w:p>
    <w:p>
      <w:pPr>
        <w:ind w:right="120" w:firstLine="513"/>
        <w:spacing w:after="0" w:line="323" w:lineRule="auto"/>
        <w:rPr>
          <w:sz w:val="20"/>
          <w:szCs w:val="20"/>
          <w:color w:val="auto"/>
        </w:rPr>
      </w:pPr>
      <w:r>
        <w:rPr>
          <w:rFonts w:ascii="Arial" w:cs="Arial" w:eastAsia="Arial" w:hAnsi="Arial"/>
          <w:sz w:val="11"/>
          <w:szCs w:val="11"/>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2" w:name="page83"/>
    <w:bookmarkEnd w:id="82"/>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Proceeds</w:t>
      </w:r>
    </w:p>
    <w:p>
      <w:pPr>
        <w:spacing w:after="0" w:line="8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On July 23, 2020, our registration statement on Form S-1, as amended (File No. 333-239651), was declared effective by the SEC in connection with the IPO of our common stock.</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0"/>
          <w:szCs w:val="10"/>
          <w:color w:val="auto"/>
        </w:rPr>
        <w:t>There has been no material change in the planned use of proceeds from our IPO as described in the prospectus filed with the SEC pursuant to Rule 424(b)(4) under the Securities Act on July 24, 2020.</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Unregistered Sales of Equity Securities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Purchases of Equity Securities by Issuers and Affiliated Purchasers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jc w:val="center"/>
        <w:ind w:right="8900"/>
        <w:spacing w:after="0"/>
        <w:rPr>
          <w:sz w:val="20"/>
          <w:szCs w:val="20"/>
          <w:color w:val="auto"/>
        </w:rPr>
      </w:pPr>
      <w:r>
        <w:rPr>
          <w:rFonts w:ascii="Arial" w:cs="Arial" w:eastAsia="Arial" w:hAnsi="Arial"/>
          <w:sz w:val="11"/>
          <w:szCs w:val="11"/>
          <w:b w:val="1"/>
          <w:bCs w:val="1"/>
          <w:color w:val="auto"/>
        </w:rPr>
        <w:t>Item 5. Other Information</w:t>
      </w:r>
    </w:p>
    <w:p>
      <w:pPr>
        <w:spacing w:after="0" w:line="94" w:lineRule="exact"/>
        <w:rPr>
          <w:sz w:val="20"/>
          <w:szCs w:val="20"/>
          <w:color w:val="auto"/>
        </w:rPr>
      </w:pPr>
    </w:p>
    <w:p>
      <w:pPr>
        <w:jc w:val="center"/>
        <w:ind w:right="8940"/>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240"/>
          </w:cols>
          <w:pgMar w:left="300" w:top="559" w:right="1359" w:bottom="1440" w:gutter="0" w:footer="0" w:header="0"/>
        </w:sectPr>
      </w:pPr>
    </w:p>
    <w:bookmarkStart w:id="83" w:name="page84"/>
    <w:bookmarkEnd w:id="83"/>
    <w:p>
      <w:pPr>
        <w:ind w:left="8"/>
        <w:spacing w:after="0"/>
        <w:rPr>
          <w:sz w:val="20"/>
          <w:szCs w:val="20"/>
          <w:color w:val="auto"/>
        </w:rPr>
      </w:pPr>
      <w:r>
        <w:rPr>
          <w:rFonts w:ascii="Arial" w:cs="Arial" w:eastAsia="Arial" w:hAnsi="Arial"/>
          <w:sz w:val="12"/>
          <w:szCs w:val="12"/>
          <w:b w:val="1"/>
          <w:bCs w:val="1"/>
          <w:color w:val="auto"/>
        </w:rPr>
        <w:t>Item 6. Exhibits</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Exhibit</w:t>
            </w:r>
          </w:p>
        </w:tc>
        <w:tc>
          <w:tcPr>
            <w:tcW w:w="4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9"/>
              </w:rPr>
              <w:t>Incorporated by Reference</w:t>
            </w:r>
          </w:p>
        </w:tc>
        <w:tc>
          <w:tcPr>
            <w:tcW w:w="1160" w:type="dxa"/>
            <w:vAlign w:val="bottom"/>
            <w:tcBorders>
              <w:bottom w:val="single" w:sz="8" w:color="auto"/>
            </w:tcBorders>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Filed or Furnished</w:t>
            </w:r>
          </w:p>
        </w:tc>
        <w:tc>
          <w:tcPr>
            <w:tcW w:w="0" w:type="dxa"/>
            <w:vAlign w:val="bottom"/>
          </w:tcPr>
          <w:p>
            <w:pPr>
              <w:spacing w:after="0"/>
              <w:rPr>
                <w:sz w:val="1"/>
                <w:szCs w:val="1"/>
                <w:color w:val="auto"/>
              </w:rPr>
            </w:pPr>
          </w:p>
        </w:tc>
      </w:tr>
      <w:tr>
        <w:trPr>
          <w:trHeight w:val="83"/>
        </w:trPr>
        <w:tc>
          <w:tcPr>
            <w:tcW w:w="840" w:type="dxa"/>
            <w:vAlign w:val="bottom"/>
            <w:gridSpan w:val="2"/>
            <w:vMerge w:val="continue"/>
          </w:tcPr>
          <w:p>
            <w:pPr>
              <w:spacing w:after="0"/>
              <w:rPr>
                <w:sz w:val="7"/>
                <w:szCs w:val="7"/>
                <w:color w:val="auto"/>
              </w:rPr>
            </w:pPr>
          </w:p>
        </w:tc>
        <w:tc>
          <w:tcPr>
            <w:tcW w:w="4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840" w:type="dxa"/>
            <w:vAlign w:val="bottom"/>
            <w:gridSpan w:val="2"/>
          </w:tcPr>
          <w:p>
            <w:pPr>
              <w:ind w:left="220"/>
              <w:spacing w:after="0" w:line="114" w:lineRule="exact"/>
              <w:rPr>
                <w:sz w:val="20"/>
                <w:szCs w:val="20"/>
                <w:color w:val="auto"/>
              </w:rPr>
            </w:pPr>
            <w:r>
              <w:rPr>
                <w:rFonts w:ascii="Arial" w:cs="Arial" w:eastAsia="Arial" w:hAnsi="Arial"/>
                <w:sz w:val="10"/>
                <w:szCs w:val="10"/>
                <w:b w:val="1"/>
                <w:bCs w:val="1"/>
                <w:color w:val="auto"/>
              </w:rPr>
              <w:t>Number</w:t>
            </w:r>
          </w:p>
        </w:tc>
        <w:tc>
          <w:tcPr>
            <w:tcW w:w="5760" w:type="dxa"/>
            <w:vAlign w:val="bottom"/>
            <w:gridSpan w:val="6"/>
          </w:tcPr>
          <w:p>
            <w:pPr>
              <w:ind w:left="2640"/>
              <w:spacing w:after="0" w:line="114" w:lineRule="exact"/>
              <w:rPr>
                <w:sz w:val="20"/>
                <w:szCs w:val="20"/>
                <w:color w:val="auto"/>
              </w:rPr>
            </w:pPr>
            <w:r>
              <w:rPr>
                <w:rFonts w:ascii="Arial" w:cs="Arial" w:eastAsia="Arial" w:hAnsi="Arial"/>
                <w:sz w:val="10"/>
                <w:szCs w:val="10"/>
                <w:b w:val="1"/>
                <w:bCs w:val="1"/>
                <w:color w:val="auto"/>
              </w:rPr>
              <w:t>Description</w:t>
            </w:r>
          </w:p>
        </w:tc>
        <w:tc>
          <w:tcPr>
            <w:tcW w:w="800" w:type="dxa"/>
            <w:vAlign w:val="bottom"/>
          </w:tcPr>
          <w:p>
            <w:pPr>
              <w:ind w:left="300"/>
              <w:spacing w:after="0" w:line="114" w:lineRule="exact"/>
              <w:rPr>
                <w:sz w:val="20"/>
                <w:szCs w:val="20"/>
                <w:color w:val="auto"/>
              </w:rPr>
            </w:pPr>
            <w:r>
              <w:rPr>
                <w:rFonts w:ascii="Arial" w:cs="Arial" w:eastAsia="Arial" w:hAnsi="Arial"/>
                <w:sz w:val="10"/>
                <w:szCs w:val="10"/>
                <w:b w:val="1"/>
                <w:bCs w:val="1"/>
                <w:color w:val="auto"/>
              </w:rPr>
              <w:t>Form</w:t>
            </w:r>
          </w:p>
        </w:tc>
        <w:tc>
          <w:tcPr>
            <w:tcW w:w="600" w:type="dxa"/>
            <w:vAlign w:val="bottom"/>
          </w:tcPr>
          <w:p>
            <w:pPr>
              <w:ind w:left="280"/>
              <w:spacing w:after="0" w:line="114" w:lineRule="exact"/>
              <w:rPr>
                <w:sz w:val="20"/>
                <w:szCs w:val="20"/>
                <w:color w:val="auto"/>
              </w:rPr>
            </w:pPr>
            <w:r>
              <w:rPr>
                <w:rFonts w:ascii="Arial" w:cs="Arial" w:eastAsia="Arial" w:hAnsi="Arial"/>
                <w:sz w:val="10"/>
                <w:szCs w:val="10"/>
                <w:b w:val="1"/>
                <w:bCs w:val="1"/>
                <w:color w:val="auto"/>
                <w:w w:val="82"/>
              </w:rPr>
              <w:t>File No.</w:t>
            </w:r>
          </w:p>
        </w:tc>
        <w:tc>
          <w:tcPr>
            <w:tcW w:w="1300" w:type="dxa"/>
            <w:vAlign w:val="bottom"/>
          </w:tcPr>
          <w:p>
            <w:pPr>
              <w:ind w:left="500"/>
              <w:spacing w:after="0" w:line="114" w:lineRule="exact"/>
              <w:rPr>
                <w:sz w:val="20"/>
                <w:szCs w:val="20"/>
                <w:color w:val="auto"/>
              </w:rPr>
            </w:pPr>
            <w:r>
              <w:rPr>
                <w:rFonts w:ascii="Arial" w:cs="Arial" w:eastAsia="Arial" w:hAnsi="Arial"/>
                <w:sz w:val="10"/>
                <w:szCs w:val="10"/>
                <w:b w:val="1"/>
                <w:bCs w:val="1"/>
                <w:color w:val="auto"/>
              </w:rPr>
              <w:t>Exhibit</w:t>
            </w:r>
          </w:p>
        </w:tc>
        <w:tc>
          <w:tcPr>
            <w:tcW w:w="1160" w:type="dxa"/>
            <w:vAlign w:val="bottom"/>
          </w:tcPr>
          <w:p>
            <w:pPr>
              <w:ind w:left="180"/>
              <w:spacing w:after="0" w:line="114" w:lineRule="exact"/>
              <w:rPr>
                <w:sz w:val="20"/>
                <w:szCs w:val="20"/>
                <w:color w:val="auto"/>
              </w:rPr>
            </w:pPr>
            <w:r>
              <w:rPr>
                <w:rFonts w:ascii="Arial" w:cs="Arial" w:eastAsia="Arial" w:hAnsi="Arial"/>
                <w:sz w:val="10"/>
                <w:szCs w:val="10"/>
                <w:b w:val="1"/>
                <w:bCs w:val="1"/>
                <w:color w:val="auto"/>
              </w:rPr>
              <w:t>Filing Date</w:t>
            </w:r>
          </w:p>
        </w:tc>
        <w:tc>
          <w:tcPr>
            <w:tcW w:w="800" w:type="dxa"/>
            <w:vAlign w:val="bottom"/>
          </w:tcPr>
          <w:p>
            <w:pPr>
              <w:jc w:val="center"/>
              <w:ind w:left="5"/>
              <w:spacing w:after="0" w:line="114" w:lineRule="exact"/>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r>
        <w:trPr>
          <w:trHeight w:val="205"/>
        </w:trPr>
        <w:tc>
          <w:tcPr>
            <w:tcW w:w="80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31.1</w:t>
            </w:r>
          </w:p>
        </w:tc>
        <w:tc>
          <w:tcPr>
            <w:tcW w:w="40" w:type="dxa"/>
            <w:vAlign w:val="bottom"/>
          </w:tcPr>
          <w:p>
            <w:pPr>
              <w:spacing w:after="0"/>
              <w:rPr>
                <w:sz w:val="17"/>
                <w:szCs w:val="17"/>
                <w:color w:val="auto"/>
              </w:rPr>
            </w:pPr>
          </w:p>
        </w:tc>
        <w:tc>
          <w:tcPr>
            <w:tcW w:w="5660" w:type="dxa"/>
            <w:vAlign w:val="bottom"/>
            <w:tcBorders>
              <w:top w:val="single" w:sz="8" w:color="auto"/>
              <w:bottom w:val="single" w:sz="8" w:color="0000EE"/>
            </w:tcBorders>
            <w:gridSpan w:val="5"/>
          </w:tcPr>
          <w:p>
            <w:pPr>
              <w:spacing w:after="0"/>
              <w:rPr>
                <w:rFonts w:ascii="Arial" w:cs="Arial" w:eastAsia="Arial" w:hAnsi="Arial"/>
                <w:sz w:val="12"/>
                <w:szCs w:val="12"/>
                <w:color w:val="0000EE"/>
                <w:w w:val="91"/>
              </w:rPr>
            </w:pPr>
            <w:hyperlink w:anchor="page86">
              <w:r>
                <w:rPr>
                  <w:rFonts w:ascii="Arial" w:cs="Arial" w:eastAsia="Arial" w:hAnsi="Arial"/>
                  <w:sz w:val="12"/>
                  <w:szCs w:val="12"/>
                  <w:color w:val="0000EE"/>
                  <w:w w:val="91"/>
                </w:rPr>
                <w:t>Certification of Principal Executive Officer Pursuant to Rules 13a-14(a) and 15d-14(a) under the Securities Exchange</w:t>
              </w:r>
            </w:hyperlink>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760" w:type="dxa"/>
            <w:vAlign w:val="bottom"/>
            <w:gridSpan w:val="6"/>
          </w:tcPr>
          <w:p>
            <w:pPr>
              <w:spacing w:after="0" w:line="124" w:lineRule="exact"/>
              <w:rPr>
                <w:rFonts w:ascii="Arial" w:cs="Arial" w:eastAsia="Arial" w:hAnsi="Arial"/>
                <w:sz w:val="12"/>
                <w:szCs w:val="12"/>
                <w:color w:val="0000EE"/>
              </w:rPr>
            </w:pPr>
            <w:hyperlink w:anchor="page86">
              <w:r>
                <w:rPr>
                  <w:rFonts w:ascii="Arial" w:cs="Arial" w:eastAsia="Arial" w:hAnsi="Arial"/>
                  <w:sz w:val="12"/>
                  <w:szCs w:val="12"/>
                  <w:color w:val="0000EE"/>
                </w:rPr>
                <w:t>Act of 1934, as Adopted Pursuant to Section 302 of the Sarbanes-Oxley Act of 2002</w:t>
              </w:r>
            </w:hyperlink>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60"/>
              <w:spacing w:after="0"/>
              <w:rPr>
                <w:sz w:val="20"/>
                <w:szCs w:val="20"/>
                <w:color w:val="auto"/>
              </w:rPr>
            </w:pPr>
            <w:r>
              <w:rPr>
                <w:rFonts w:ascii="Arial" w:cs="Arial" w:eastAsia="Arial" w:hAnsi="Arial"/>
                <w:sz w:val="12"/>
                <w:szCs w:val="12"/>
                <w:color w:val="auto"/>
              </w:rPr>
              <w:t>31.2</w:t>
            </w:r>
          </w:p>
        </w:tc>
        <w:tc>
          <w:tcPr>
            <w:tcW w:w="40" w:type="dxa"/>
            <w:vAlign w:val="bottom"/>
          </w:tcPr>
          <w:p>
            <w:pPr>
              <w:spacing w:after="0"/>
              <w:rPr>
                <w:sz w:val="19"/>
                <w:szCs w:val="19"/>
                <w:color w:val="auto"/>
              </w:rPr>
            </w:pPr>
          </w:p>
        </w:tc>
        <w:tc>
          <w:tcPr>
            <w:tcW w:w="5760" w:type="dxa"/>
            <w:vAlign w:val="bottom"/>
            <w:gridSpan w:val="6"/>
          </w:tcPr>
          <w:p>
            <w:pPr>
              <w:spacing w:after="0"/>
              <w:rPr>
                <w:rFonts w:ascii="Arial" w:cs="Arial" w:eastAsia="Arial" w:hAnsi="Arial"/>
                <w:sz w:val="12"/>
                <w:szCs w:val="12"/>
                <w:color w:val="0000EE"/>
                <w:w w:val="93"/>
              </w:rPr>
            </w:pPr>
            <w:hyperlink w:anchor="page87">
              <w:r>
                <w:rPr>
                  <w:rFonts w:ascii="Arial" w:cs="Arial" w:eastAsia="Arial" w:hAnsi="Arial"/>
                  <w:sz w:val="12"/>
                  <w:szCs w:val="12"/>
                  <w:color w:val="0000EE"/>
                  <w:w w:val="93"/>
                </w:rPr>
                <w:t>Certification of Principal Financial Officer Pursuant to Rules 13a-14(a) and 15d-14(a) under the Securities Exchange</w:t>
              </w:r>
            </w:hyperlink>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20" w:type="dxa"/>
            <w:vAlign w:val="bottom"/>
            <w:tcBorders>
              <w:top w:val="single" w:sz="8" w:color="0000EE"/>
            </w:tcBorders>
            <w:gridSpan w:val="4"/>
          </w:tcPr>
          <w:p>
            <w:pPr>
              <w:spacing w:after="0" w:line="124" w:lineRule="exact"/>
              <w:rPr>
                <w:rFonts w:ascii="Arial" w:cs="Arial" w:eastAsia="Arial" w:hAnsi="Arial"/>
                <w:sz w:val="12"/>
                <w:szCs w:val="12"/>
                <w:color w:val="0000EE"/>
              </w:rPr>
            </w:pPr>
            <w:hyperlink w:anchor="page87">
              <w:r>
                <w:rPr>
                  <w:rFonts w:ascii="Arial" w:cs="Arial" w:eastAsia="Arial" w:hAnsi="Arial"/>
                  <w:sz w:val="12"/>
                  <w:szCs w:val="12"/>
                  <w:color w:val="0000EE"/>
                </w:rPr>
                <w:t>Act of 1934, as Adopted Pursuant to Section 302 of the Sarbanes-Oxley Act of 2002</w:t>
              </w:r>
            </w:hyperlink>
          </w:p>
        </w:tc>
        <w:tc>
          <w:tcPr>
            <w:tcW w:w="1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60"/>
              <w:spacing w:after="0"/>
              <w:rPr>
                <w:sz w:val="20"/>
                <w:szCs w:val="20"/>
                <w:color w:val="auto"/>
              </w:rPr>
            </w:pPr>
            <w:r>
              <w:rPr>
                <w:rFonts w:ascii="Arial" w:cs="Arial" w:eastAsia="Arial" w:hAnsi="Arial"/>
                <w:sz w:val="12"/>
                <w:szCs w:val="12"/>
                <w:color w:val="auto"/>
              </w:rPr>
              <w:t>32.1*</w:t>
            </w:r>
          </w:p>
        </w:tc>
        <w:tc>
          <w:tcPr>
            <w:tcW w:w="40" w:type="dxa"/>
            <w:vAlign w:val="bottom"/>
          </w:tcPr>
          <w:p>
            <w:pPr>
              <w:spacing w:after="0"/>
              <w:rPr>
                <w:sz w:val="19"/>
                <w:szCs w:val="19"/>
                <w:color w:val="auto"/>
              </w:rPr>
            </w:pPr>
          </w:p>
        </w:tc>
        <w:tc>
          <w:tcPr>
            <w:tcW w:w="5480" w:type="dxa"/>
            <w:vAlign w:val="bottom"/>
            <w:tcBorders>
              <w:bottom w:val="single" w:sz="8" w:color="0000EE"/>
            </w:tcBorders>
            <w:gridSpan w:val="3"/>
          </w:tcPr>
          <w:p>
            <w:pPr>
              <w:spacing w:after="0"/>
              <w:rPr>
                <w:rFonts w:ascii="Arial" w:cs="Arial" w:eastAsia="Arial" w:hAnsi="Arial"/>
                <w:sz w:val="12"/>
                <w:szCs w:val="12"/>
                <w:color w:val="0000EE"/>
                <w:w w:val="92"/>
              </w:rPr>
            </w:pPr>
            <w:hyperlink w:anchor="page88">
              <w:r>
                <w:rPr>
                  <w:rFonts w:ascii="Arial" w:cs="Arial" w:eastAsia="Arial" w:hAnsi="Arial"/>
                  <w:sz w:val="12"/>
                  <w:szCs w:val="12"/>
                  <w:color w:val="0000EE"/>
                  <w:w w:val="92"/>
                </w:rPr>
                <w:t>Certification of Principal Executive Officer and Principal Financial and Accounting Officer Pursuant to 18 U.S.C.</w:t>
              </w:r>
            </w:hyperlink>
          </w:p>
        </w:tc>
        <w:tc>
          <w:tcPr>
            <w:tcW w:w="280" w:type="dxa"/>
            <w:vAlign w:val="bottom"/>
            <w:gridSpan w:val="3"/>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120" w:type="dxa"/>
            <w:vAlign w:val="bottom"/>
            <w:tcBorders>
              <w:bottom w:val="single" w:sz="8" w:color="0000EE"/>
            </w:tcBorders>
            <w:gridSpan w:val="2"/>
          </w:tcPr>
          <w:p>
            <w:pPr>
              <w:spacing w:after="0" w:line="124" w:lineRule="exact"/>
              <w:rPr>
                <w:rFonts w:ascii="Arial" w:cs="Arial" w:eastAsia="Arial" w:hAnsi="Arial"/>
                <w:sz w:val="12"/>
                <w:szCs w:val="12"/>
                <w:color w:val="0000EE"/>
                <w:w w:val="89"/>
              </w:rPr>
            </w:pPr>
            <w:hyperlink w:anchor="page88">
              <w:r>
                <w:rPr>
                  <w:rFonts w:ascii="Arial" w:cs="Arial" w:eastAsia="Arial" w:hAnsi="Arial"/>
                  <w:sz w:val="12"/>
                  <w:szCs w:val="12"/>
                  <w:color w:val="0000EE"/>
                  <w:w w:val="89"/>
                </w:rPr>
                <w:t>Section 1350, as Adopted Pursuant to Section 906 of the Sarbanes-Oxley Act of 2002</w:t>
              </w:r>
            </w:hyperlink>
          </w:p>
        </w:tc>
        <w:tc>
          <w:tcPr>
            <w:tcW w:w="1640" w:type="dxa"/>
            <w:vAlign w:val="bottom"/>
            <w:gridSpan w:val="4"/>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spacing w:after="0"/>
              <w:rPr>
                <w:sz w:val="20"/>
                <w:szCs w:val="20"/>
                <w:color w:val="auto"/>
              </w:rPr>
            </w:pPr>
            <w:r>
              <w:rPr>
                <w:rFonts w:ascii="Arial" w:cs="Arial" w:eastAsia="Arial" w:hAnsi="Arial"/>
                <w:sz w:val="12"/>
                <w:szCs w:val="12"/>
                <w:color w:val="auto"/>
              </w:rPr>
              <w:t>101.INS</w:t>
            </w:r>
          </w:p>
        </w:tc>
        <w:tc>
          <w:tcPr>
            <w:tcW w:w="5760" w:type="dxa"/>
            <w:vAlign w:val="bottom"/>
            <w:gridSpan w:val="6"/>
          </w:tcPr>
          <w:p>
            <w:pPr>
              <w:spacing w:after="0"/>
              <w:rPr>
                <w:sz w:val="20"/>
                <w:szCs w:val="20"/>
                <w:color w:val="auto"/>
              </w:rPr>
            </w:pPr>
            <w:r>
              <w:rPr>
                <w:rFonts w:ascii="Arial" w:cs="Arial" w:eastAsia="Arial" w:hAnsi="Arial"/>
                <w:sz w:val="12"/>
                <w:szCs w:val="12"/>
                <w:color w:val="auto"/>
              </w:rPr>
              <w:t>XBRL Instance Document</w:t>
            </w: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gridSpan w:val="2"/>
          </w:tcPr>
          <w:p>
            <w:pPr>
              <w:spacing w:after="0"/>
              <w:rPr>
                <w:sz w:val="20"/>
                <w:szCs w:val="20"/>
                <w:color w:val="auto"/>
              </w:rPr>
            </w:pPr>
            <w:r>
              <w:rPr>
                <w:rFonts w:ascii="Arial" w:cs="Arial" w:eastAsia="Arial" w:hAnsi="Arial"/>
                <w:sz w:val="12"/>
                <w:szCs w:val="12"/>
                <w:color w:val="auto"/>
              </w:rPr>
              <w:t>101.SCH</w:t>
            </w:r>
          </w:p>
        </w:tc>
        <w:tc>
          <w:tcPr>
            <w:tcW w:w="5760" w:type="dxa"/>
            <w:vAlign w:val="bottom"/>
            <w:gridSpan w:val="6"/>
          </w:tcPr>
          <w:p>
            <w:pPr>
              <w:spacing w:after="0"/>
              <w:rPr>
                <w:sz w:val="20"/>
                <w:szCs w:val="20"/>
                <w:color w:val="auto"/>
              </w:rPr>
            </w:pPr>
            <w:r>
              <w:rPr>
                <w:rFonts w:ascii="Arial" w:cs="Arial" w:eastAsia="Arial" w:hAnsi="Arial"/>
                <w:sz w:val="12"/>
                <w:szCs w:val="12"/>
                <w:color w:val="auto"/>
              </w:rPr>
              <w:t>XBRL Taxonomy Extension Schema Document</w:t>
            </w: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gridSpan w:val="2"/>
          </w:tcPr>
          <w:p>
            <w:pPr>
              <w:spacing w:after="0"/>
              <w:rPr>
                <w:sz w:val="20"/>
                <w:szCs w:val="20"/>
                <w:color w:val="auto"/>
              </w:rPr>
            </w:pPr>
            <w:r>
              <w:rPr>
                <w:rFonts w:ascii="Arial" w:cs="Arial" w:eastAsia="Arial" w:hAnsi="Arial"/>
                <w:sz w:val="12"/>
                <w:szCs w:val="12"/>
                <w:color w:val="auto"/>
              </w:rPr>
              <w:t>101.CAL</w:t>
            </w:r>
          </w:p>
        </w:tc>
        <w:tc>
          <w:tcPr>
            <w:tcW w:w="5760" w:type="dxa"/>
            <w:vAlign w:val="bottom"/>
            <w:gridSpan w:val="6"/>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gridSpan w:val="2"/>
          </w:tcPr>
          <w:p>
            <w:pPr>
              <w:spacing w:after="0"/>
              <w:rPr>
                <w:sz w:val="20"/>
                <w:szCs w:val="20"/>
                <w:color w:val="auto"/>
              </w:rPr>
            </w:pPr>
            <w:r>
              <w:rPr>
                <w:rFonts w:ascii="Arial" w:cs="Arial" w:eastAsia="Arial" w:hAnsi="Arial"/>
                <w:sz w:val="12"/>
                <w:szCs w:val="12"/>
                <w:color w:val="auto"/>
              </w:rPr>
              <w:t>101.DEF</w:t>
            </w:r>
          </w:p>
        </w:tc>
        <w:tc>
          <w:tcPr>
            <w:tcW w:w="5760" w:type="dxa"/>
            <w:vAlign w:val="bottom"/>
            <w:gridSpan w:val="6"/>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gridSpan w:val="2"/>
          </w:tcPr>
          <w:p>
            <w:pPr>
              <w:spacing w:after="0"/>
              <w:rPr>
                <w:sz w:val="20"/>
                <w:szCs w:val="20"/>
                <w:color w:val="auto"/>
              </w:rPr>
            </w:pPr>
            <w:r>
              <w:rPr>
                <w:rFonts w:ascii="Arial" w:cs="Arial" w:eastAsia="Arial" w:hAnsi="Arial"/>
                <w:sz w:val="12"/>
                <w:szCs w:val="12"/>
                <w:color w:val="auto"/>
              </w:rPr>
              <w:t>101.LAB</w:t>
            </w:r>
          </w:p>
        </w:tc>
        <w:tc>
          <w:tcPr>
            <w:tcW w:w="5760" w:type="dxa"/>
            <w:vAlign w:val="bottom"/>
            <w:gridSpan w:val="6"/>
          </w:tcPr>
          <w:p>
            <w:pPr>
              <w:spacing w:after="0"/>
              <w:rPr>
                <w:sz w:val="20"/>
                <w:szCs w:val="20"/>
                <w:color w:val="auto"/>
              </w:rPr>
            </w:pPr>
            <w:r>
              <w:rPr>
                <w:rFonts w:ascii="Arial" w:cs="Arial" w:eastAsia="Arial" w:hAnsi="Arial"/>
                <w:sz w:val="12"/>
                <w:szCs w:val="12"/>
                <w:color w:val="auto"/>
              </w:rPr>
              <w:t>XBRL Taxonomy Extension Label Linkbase Document</w:t>
            </w: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gridSpan w:val="2"/>
          </w:tcPr>
          <w:p>
            <w:pPr>
              <w:spacing w:after="0"/>
              <w:rPr>
                <w:sz w:val="20"/>
                <w:szCs w:val="20"/>
                <w:color w:val="auto"/>
              </w:rPr>
            </w:pPr>
            <w:r>
              <w:rPr>
                <w:rFonts w:ascii="Arial" w:cs="Arial" w:eastAsia="Arial" w:hAnsi="Arial"/>
                <w:sz w:val="12"/>
                <w:szCs w:val="12"/>
                <w:color w:val="auto"/>
              </w:rPr>
              <w:t>101.PRE</w:t>
            </w:r>
          </w:p>
        </w:tc>
        <w:tc>
          <w:tcPr>
            <w:tcW w:w="5760" w:type="dxa"/>
            <w:vAlign w:val="bottom"/>
            <w:gridSpan w:val="6"/>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95440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54405" cy="5715"/>
                    </a:xfrm>
                    <a:prstGeom prst="rect">
                      <a:avLst/>
                    </a:prstGeom>
                    <a:noFill/>
                  </pic:spPr>
                </pic:pic>
              </a:graphicData>
            </a:graphic>
          </wp:anchor>
        </w:drawing>
      </w:r>
    </w:p>
    <w:p>
      <w:pPr>
        <w:spacing w:after="0" w:line="97" w:lineRule="exact"/>
        <w:rPr>
          <w:sz w:val="20"/>
          <w:szCs w:val="20"/>
          <w:color w:val="auto"/>
        </w:rPr>
      </w:pPr>
    </w:p>
    <w:p>
      <w:pPr>
        <w:ind w:left="508" w:right="320" w:hanging="508"/>
        <w:spacing w:after="0" w:line="276" w:lineRule="auto"/>
        <w:tabs>
          <w:tab w:leader="none" w:pos="508" w:val="left"/>
        </w:tabs>
        <w:numPr>
          <w:ilvl w:val="0"/>
          <w:numId w:val="42"/>
        </w:numPr>
        <w:rPr>
          <w:rFonts w:ascii="Arial" w:cs="Arial" w:eastAsia="Arial" w:hAnsi="Arial"/>
          <w:sz w:val="12"/>
          <w:szCs w:val="12"/>
          <w:color w:val="auto"/>
        </w:rPr>
      </w:pPr>
      <w:r>
        <w:rPr>
          <w:rFonts w:ascii="Arial" w:cs="Arial" w:eastAsia="Arial" w:hAnsi="Arial"/>
          <w:sz w:val="12"/>
          <w:szCs w:val="12"/>
          <w:i w:val="1"/>
          <w:iCs w:val="1"/>
          <w:color w:val="auto"/>
        </w:rPr>
        <w:t>The certifications furnished in Exhibit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11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8"/>
          </w:cols>
          <w:pgMar w:left="292" w:top="271" w:right="3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Pr>
          <w:p>
            <w:pPr>
              <w:spacing w:after="0"/>
              <w:rPr>
                <w:sz w:val="13"/>
                <w:szCs w:val="13"/>
                <w:color w:val="auto"/>
              </w:rPr>
            </w:pPr>
          </w:p>
        </w:tc>
        <w:tc>
          <w:tcPr>
            <w:tcW w:w="4280" w:type="dxa"/>
            <w:vAlign w:val="bottom"/>
            <w:gridSpan w:val="2"/>
          </w:tcPr>
          <w:p>
            <w:pPr>
              <w:ind w:left="2620"/>
              <w:spacing w:after="0"/>
              <w:rPr>
                <w:sz w:val="20"/>
                <w:szCs w:val="20"/>
                <w:color w:val="auto"/>
              </w:rPr>
            </w:pPr>
            <w:r>
              <w:rPr>
                <w:rFonts w:ascii="Arial" w:cs="Arial" w:eastAsia="Arial" w:hAnsi="Arial"/>
                <w:sz w:val="12"/>
                <w:szCs w:val="12"/>
                <w:color w:val="auto"/>
                <w:w w:val="99"/>
              </w:rPr>
              <w:t>NURIX THERAPEUTICS, INC.</w:t>
            </w:r>
          </w:p>
        </w:tc>
        <w:tc>
          <w:tcPr>
            <w:tcW w:w="3760" w:type="dxa"/>
            <w:vAlign w:val="bottom"/>
          </w:tcPr>
          <w:p>
            <w:pPr>
              <w:spacing w:after="0"/>
              <w:rPr>
                <w:sz w:val="13"/>
                <w:szCs w:val="13"/>
                <w:color w:val="auto"/>
              </w:rPr>
            </w:pPr>
          </w:p>
        </w:tc>
      </w:tr>
      <w:tr>
        <w:trPr>
          <w:trHeight w:val="252"/>
        </w:trPr>
        <w:tc>
          <w:tcPr>
            <w:tcW w:w="3260" w:type="dxa"/>
            <w:vAlign w:val="bottom"/>
          </w:tcPr>
          <w:p>
            <w:pPr>
              <w:spacing w:after="0"/>
              <w:rPr>
                <w:sz w:val="20"/>
                <w:szCs w:val="20"/>
                <w:color w:val="auto"/>
              </w:rPr>
            </w:pPr>
            <w:r>
              <w:rPr>
                <w:rFonts w:ascii="Arial" w:cs="Arial" w:eastAsia="Arial" w:hAnsi="Arial"/>
                <w:sz w:val="12"/>
                <w:szCs w:val="12"/>
                <w:color w:val="auto"/>
              </w:rPr>
              <w:t>Date: July 13, 2021</w:t>
            </w:r>
          </w:p>
        </w:tc>
        <w:tc>
          <w:tcPr>
            <w:tcW w:w="4280" w:type="dxa"/>
            <w:vAlign w:val="bottom"/>
            <w:gridSpan w:val="2"/>
          </w:tcPr>
          <w:p>
            <w:pPr>
              <w:ind w:left="2620"/>
              <w:spacing w:after="0"/>
              <w:rPr>
                <w:sz w:val="20"/>
                <w:szCs w:val="20"/>
                <w:color w:val="auto"/>
              </w:rPr>
            </w:pPr>
            <w:r>
              <w:rPr>
                <w:rFonts w:ascii="Arial" w:cs="Arial" w:eastAsia="Arial" w:hAnsi="Arial"/>
                <w:sz w:val="12"/>
                <w:szCs w:val="12"/>
                <w:color w:val="auto"/>
              </w:rPr>
              <w:t>By:</w:t>
            </w:r>
          </w:p>
        </w:tc>
        <w:tc>
          <w:tcPr>
            <w:tcW w:w="3760" w:type="dxa"/>
            <w:vAlign w:val="bottom"/>
          </w:tcPr>
          <w:p>
            <w:pPr>
              <w:jc w:val="center"/>
              <w:ind w:right="1280"/>
              <w:spacing w:after="0"/>
              <w:rPr>
                <w:sz w:val="20"/>
                <w:szCs w:val="20"/>
                <w:color w:val="auto"/>
              </w:rPr>
            </w:pPr>
            <w:r>
              <w:rPr>
                <w:rFonts w:ascii="Arial" w:cs="Arial" w:eastAsia="Arial" w:hAnsi="Arial"/>
                <w:sz w:val="12"/>
                <w:szCs w:val="12"/>
                <w:color w:val="auto"/>
                <w:w w:val="94"/>
              </w:rPr>
              <w:t>/s/ A</w:t>
            </w:r>
            <w:r>
              <w:rPr>
                <w:rFonts w:ascii="Arial" w:cs="Arial" w:eastAsia="Arial" w:hAnsi="Arial"/>
                <w:sz w:val="8"/>
                <w:szCs w:val="8"/>
                <w:color w:val="auto"/>
                <w:w w:val="94"/>
              </w:rPr>
              <w:t>RTHUR</w:t>
            </w:r>
            <w:r>
              <w:rPr>
                <w:rFonts w:ascii="Arial" w:cs="Arial" w:eastAsia="Arial" w:hAnsi="Arial"/>
                <w:sz w:val="12"/>
                <w:szCs w:val="12"/>
                <w:color w:val="auto"/>
                <w:w w:val="94"/>
              </w:rPr>
              <w:t xml:space="preserve"> T. S</w:t>
            </w:r>
            <w:r>
              <w:rPr>
                <w:rFonts w:ascii="Arial" w:cs="Arial" w:eastAsia="Arial" w:hAnsi="Arial"/>
                <w:sz w:val="8"/>
                <w:szCs w:val="8"/>
                <w:color w:val="auto"/>
                <w:w w:val="94"/>
              </w:rPr>
              <w:t>ANDS</w:t>
            </w:r>
          </w:p>
        </w:tc>
      </w:tr>
      <w:tr>
        <w:trPr>
          <w:trHeight w:val="142"/>
        </w:trPr>
        <w:tc>
          <w:tcPr>
            <w:tcW w:w="32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tcPr>
          <w:p>
            <w:pPr>
              <w:jc w:val="center"/>
              <w:ind w:right="1280"/>
              <w:spacing w:after="0"/>
              <w:rPr>
                <w:sz w:val="20"/>
                <w:szCs w:val="20"/>
                <w:color w:val="auto"/>
              </w:rPr>
            </w:pPr>
            <w:r>
              <w:rPr>
                <w:rFonts w:ascii="Arial" w:cs="Arial" w:eastAsia="Arial" w:hAnsi="Arial"/>
                <w:sz w:val="12"/>
                <w:szCs w:val="12"/>
                <w:color w:val="auto"/>
                <w:w w:val="92"/>
              </w:rPr>
              <w:t>Arthur T. Sands, M.D., Ph.D.</w:t>
            </w:r>
          </w:p>
        </w:tc>
      </w:tr>
      <w:tr>
        <w:trPr>
          <w:trHeight w:val="144"/>
        </w:trPr>
        <w:tc>
          <w:tcPr>
            <w:tcW w:w="32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760" w:type="dxa"/>
            <w:vAlign w:val="bottom"/>
          </w:tcPr>
          <w:p>
            <w:pPr>
              <w:jc w:val="center"/>
              <w:ind w:right="1280"/>
              <w:spacing w:after="0"/>
              <w:rPr>
                <w:sz w:val="20"/>
                <w:szCs w:val="20"/>
                <w:color w:val="auto"/>
              </w:rPr>
            </w:pPr>
            <w:r>
              <w:rPr>
                <w:rFonts w:ascii="Arial" w:cs="Arial" w:eastAsia="Arial" w:hAnsi="Arial"/>
                <w:sz w:val="12"/>
                <w:szCs w:val="12"/>
                <w:color w:val="auto"/>
                <w:w w:val="92"/>
              </w:rPr>
              <w:t>President, Chief Executive Officer and Director</w:t>
            </w:r>
          </w:p>
        </w:tc>
      </w:tr>
      <w:tr>
        <w:trPr>
          <w:trHeight w:val="153"/>
        </w:trPr>
        <w:tc>
          <w:tcPr>
            <w:tcW w:w="32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760" w:type="dxa"/>
            <w:vAlign w:val="bottom"/>
          </w:tcPr>
          <w:p>
            <w:pPr>
              <w:jc w:val="center"/>
              <w:ind w:right="1300"/>
              <w:spacing w:after="0"/>
              <w:rPr>
                <w:sz w:val="20"/>
                <w:szCs w:val="20"/>
                <w:color w:val="auto"/>
              </w:rPr>
            </w:pPr>
            <w:r>
              <w:rPr>
                <w:rFonts w:ascii="Arial" w:cs="Arial" w:eastAsia="Arial" w:hAnsi="Arial"/>
                <w:sz w:val="12"/>
                <w:szCs w:val="12"/>
                <w:i w:val="1"/>
                <w:iCs w:val="1"/>
                <w:color w:val="auto"/>
                <w:w w:val="94"/>
              </w:rPr>
              <w:t>(Principal Executive Officer)</w:t>
            </w:r>
          </w:p>
        </w:tc>
      </w:tr>
      <w:tr>
        <w:trPr>
          <w:trHeight w:val="396"/>
        </w:trPr>
        <w:tc>
          <w:tcPr>
            <w:tcW w:w="3260" w:type="dxa"/>
            <w:vAlign w:val="bottom"/>
          </w:tcPr>
          <w:p>
            <w:pPr>
              <w:spacing w:after="0"/>
              <w:rPr>
                <w:sz w:val="20"/>
                <w:szCs w:val="20"/>
                <w:color w:val="auto"/>
              </w:rPr>
            </w:pPr>
            <w:r>
              <w:rPr>
                <w:rFonts w:ascii="Arial" w:cs="Arial" w:eastAsia="Arial" w:hAnsi="Arial"/>
                <w:sz w:val="12"/>
                <w:szCs w:val="12"/>
                <w:color w:val="auto"/>
              </w:rPr>
              <w:t>Date: July 13, 2021</w:t>
            </w:r>
          </w:p>
        </w:tc>
        <w:tc>
          <w:tcPr>
            <w:tcW w:w="4280" w:type="dxa"/>
            <w:vAlign w:val="bottom"/>
            <w:gridSpan w:val="2"/>
          </w:tcPr>
          <w:p>
            <w:pPr>
              <w:ind w:left="2620"/>
              <w:spacing w:after="0"/>
              <w:rPr>
                <w:sz w:val="20"/>
                <w:szCs w:val="20"/>
                <w:color w:val="auto"/>
              </w:rPr>
            </w:pPr>
            <w:r>
              <w:rPr>
                <w:rFonts w:ascii="Arial" w:cs="Arial" w:eastAsia="Arial" w:hAnsi="Arial"/>
                <w:sz w:val="12"/>
                <w:szCs w:val="12"/>
                <w:color w:val="auto"/>
              </w:rPr>
              <w:t>By:</w:t>
            </w:r>
          </w:p>
        </w:tc>
        <w:tc>
          <w:tcPr>
            <w:tcW w:w="3760" w:type="dxa"/>
            <w:vAlign w:val="bottom"/>
          </w:tcPr>
          <w:p>
            <w:pPr>
              <w:jc w:val="center"/>
              <w:ind w:right="1300"/>
              <w:spacing w:after="0"/>
              <w:rPr>
                <w:sz w:val="20"/>
                <w:szCs w:val="20"/>
                <w:color w:val="auto"/>
              </w:rPr>
            </w:pPr>
            <w:r>
              <w:rPr>
                <w:rFonts w:ascii="Arial" w:cs="Arial" w:eastAsia="Arial" w:hAnsi="Arial"/>
                <w:sz w:val="12"/>
                <w:szCs w:val="12"/>
                <w:color w:val="auto"/>
                <w:w w:val="97"/>
              </w:rPr>
              <w:t>/s/ H</w:t>
            </w:r>
            <w:r>
              <w:rPr>
                <w:rFonts w:ascii="Arial" w:cs="Arial" w:eastAsia="Arial" w:hAnsi="Arial"/>
                <w:sz w:val="8"/>
                <w:szCs w:val="8"/>
                <w:color w:val="auto"/>
                <w:w w:val="97"/>
              </w:rPr>
              <w:t>ANS VAN</w:t>
            </w:r>
            <w:r>
              <w:rPr>
                <w:rFonts w:ascii="Arial" w:cs="Arial" w:eastAsia="Arial" w:hAnsi="Arial"/>
                <w:sz w:val="12"/>
                <w:szCs w:val="12"/>
                <w:color w:val="auto"/>
                <w:w w:val="97"/>
              </w:rPr>
              <w:t xml:space="preserve"> H</w:t>
            </w:r>
            <w:r>
              <w:rPr>
                <w:rFonts w:ascii="Arial" w:cs="Arial" w:eastAsia="Arial" w:hAnsi="Arial"/>
                <w:sz w:val="8"/>
                <w:szCs w:val="8"/>
                <w:color w:val="auto"/>
                <w:w w:val="97"/>
              </w:rPr>
              <w:t>OUTE</w:t>
            </w:r>
          </w:p>
        </w:tc>
      </w:tr>
      <w:tr>
        <w:trPr>
          <w:trHeight w:val="142"/>
        </w:trPr>
        <w:tc>
          <w:tcPr>
            <w:tcW w:w="32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tcPr>
          <w:p>
            <w:pPr>
              <w:jc w:val="center"/>
              <w:ind w:right="1280"/>
              <w:spacing w:after="0"/>
              <w:rPr>
                <w:sz w:val="20"/>
                <w:szCs w:val="20"/>
                <w:color w:val="auto"/>
              </w:rPr>
            </w:pPr>
            <w:r>
              <w:rPr>
                <w:rFonts w:ascii="Arial" w:cs="Arial" w:eastAsia="Arial" w:hAnsi="Arial"/>
                <w:sz w:val="12"/>
                <w:szCs w:val="12"/>
                <w:color w:val="auto"/>
                <w:w w:val="90"/>
              </w:rPr>
              <w:t>Hans van Houte</w:t>
            </w:r>
          </w:p>
        </w:tc>
      </w:tr>
      <w:tr>
        <w:trPr>
          <w:trHeight w:val="144"/>
        </w:trPr>
        <w:tc>
          <w:tcPr>
            <w:tcW w:w="32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760" w:type="dxa"/>
            <w:vAlign w:val="bottom"/>
          </w:tcPr>
          <w:p>
            <w:pPr>
              <w:jc w:val="center"/>
              <w:ind w:right="1280"/>
              <w:spacing w:after="0"/>
              <w:rPr>
                <w:sz w:val="20"/>
                <w:szCs w:val="20"/>
                <w:color w:val="auto"/>
              </w:rPr>
            </w:pPr>
            <w:r>
              <w:rPr>
                <w:rFonts w:ascii="Arial" w:cs="Arial" w:eastAsia="Arial" w:hAnsi="Arial"/>
                <w:sz w:val="12"/>
                <w:szCs w:val="12"/>
                <w:color w:val="auto"/>
                <w:w w:val="93"/>
              </w:rPr>
              <w:t>Chief Financial Officer</w:t>
            </w:r>
          </w:p>
        </w:tc>
      </w:tr>
      <w:tr>
        <w:trPr>
          <w:trHeight w:val="153"/>
        </w:trPr>
        <w:tc>
          <w:tcPr>
            <w:tcW w:w="32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760" w:type="dxa"/>
            <w:vAlign w:val="bottom"/>
          </w:tcPr>
          <w:p>
            <w:pPr>
              <w:jc w:val="center"/>
              <w:ind w:right="1280"/>
              <w:spacing w:after="0"/>
              <w:rPr>
                <w:sz w:val="20"/>
                <w:szCs w:val="20"/>
                <w:color w:val="auto"/>
              </w:rPr>
            </w:pPr>
            <w:r>
              <w:rPr>
                <w:rFonts w:ascii="Arial" w:cs="Arial" w:eastAsia="Arial" w:hAnsi="Arial"/>
                <w:sz w:val="12"/>
                <w:szCs w:val="12"/>
                <w:i w:val="1"/>
                <w:iCs w:val="1"/>
                <w:color w:val="auto"/>
                <w:w w:val="94"/>
              </w:rPr>
              <w:t>(Principal Financial and Accounting Officer)</w:t>
            </w:r>
          </w:p>
        </w:tc>
      </w:tr>
      <w:tr>
        <w:trPr>
          <w:trHeight w:val="432"/>
        </w:trPr>
        <w:tc>
          <w:tcPr>
            <w:tcW w:w="3260" w:type="dxa"/>
            <w:vAlign w:val="bottom"/>
          </w:tcPr>
          <w:p>
            <w:pPr>
              <w:spacing w:after="0"/>
              <w:rPr>
                <w:sz w:val="24"/>
                <w:szCs w:val="24"/>
                <w:color w:val="auto"/>
              </w:rPr>
            </w:pPr>
          </w:p>
        </w:tc>
        <w:tc>
          <w:tcPr>
            <w:tcW w:w="2960" w:type="dxa"/>
            <w:vAlign w:val="bottom"/>
          </w:tcPr>
          <w:p>
            <w:pPr>
              <w:jc w:val="right"/>
              <w:ind w:right="460"/>
              <w:spacing w:after="0"/>
              <w:rPr>
                <w:sz w:val="20"/>
                <w:szCs w:val="20"/>
                <w:color w:val="auto"/>
              </w:rPr>
            </w:pPr>
            <w:r>
              <w:rPr>
                <w:rFonts w:ascii="Arial" w:cs="Arial" w:eastAsia="Arial" w:hAnsi="Arial"/>
                <w:sz w:val="12"/>
                <w:szCs w:val="12"/>
                <w:color w:val="auto"/>
              </w:rPr>
              <w:t>82</w:t>
            </w: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300"/>
          </w:cols>
          <w:pgMar w:left="300" w:top="415" w:right="299" w:bottom="1440" w:gutter="0" w:footer="0" w:header="0"/>
        </w:sectPr>
      </w:pPr>
    </w:p>
    <w:bookmarkStart w:id="85" w:name="page86"/>
    <w:bookmarkEnd w:id="85"/>
    <w:p>
      <w:pPr>
        <w:jc w:val="right"/>
        <w:spacing w:after="0"/>
        <w:rPr>
          <w:sz w:val="20"/>
          <w:szCs w:val="20"/>
          <w:color w:val="auto"/>
        </w:rPr>
      </w:pPr>
      <w:r>
        <w:rPr>
          <w:rFonts w:ascii="Arial" w:cs="Arial" w:eastAsia="Arial" w:hAnsi="Arial"/>
          <w:sz w:val="12"/>
          <w:szCs w:val="12"/>
          <w:b w:val="1"/>
          <w:bCs w:val="1"/>
          <w:color w:val="auto"/>
        </w:rPr>
        <w:t>Exhibit 31.1</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EXECUTIVE OFFICER PURSUANT TO</w:t>
      </w: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Arthur T. Sands, certify that:</w:t>
      </w:r>
    </w:p>
    <w:p>
      <w:pPr>
        <w:spacing w:after="0" w:line="78" w:lineRule="exact"/>
        <w:rPr>
          <w:sz w:val="20"/>
          <w:szCs w:val="20"/>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Nurix Therapeutics, Inc.;</w:t>
      </w:r>
    </w:p>
    <w:p>
      <w:pPr>
        <w:spacing w:after="0" w:line="7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1"/>
          <w:szCs w:val="11"/>
          <w:color w:val="auto"/>
        </w:rPr>
      </w:pPr>
    </w:p>
    <w:p>
      <w:pPr>
        <w:ind w:left="868" w:hanging="436"/>
        <w:spacing w:after="0" w:line="276" w:lineRule="auto"/>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68" w:right="20" w:hanging="436"/>
        <w:spacing w:after="0" w:line="276" w:lineRule="auto"/>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868" w:right="20" w:hanging="436"/>
        <w:spacing w:after="0" w:line="276" w:lineRule="auto"/>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868" w:hanging="436"/>
        <w:spacing w:after="0"/>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8488"/>
        <w:spacing w:after="0"/>
        <w:tabs>
          <w:tab w:leader="none" w:pos="8768" w:val="left"/>
        </w:tabs>
        <w:rPr>
          <w:sz w:val="20"/>
          <w:szCs w:val="20"/>
          <w:color w:val="auto"/>
        </w:rPr>
      </w:pPr>
      <w:r>
        <w:rPr>
          <w:rFonts w:ascii="Arial" w:cs="Arial" w:eastAsia="Arial" w:hAnsi="Arial"/>
          <w:sz w:val="12"/>
          <w:szCs w:val="12"/>
          <w:color w:val="auto"/>
        </w:rPr>
        <w:t>By:</w:t>
        <w:tab/>
        <w:t>/s/ A</w:t>
      </w:r>
      <w:r>
        <w:rPr>
          <w:rFonts w:ascii="Arial" w:cs="Arial" w:eastAsia="Arial" w:hAnsi="Arial"/>
          <w:sz w:val="8"/>
          <w:szCs w:val="8"/>
          <w:color w:val="auto"/>
        </w:rPr>
        <w:t>RTHUR</w:t>
      </w:r>
      <w:r>
        <w:rPr>
          <w:rFonts w:ascii="Arial" w:cs="Arial" w:eastAsia="Arial" w:hAnsi="Arial"/>
          <w:sz w:val="12"/>
          <w:szCs w:val="12"/>
          <w:color w:val="auto"/>
        </w:rPr>
        <w:t xml:space="preserve"> T. S</w:t>
      </w:r>
      <w:r>
        <w:rPr>
          <w:rFonts w:ascii="Arial" w:cs="Arial" w:eastAsia="Arial" w:hAnsi="Arial"/>
          <w:sz w:val="8"/>
          <w:szCs w:val="8"/>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9525</wp:posOffset>
            </wp:positionV>
            <wp:extent cx="159448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ind w:left="8788"/>
        <w:spacing w:after="0"/>
        <w:rPr>
          <w:sz w:val="20"/>
          <w:szCs w:val="20"/>
          <w:color w:val="auto"/>
        </w:rPr>
      </w:pPr>
      <w:r>
        <w:rPr>
          <w:rFonts w:ascii="Arial" w:cs="Arial" w:eastAsia="Arial" w:hAnsi="Arial"/>
          <w:sz w:val="12"/>
          <w:szCs w:val="12"/>
          <w:color w:val="auto"/>
        </w:rPr>
        <w:t>Arthur T. Sands, M.D., Ph.D.</w:t>
      </w:r>
    </w:p>
    <w:p>
      <w:pPr>
        <w:spacing w:after="0" w:line="15" w:lineRule="exact"/>
        <w:rPr>
          <w:sz w:val="20"/>
          <w:szCs w:val="20"/>
          <w:color w:val="auto"/>
        </w:rPr>
      </w:pPr>
    </w:p>
    <w:p>
      <w:pPr>
        <w:ind w:left="8788"/>
        <w:spacing w:after="0"/>
        <w:rPr>
          <w:sz w:val="20"/>
          <w:szCs w:val="20"/>
          <w:color w:val="auto"/>
        </w:rPr>
      </w:pPr>
      <w:r>
        <w:rPr>
          <w:rFonts w:ascii="Arial" w:cs="Arial" w:eastAsia="Arial" w:hAnsi="Arial"/>
          <w:sz w:val="12"/>
          <w:szCs w:val="12"/>
          <w:color w:val="auto"/>
        </w:rPr>
        <w:t>President, Chief Executive Officer and Director</w:t>
      </w:r>
    </w:p>
    <w:p>
      <w:pPr>
        <w:spacing w:after="0" w:line="6" w:lineRule="exact"/>
        <w:rPr>
          <w:sz w:val="20"/>
          <w:szCs w:val="20"/>
          <w:color w:val="auto"/>
        </w:rPr>
      </w:pPr>
    </w:p>
    <w:p>
      <w:pPr>
        <w:ind w:left="8788"/>
        <w:spacing w:after="0"/>
        <w:rPr>
          <w:sz w:val="20"/>
          <w:szCs w:val="20"/>
          <w:color w:val="auto"/>
        </w:rPr>
      </w:pPr>
      <w:r>
        <w:rPr>
          <w:rFonts w:ascii="Arial" w:cs="Arial" w:eastAsia="Arial" w:hAnsi="Arial"/>
          <w:sz w:val="12"/>
          <w:szCs w:val="12"/>
          <w:color w:val="auto"/>
        </w:rPr>
        <w:t>(Principal Executive Officer)</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13, 2021</w:t>
      </w:r>
    </w:p>
    <w:p>
      <w:pPr>
        <w:sectPr>
          <w:pgSz w:w="11900" w:h="16838" w:orient="portrait"/>
          <w:cols w:equalWidth="0" w:num="1">
            <w:col w:w="11308"/>
          </w:cols>
          <w:pgMar w:left="292" w:top="120" w:right="299" w:bottom="1440" w:gutter="0" w:footer="0" w:header="0"/>
        </w:sectPr>
      </w:pPr>
    </w:p>
    <w:bookmarkStart w:id="86" w:name="page87"/>
    <w:bookmarkEnd w:id="86"/>
    <w:p>
      <w:pPr>
        <w:jc w:val="right"/>
        <w:spacing w:after="0"/>
        <w:rPr>
          <w:sz w:val="20"/>
          <w:szCs w:val="20"/>
          <w:color w:val="auto"/>
        </w:rPr>
      </w:pPr>
      <w:r>
        <w:rPr>
          <w:rFonts w:ascii="Arial" w:cs="Arial" w:eastAsia="Arial" w:hAnsi="Arial"/>
          <w:sz w:val="12"/>
          <w:szCs w:val="12"/>
          <w:b w:val="1"/>
          <w:bCs w:val="1"/>
          <w:color w:val="auto"/>
        </w:rPr>
        <w:t>Exhibit 31.2</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FINANCIAL AND ACCOUNTING OFFICER PURSUANT TO</w:t>
      </w: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Hans van Houte, certify that:</w:t>
      </w:r>
    </w:p>
    <w:p>
      <w:pPr>
        <w:spacing w:after="0" w:line="78" w:lineRule="exact"/>
        <w:rPr>
          <w:sz w:val="20"/>
          <w:szCs w:val="20"/>
          <w:color w:val="auto"/>
        </w:rPr>
      </w:pPr>
    </w:p>
    <w:p>
      <w:pPr>
        <w:ind w:left="428" w:hanging="428"/>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Nurix Therapeutics, Inc.;</w:t>
      </w:r>
    </w:p>
    <w:p>
      <w:pPr>
        <w:spacing w:after="0" w:line="7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428" w:hanging="428"/>
        <w:spacing w:after="0"/>
        <w:tabs>
          <w:tab w:leader="none" w:pos="428"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1"/>
          <w:szCs w:val="11"/>
          <w:color w:val="auto"/>
        </w:rPr>
      </w:pPr>
    </w:p>
    <w:p>
      <w:pPr>
        <w:ind w:left="868" w:hanging="436"/>
        <w:spacing w:after="0" w:line="276" w:lineRule="auto"/>
        <w:tabs>
          <w:tab w:leader="none" w:pos="868" w:val="left"/>
        </w:tabs>
        <w:numPr>
          <w:ilvl w:val="1"/>
          <w:numId w:val="4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68" w:right="20" w:hanging="436"/>
        <w:spacing w:after="0" w:line="276" w:lineRule="auto"/>
        <w:tabs>
          <w:tab w:leader="none" w:pos="868" w:val="left"/>
        </w:tabs>
        <w:numPr>
          <w:ilvl w:val="1"/>
          <w:numId w:val="4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4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868" w:right="20" w:hanging="436"/>
        <w:spacing w:after="0" w:line="276" w:lineRule="auto"/>
        <w:tabs>
          <w:tab w:leader="none" w:pos="868" w:val="left"/>
        </w:tabs>
        <w:numPr>
          <w:ilvl w:val="1"/>
          <w:numId w:val="4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868" w:hanging="436"/>
        <w:spacing w:after="0"/>
        <w:tabs>
          <w:tab w:leader="none" w:pos="868" w:val="left"/>
        </w:tabs>
        <w:numPr>
          <w:ilvl w:val="1"/>
          <w:numId w:val="4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8488"/>
        <w:spacing w:after="0"/>
        <w:tabs>
          <w:tab w:leader="none" w:pos="8768" w:val="left"/>
        </w:tabs>
        <w:rPr>
          <w:sz w:val="20"/>
          <w:szCs w:val="20"/>
          <w:color w:val="auto"/>
        </w:rPr>
      </w:pPr>
      <w:r>
        <w:rPr>
          <w:rFonts w:ascii="Arial" w:cs="Arial" w:eastAsia="Arial" w:hAnsi="Arial"/>
          <w:sz w:val="12"/>
          <w:szCs w:val="12"/>
          <w:color w:val="auto"/>
        </w:rPr>
        <w:t>By:</w:t>
        <w:tab/>
        <w:t>/s/ H</w:t>
      </w:r>
      <w:r>
        <w:rPr>
          <w:rFonts w:ascii="Arial" w:cs="Arial" w:eastAsia="Arial" w:hAnsi="Arial"/>
          <w:sz w:val="8"/>
          <w:szCs w:val="8"/>
          <w:color w:val="auto"/>
        </w:rPr>
        <w:t>ANS VAN</w:t>
      </w:r>
      <w:r>
        <w:rPr>
          <w:rFonts w:ascii="Arial" w:cs="Arial" w:eastAsia="Arial" w:hAnsi="Arial"/>
          <w:sz w:val="12"/>
          <w:szCs w:val="12"/>
          <w:color w:val="auto"/>
        </w:rPr>
        <w:t xml:space="preserve"> H</w:t>
      </w:r>
      <w:r>
        <w:rPr>
          <w:rFonts w:ascii="Arial" w:cs="Arial" w:eastAsia="Arial" w:hAnsi="Arial"/>
          <w:sz w:val="8"/>
          <w:szCs w:val="8"/>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9525</wp:posOffset>
            </wp:positionV>
            <wp:extent cx="159448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ind w:left="8788"/>
        <w:spacing w:after="0"/>
        <w:rPr>
          <w:sz w:val="20"/>
          <w:szCs w:val="20"/>
          <w:color w:val="auto"/>
        </w:rPr>
      </w:pPr>
      <w:r>
        <w:rPr>
          <w:rFonts w:ascii="Arial" w:cs="Arial" w:eastAsia="Arial" w:hAnsi="Arial"/>
          <w:sz w:val="12"/>
          <w:szCs w:val="12"/>
          <w:color w:val="auto"/>
        </w:rPr>
        <w:t>Hans van Houte</w:t>
      </w:r>
    </w:p>
    <w:p>
      <w:pPr>
        <w:spacing w:after="0" w:line="15" w:lineRule="exact"/>
        <w:rPr>
          <w:sz w:val="20"/>
          <w:szCs w:val="20"/>
          <w:color w:val="auto"/>
        </w:rPr>
      </w:pPr>
    </w:p>
    <w:p>
      <w:pPr>
        <w:ind w:left="8788"/>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8788"/>
        <w:spacing w:after="0"/>
        <w:rPr>
          <w:sz w:val="20"/>
          <w:szCs w:val="20"/>
          <w:color w:val="auto"/>
        </w:rPr>
      </w:pPr>
      <w:r>
        <w:rPr>
          <w:rFonts w:ascii="Arial" w:cs="Arial" w:eastAsia="Arial" w:hAnsi="Arial"/>
          <w:sz w:val="12"/>
          <w:szCs w:val="12"/>
          <w:color w:val="auto"/>
        </w:rPr>
        <w:t>(Principal Financial and Accounting Officer)</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13, 2021</w:t>
      </w:r>
    </w:p>
    <w:p>
      <w:pPr>
        <w:sectPr>
          <w:pgSz w:w="11900" w:h="16838" w:orient="portrait"/>
          <w:cols w:equalWidth="0" w:num="1">
            <w:col w:w="11308"/>
          </w:cols>
          <w:pgMar w:left="292" w:top="120" w:right="299" w:bottom="1440" w:gutter="0" w:footer="0" w:header="0"/>
        </w:sectPr>
      </w:pPr>
    </w:p>
    <w:bookmarkStart w:id="87" w:name="page88"/>
    <w:bookmarkEnd w:id="87"/>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CERTIFICATIONS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(18 U.S.C. SECTION 1350)</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Each of the undersigned officers of Nurix Therapeutics, Inc. (the Company) certifies, pursuant to 18 U.S.C. § 1350, as adopted pursuant to § 906 of the Sarbanes-Oxley Act of 2002, that:</w:t>
      </w:r>
    </w:p>
    <w:p>
      <w:pPr>
        <w:spacing w:after="0" w:line="150" w:lineRule="exact"/>
        <w:rPr>
          <w:sz w:val="20"/>
          <w:szCs w:val="20"/>
          <w:color w:val="auto"/>
        </w:rPr>
      </w:pPr>
    </w:p>
    <w:p>
      <w:pPr>
        <w:ind w:left="428" w:right="20" w:hanging="428"/>
        <w:spacing w:after="0" w:line="276" w:lineRule="auto"/>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Quarterly Report on Form 10-Q of the Company for the quarter ended May 31, 2021 (the Quarterly Report), as filed with the Securities and Exchange Commission,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information contained in this Quarterly Report fairly presents, in all material respects, the financial condition and results of operations of the Company.</w:t>
      </w:r>
    </w:p>
    <w:p>
      <w:pPr>
        <w:spacing w:after="0" w:line="168" w:lineRule="exact"/>
        <w:rPr>
          <w:sz w:val="20"/>
          <w:szCs w:val="20"/>
          <w:color w:val="auto"/>
        </w:rPr>
      </w:pPr>
    </w:p>
    <w:tbl>
      <w:tblPr>
        <w:tblLayout w:type="fixed"/>
        <w:tblInd w:w="5648" w:type="dxa"/>
        <w:tblCellMar>
          <w:top w:w="0" w:type="dxa"/>
          <w:left w:w="0" w:type="dxa"/>
          <w:bottom w:w="0" w:type="dxa"/>
          <w:right w:w="0" w:type="dxa"/>
        </w:tblCellMar>
      </w:tblPr>
      <w:tr>
        <w:trPr>
          <w:trHeight w:val="153"/>
        </w:trPr>
        <w:tc>
          <w:tcPr>
            <w:tcW w:w="600" w:type="dxa"/>
            <w:vAlign w:val="bottom"/>
          </w:tcPr>
          <w:p>
            <w:pPr>
              <w:spacing w:after="0"/>
              <w:rPr>
                <w:sz w:val="20"/>
                <w:szCs w:val="20"/>
                <w:color w:val="auto"/>
              </w:rPr>
            </w:pPr>
            <w:r>
              <w:rPr>
                <w:rFonts w:ascii="Arial" w:cs="Arial" w:eastAsia="Arial" w:hAnsi="Arial"/>
                <w:sz w:val="12"/>
                <w:szCs w:val="12"/>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w:t>
            </w:r>
            <w:r>
              <w:rPr>
                <w:rFonts w:ascii="Arial" w:cs="Arial" w:eastAsia="Arial" w:hAnsi="Arial"/>
                <w:sz w:val="8"/>
                <w:szCs w:val="8"/>
                <w:color w:val="auto"/>
              </w:rPr>
              <w:t>RTHUR</w:t>
            </w:r>
            <w:r>
              <w:rPr>
                <w:rFonts w:ascii="Arial" w:cs="Arial" w:eastAsia="Arial" w:hAnsi="Arial"/>
                <w:sz w:val="12"/>
                <w:szCs w:val="12"/>
                <w:color w:val="auto"/>
              </w:rPr>
              <w:t xml:space="preserve"> T. S</w:t>
            </w:r>
            <w:r>
              <w:rPr>
                <w:rFonts w:ascii="Arial" w:cs="Arial" w:eastAsia="Arial" w:hAnsi="Arial"/>
                <w:sz w:val="8"/>
                <w:szCs w:val="8"/>
                <w:color w:val="auto"/>
              </w:rPr>
              <w:t>ANDS</w:t>
            </w:r>
          </w:p>
        </w:tc>
      </w:tr>
      <w:tr>
        <w:trPr>
          <w:trHeight w:val="124"/>
        </w:trPr>
        <w:tc>
          <w:tcPr>
            <w:tcW w:w="600" w:type="dxa"/>
            <w:vAlign w:val="bottom"/>
          </w:tcPr>
          <w:p>
            <w:pPr>
              <w:spacing w:after="0"/>
              <w:rPr>
                <w:sz w:val="10"/>
                <w:szCs w:val="10"/>
                <w:color w:val="auto"/>
              </w:rPr>
            </w:pPr>
          </w:p>
        </w:tc>
        <w:tc>
          <w:tcPr>
            <w:tcW w:w="5060" w:type="dxa"/>
            <w:vAlign w:val="bottom"/>
          </w:tcPr>
          <w:p>
            <w:pPr>
              <w:spacing w:after="0" w:line="124" w:lineRule="exact"/>
              <w:rPr>
                <w:sz w:val="20"/>
                <w:szCs w:val="20"/>
                <w:color w:val="auto"/>
              </w:rPr>
            </w:pPr>
            <w:r>
              <w:rPr>
                <w:rFonts w:ascii="Arial" w:cs="Arial" w:eastAsia="Arial" w:hAnsi="Arial"/>
                <w:sz w:val="12"/>
                <w:szCs w:val="12"/>
                <w:color w:val="auto"/>
              </w:rPr>
              <w:t>Arthur T. Sands, M.D., Ph.D.</w:t>
            </w:r>
          </w:p>
        </w:tc>
      </w:tr>
      <w:tr>
        <w:trPr>
          <w:trHeight w:val="144"/>
        </w:trPr>
        <w:tc>
          <w:tcPr>
            <w:tcW w:w="600" w:type="dxa"/>
            <w:vAlign w:val="bottom"/>
          </w:tcPr>
          <w:p>
            <w:pPr>
              <w:spacing w:after="0"/>
              <w:rPr>
                <w:sz w:val="12"/>
                <w:szCs w:val="12"/>
                <w:color w:val="auto"/>
              </w:rPr>
            </w:pPr>
          </w:p>
        </w:tc>
        <w:tc>
          <w:tcPr>
            <w:tcW w:w="5060" w:type="dxa"/>
            <w:vAlign w:val="bottom"/>
          </w:tcPr>
          <w:p>
            <w:pPr>
              <w:spacing w:after="0"/>
              <w:rPr>
                <w:sz w:val="20"/>
                <w:szCs w:val="20"/>
                <w:color w:val="auto"/>
              </w:rPr>
            </w:pPr>
            <w:r>
              <w:rPr>
                <w:rFonts w:ascii="Arial" w:cs="Arial" w:eastAsia="Arial" w:hAnsi="Arial"/>
                <w:sz w:val="12"/>
                <w:szCs w:val="12"/>
                <w:color w:val="auto"/>
              </w:rPr>
              <w:t>President, Chief Executive Officer and Director</w:t>
            </w:r>
          </w:p>
        </w:tc>
      </w:tr>
      <w:tr>
        <w:trPr>
          <w:trHeight w:val="153"/>
        </w:trPr>
        <w:tc>
          <w:tcPr>
            <w:tcW w:w="60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Arial" w:cs="Arial" w:eastAsia="Arial" w:hAnsi="Arial"/>
                <w:sz w:val="12"/>
                <w:szCs w:val="12"/>
                <w:color w:val="auto"/>
              </w:rPr>
              <w:t>(Principal Executive Officer)</w:t>
            </w:r>
          </w:p>
        </w:tc>
      </w:tr>
      <w:tr>
        <w:trPr>
          <w:trHeight w:val="288"/>
        </w:trPr>
        <w:tc>
          <w:tcPr>
            <w:tcW w:w="600" w:type="dxa"/>
            <w:vAlign w:val="bottom"/>
          </w:tcPr>
          <w:p>
            <w:pPr>
              <w:spacing w:after="0"/>
              <w:rPr>
                <w:sz w:val="20"/>
                <w:szCs w:val="20"/>
                <w:color w:val="auto"/>
              </w:rPr>
            </w:pPr>
            <w:r>
              <w:rPr>
                <w:rFonts w:ascii="Arial" w:cs="Arial" w:eastAsia="Arial" w:hAnsi="Arial"/>
                <w:sz w:val="12"/>
                <w:szCs w:val="12"/>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H</w:t>
            </w:r>
            <w:r>
              <w:rPr>
                <w:rFonts w:ascii="Arial" w:cs="Arial" w:eastAsia="Arial" w:hAnsi="Arial"/>
                <w:sz w:val="8"/>
                <w:szCs w:val="8"/>
                <w:color w:val="auto"/>
              </w:rPr>
              <w:t>ANS VAN</w:t>
            </w:r>
            <w:r>
              <w:rPr>
                <w:rFonts w:ascii="Arial" w:cs="Arial" w:eastAsia="Arial" w:hAnsi="Arial"/>
                <w:sz w:val="12"/>
                <w:szCs w:val="12"/>
                <w:color w:val="auto"/>
              </w:rPr>
              <w:t xml:space="preserve"> H</w:t>
            </w:r>
            <w:r>
              <w:rPr>
                <w:rFonts w:ascii="Arial" w:cs="Arial" w:eastAsia="Arial" w:hAnsi="Arial"/>
                <w:sz w:val="8"/>
                <w:szCs w:val="8"/>
                <w:color w:val="auto"/>
              </w:rPr>
              <w:t>OUTE</w:t>
            </w:r>
          </w:p>
        </w:tc>
      </w:tr>
      <w:tr>
        <w:trPr>
          <w:trHeight w:val="124"/>
        </w:trPr>
        <w:tc>
          <w:tcPr>
            <w:tcW w:w="600" w:type="dxa"/>
            <w:vAlign w:val="bottom"/>
          </w:tcPr>
          <w:p>
            <w:pPr>
              <w:spacing w:after="0"/>
              <w:rPr>
                <w:sz w:val="10"/>
                <w:szCs w:val="10"/>
                <w:color w:val="auto"/>
              </w:rPr>
            </w:pPr>
          </w:p>
        </w:tc>
        <w:tc>
          <w:tcPr>
            <w:tcW w:w="5060" w:type="dxa"/>
            <w:vAlign w:val="bottom"/>
          </w:tcPr>
          <w:p>
            <w:pPr>
              <w:spacing w:after="0" w:line="124" w:lineRule="exact"/>
              <w:rPr>
                <w:sz w:val="20"/>
                <w:szCs w:val="20"/>
                <w:color w:val="auto"/>
              </w:rPr>
            </w:pPr>
            <w:r>
              <w:rPr>
                <w:rFonts w:ascii="Arial" w:cs="Arial" w:eastAsia="Arial" w:hAnsi="Arial"/>
                <w:sz w:val="12"/>
                <w:szCs w:val="12"/>
                <w:color w:val="auto"/>
              </w:rPr>
              <w:t>Hans van Houte</w:t>
            </w:r>
          </w:p>
        </w:tc>
      </w:tr>
      <w:tr>
        <w:trPr>
          <w:trHeight w:val="144"/>
        </w:trPr>
        <w:tc>
          <w:tcPr>
            <w:tcW w:w="600" w:type="dxa"/>
            <w:vAlign w:val="bottom"/>
          </w:tcPr>
          <w:p>
            <w:pPr>
              <w:spacing w:after="0"/>
              <w:rPr>
                <w:sz w:val="12"/>
                <w:szCs w:val="12"/>
                <w:color w:val="auto"/>
              </w:rPr>
            </w:pPr>
          </w:p>
        </w:tc>
        <w:tc>
          <w:tcPr>
            <w:tcW w:w="506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60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Arial" w:cs="Arial" w:eastAsia="Arial" w:hAnsi="Arial"/>
                <w:sz w:val="12"/>
                <w:szCs w:val="12"/>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13, 2021</w:t>
      </w:r>
    </w:p>
    <w:sectPr>
      <w:pgSz w:w="11900" w:h="16838" w:orient="portrait"/>
      <w:cols w:equalWidth="0" w:num="1">
        <w:col w:w="11308"/>
      </w:cols>
      <w:pgMar w:left="292"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lowerRoman"/>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2021-07-13T15:23:02Z</dcterms:created>
  <dcterms:modified xsi:type="dcterms:W3CDTF">2021-07-13T15:23:02Z</dcterms:modified>
</cp:coreProperties>
</file>