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392559.xml.htm"/>
      <w:bookmarkStart w:id="1" w:name="kswkform4_178839255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Ring Christine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5"/>
        <w:gridCol w:w="913"/>
        <w:gridCol w:w="782"/>
        <w:gridCol w:w="606"/>
        <w:gridCol w:w="347"/>
        <w:gridCol w:w="835"/>
        <w:gridCol w:w="443"/>
        <w:gridCol w:w="981"/>
        <w:gridCol w:w="1149"/>
        <w:gridCol w:w="98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5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8.72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14,897</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5,387</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25.6947</w:t>
            </w:r>
            <w:r>
              <w:rPr>
                <w:rFonts w:ascii="Times;serif" w:hAnsi="Times;serif"/>
                <w:color w:val="008000"/>
                <w:position w:val="7"/>
                <w:sz w:val="16"/>
                <w:sz w:val="20"/>
                <w:shd w:fill="FFFFFF" w:val="clear"/>
              </w:rPr>
              <w:t>(2)</w:t>
            </w:r>
          </w:p>
        </w:tc>
        <w:tc>
          <w:tcPr>
            <w:tcW w:w="11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9,510</w:t>
            </w:r>
          </w:p>
        </w:tc>
        <w:tc>
          <w:tcPr>
            <w:tcW w:w="98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26.6375</w:t>
            </w:r>
            <w:r>
              <w:rPr>
                <w:rFonts w:ascii="Times;serif" w:hAnsi="Times;serif"/>
                <w:color w:val="008000"/>
                <w:position w:val="7"/>
                <w:sz w:val="16"/>
                <w:sz w:val="20"/>
                <w:shd w:fill="FFFFFF" w:val="clear"/>
              </w:rPr>
              <w:t>(3)</w:t>
            </w:r>
          </w:p>
        </w:tc>
        <w:tc>
          <w:tcPr>
            <w:tcW w:w="11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9,110</w:t>
            </w:r>
          </w:p>
        </w:tc>
        <w:tc>
          <w:tcPr>
            <w:tcW w:w="98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8.72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5,787</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02/12/2034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117,037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effected pursuant to a Rule 10b5-1 trading plan previously adopted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 price. The lowest price at which shares were sold was $25.41 and the highest price at which shares were sold was $26.23.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weighted average sale price. The lowest price at which shares were sold was $26.46 and the highest price at which shares were sold was $26.73.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vests as to 1/36 of the total shares monthly beginning March 13, 2024, until the option is fully vested on February 13, 2027, subject to the Reporting Person's provision of service to the Issuer on each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Christine Ring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7199"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805</Words>
  <Characters>4311</Characters>
  <CharactersWithSpaces>5016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