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spacing w:after="0" w:line="217"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20"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9" w:lineRule="exact"/>
        <w:rPr>
          <w:sz w:val="24"/>
          <w:szCs w:val="24"/>
          <w:color w:val="auto"/>
        </w:rPr>
      </w:pPr>
    </w:p>
    <w:p>
      <w:pPr>
        <w:ind w:left="3900" w:right="2540" w:hanging="3771"/>
        <w:spacing w:after="0" w:line="371" w:lineRule="auto"/>
        <w:tabs>
          <w:tab w:leader="none" w:pos="462"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February 28,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460" w:hanging="316"/>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32" w:lineRule="exact"/>
        <w:rPr>
          <w:sz w:val="24"/>
          <w:szCs w:val="24"/>
          <w:color w:val="auto"/>
        </w:rPr>
      </w:pPr>
    </w:p>
    <w:p>
      <w:pPr>
        <w:ind w:left="3840"/>
        <w:spacing w:after="0"/>
        <w:tabs>
          <w:tab w:leader="none" w:pos="66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001-39398</w:t>
      </w: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27-0838048</w:t>
            </w:r>
          </w:p>
        </w:tc>
        <w:tc>
          <w:tcPr>
            <w:tcW w:w="0" w:type="dxa"/>
            <w:vAlign w:val="bottom"/>
          </w:tcPr>
          <w:p>
            <w:pPr>
              <w:spacing w:after="0"/>
              <w:rPr>
                <w:sz w:val="1"/>
                <w:szCs w:val="1"/>
                <w:color w:val="auto"/>
              </w:rPr>
            </w:pPr>
          </w:p>
        </w:tc>
      </w:tr>
      <w:tr>
        <w:trPr>
          <w:trHeight w:val="193"/>
        </w:trPr>
        <w:tc>
          <w:tcPr>
            <w:tcW w:w="45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2"/>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179"/>
        </w:trPr>
        <w:tc>
          <w:tcPr>
            <w:tcW w:w="4500" w:type="dxa"/>
            <w:vAlign w:val="bottom"/>
          </w:tcPr>
          <w:p>
            <w:pPr>
              <w:jc w:val="center"/>
              <w:ind w:right="1739"/>
              <w:spacing w:after="0" w:line="179" w:lineRule="exact"/>
              <w:rPr>
                <w:sz w:val="20"/>
                <w:szCs w:val="20"/>
                <w:color w:val="auto"/>
              </w:rPr>
            </w:pPr>
            <w:r>
              <w:rPr>
                <w:rFonts w:ascii="Times New Roman" w:cs="Times New Roman" w:eastAsia="Times New Roman" w:hAnsi="Times New Roman"/>
                <w:sz w:val="16"/>
                <w:szCs w:val="16"/>
                <w:b w:val="1"/>
                <w:bCs w:val="1"/>
                <w:color w:val="auto"/>
              </w:rPr>
              <w:t>1700 Owens Street, Suite 205</w:t>
            </w:r>
          </w:p>
        </w:tc>
        <w:tc>
          <w:tcPr>
            <w:tcW w:w="3080" w:type="dxa"/>
            <w:vAlign w:val="bottom"/>
            <w:vMerge w:val="restart"/>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94158</w:t>
            </w:r>
          </w:p>
        </w:tc>
        <w:tc>
          <w:tcPr>
            <w:tcW w:w="0" w:type="dxa"/>
            <w:vAlign w:val="bottom"/>
          </w:tcPr>
          <w:p>
            <w:pPr>
              <w:spacing w:after="0"/>
              <w:rPr>
                <w:sz w:val="1"/>
                <w:szCs w:val="1"/>
                <w:color w:val="auto"/>
              </w:rPr>
            </w:pPr>
          </w:p>
        </w:tc>
      </w:tr>
      <w:tr>
        <w:trPr>
          <w:trHeight w:val="212"/>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San Francisco, CA</w:t>
            </w:r>
          </w:p>
        </w:tc>
        <w:tc>
          <w:tcPr>
            <w:tcW w:w="3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jc w:val="center"/>
              <w:ind w:right="17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080" w:type="dxa"/>
            <w:vAlign w:val="bottom"/>
          </w:tcPr>
          <w:p>
            <w:pPr>
              <w:jc w:val="center"/>
              <w:ind w:left="173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bl>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660-5320</w:t>
      </w:r>
    </w:p>
    <w:p>
      <w:pPr>
        <w:spacing w:after="0" w:line="3"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380" w:type="dxa"/>
            <w:vAlign w:val="bottom"/>
          </w:tcPr>
          <w:p>
            <w:pPr>
              <w:spacing w:after="0"/>
              <w:rPr>
                <w:sz w:val="17"/>
                <w:szCs w:val="17"/>
                <w:color w:val="auto"/>
              </w:rPr>
            </w:pPr>
          </w:p>
        </w:tc>
      </w:tr>
      <w:tr>
        <w:trPr>
          <w:trHeight w:val="22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80" w:type="dxa"/>
            <w:vAlign w:val="bottom"/>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100" w:type="dxa"/>
            <w:vAlign w:val="bottom"/>
          </w:tcPr>
          <w:p>
            <w:pPr>
              <w:spacing w:after="0"/>
              <w:rPr>
                <w:sz w:val="19"/>
                <w:szCs w:val="19"/>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3"/>
        </w:trPr>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NRIX</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4" w:lineRule="exact"/>
        <w:rPr>
          <w:sz w:val="24"/>
          <w:szCs w:val="24"/>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64" w:lineRule="exact"/>
        <w:rPr>
          <w:sz w:val="24"/>
          <w:szCs w:val="24"/>
          <w:color w:val="auto"/>
        </w:rPr>
      </w:pPr>
    </w:p>
    <w:p>
      <w:pPr>
        <w:ind w:right="38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3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1380" w:type="dxa"/>
            <w:vAlign w:val="bottom"/>
          </w:tcPr>
          <w:p>
            <w:pPr>
              <w:ind w:left="122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12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80" w:type="dxa"/>
            <w:vAlign w:val="bottom"/>
          </w:tcPr>
          <w:p>
            <w:pPr>
              <w:ind w:left="1220"/>
              <w:spacing w:after="0"/>
              <w:rPr>
                <w:sz w:val="20"/>
                <w:szCs w:val="20"/>
                <w:color w:val="auto"/>
              </w:rPr>
            </w:pPr>
            <w:r>
              <w:rPr>
                <w:rFonts w:ascii="Wingdings" w:cs="Wingdings" w:eastAsia="Wingdings" w:hAnsi="Wingdings"/>
                <w:sz w:val="18"/>
                <w:szCs w:val="18"/>
                <w:b w:val="1"/>
                <w:bCs w:val="1"/>
                <w:color w:val="auto"/>
                <w:w w:val="86"/>
              </w:rPr>
              <w:t>o</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40" w:type="dxa"/>
            <w:vAlign w:val="bottom"/>
          </w:tcPr>
          <w:p>
            <w:pPr>
              <w:ind w:left="1240"/>
              <w:spacing w:after="0"/>
              <w:rPr>
                <w:sz w:val="20"/>
                <w:szCs w:val="20"/>
                <w:color w:val="auto"/>
              </w:rPr>
            </w:pPr>
            <w:r>
              <w:rPr>
                <w:rFonts w:ascii="Wingdings" w:cs="Wingdings" w:eastAsia="Wingdings" w:hAnsi="Wingdings"/>
                <w:sz w:val="18"/>
                <w:szCs w:val="18"/>
                <w:b w:val="1"/>
                <w:bCs w:val="1"/>
                <w:color w:val="auto"/>
              </w:rPr>
              <w:t>o</w:t>
            </w:r>
          </w:p>
        </w:tc>
        <w:tc>
          <w:tcPr>
            <w:tcW w:w="3700" w:type="dxa"/>
            <w:vAlign w:val="bottom"/>
          </w:tcPr>
          <w:p>
            <w:pPr>
              <w:spacing w:after="0"/>
              <w:rPr>
                <w:sz w:val="23"/>
                <w:szCs w:val="23"/>
                <w:color w:val="auto"/>
              </w:rPr>
            </w:pPr>
          </w:p>
        </w:tc>
        <w:tc>
          <w:tcPr>
            <w:tcW w:w="1380" w:type="dxa"/>
            <w:vAlign w:val="bottom"/>
          </w:tcPr>
          <w:p>
            <w:pPr>
              <w:spacing w:after="0"/>
              <w:rPr>
                <w:sz w:val="23"/>
                <w:szCs w:val="23"/>
                <w:color w:val="auto"/>
              </w:rPr>
            </w:pPr>
          </w:p>
        </w:tc>
      </w:tr>
    </w:tbl>
    <w:p>
      <w:pPr>
        <w:spacing w:after="0" w:line="198" w:lineRule="exact"/>
        <w:rPr>
          <w:sz w:val="24"/>
          <w:szCs w:val="24"/>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5" w:lineRule="exact"/>
        <w:rPr>
          <w:sz w:val="24"/>
          <w:szCs w:val="24"/>
          <w:color w:val="auto"/>
        </w:rPr>
      </w:pPr>
    </w:p>
    <w:p>
      <w:pPr>
        <w:ind w:right="1980"/>
        <w:spacing w:after="0" w:line="37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April 1, 2025, the Registrant had 76,235,594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61" w:lineRule="exact"/>
        <w:rPr>
          <w:sz w:val="20"/>
          <w:szCs w:val="20"/>
          <w:color w:val="auto"/>
        </w:rPr>
      </w:pPr>
    </w:p>
    <w:p>
      <w:pPr>
        <w:ind w:left="980" w:right="80" w:hanging="324"/>
        <w:spacing w:after="0" w:line="25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bexobrutideg (NX-5948), NX-2127 and NX-1607 and other drug candidates, including statements regarding the timing of data and anticipated announcements, the selection of new development candidates and the initiation of clinical trials;</w:t>
      </w:r>
    </w:p>
    <w:p>
      <w:pPr>
        <w:spacing w:after="0" w:line="61"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bexobrutideg, NX-2127 and NX-1607 and other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DEL-AI platform, our drug candidates and degrader antibody conjugates (DACs);</w:t>
      </w:r>
    </w:p>
    <w:p>
      <w:pPr>
        <w:spacing w:after="0" w:line="103"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our DEL-AI platform, protein degradation, antibody-drug conjugation, and DACs may potentially address a broad range of diseases;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Gilead Sciences, Inc., Sanofi S.A. and Seagen Inc. (now a part of Pfizer Inc.);</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03" w:lineRule="exact"/>
        <w:rPr>
          <w:rFonts w:ascii="Times New Roman" w:cs="Times New Roman" w:eastAsia="Times New Roman" w:hAnsi="Times New Roman"/>
          <w:sz w:val="18"/>
          <w:szCs w:val="18"/>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 of global business, political and macroeconomic conditions, including inflation, interest rate fluctuations and volatile market conditions, uncertainty with respect to the federal budget and debt ceiling, potential government shutdowns related thereto, cybersecurity events, instability in the global banking system, and global events, including regional conflicts around the world, on our business, clinical trials, financial condition, liquidity and results of operations;</w:t>
      </w:r>
    </w:p>
    <w:p>
      <w:pPr>
        <w:spacing w:after="0" w:line="6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04"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68" w:lineRule="exact"/>
        <w:rPr>
          <w:sz w:val="20"/>
          <w:szCs w:val="20"/>
          <w:color w:val="auto"/>
        </w:rPr>
      </w:pPr>
    </w:p>
    <w:p>
      <w:pPr>
        <w:ind w:left="980" w:right="10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ind w:left="980" w:right="40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4"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and any collaborators, to obtain marketing approval of and commercialize our drug candidates and affect the prices we, or they, may obtain.</w:t>
      </w:r>
    </w:p>
    <w:p>
      <w:pPr>
        <w:spacing w:after="0" w:line="40" w:lineRule="exact"/>
        <w:rPr>
          <w:rFonts w:ascii="Times New Roman" w:cs="Times New Roman" w:eastAsia="Times New Roman" w:hAnsi="Times New Roman"/>
          <w:sz w:val="18"/>
          <w:szCs w:val="18"/>
          <w:color w:val="auto"/>
        </w:rPr>
      </w:pPr>
    </w:p>
    <w:p>
      <w:pPr>
        <w:jc w:val="both"/>
        <w:ind w:left="980" w:right="100" w:hanging="324"/>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bexobrutideg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03"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40"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82" w:lineRule="exact"/>
        <w:rPr>
          <w:rFonts w:ascii="Times New Roman" w:cs="Times New Roman" w:eastAsia="Times New Roman" w:hAnsi="Times New Roman"/>
          <w:sz w:val="18"/>
          <w:szCs w:val="18"/>
          <w:color w:val="auto"/>
        </w:rPr>
      </w:pPr>
    </w:p>
    <w:p>
      <w:pPr>
        <w:ind w:left="980" w:right="14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82"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4" w:lineRule="exact"/>
        <w:rPr>
          <w:rFonts w:ascii="Times New Roman" w:cs="Times New Roman" w:eastAsia="Times New Roman" w:hAnsi="Times New Roman"/>
          <w:sz w:val="18"/>
          <w:szCs w:val="18"/>
          <w:color w:val="auto"/>
        </w:rPr>
      </w:pPr>
    </w:p>
    <w:p>
      <w:pPr>
        <w:ind w:left="980" w:right="180" w:hanging="324"/>
        <w:spacing w:after="0" w:line="258"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61" w:lineRule="exact"/>
        <w:rPr>
          <w:rFonts w:ascii="Times New Roman" w:cs="Times New Roman" w:eastAsia="Times New Roman" w:hAnsi="Times New Roman"/>
          <w:sz w:val="18"/>
          <w:szCs w:val="18"/>
          <w:color w:val="auto"/>
        </w:rPr>
      </w:pPr>
    </w:p>
    <w:p>
      <w:pPr>
        <w:ind w:left="980" w:right="20" w:hanging="324"/>
        <w:spacing w:after="0" w:line="270" w:lineRule="auto"/>
        <w:tabs>
          <w:tab w:leader="none" w:pos="97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65" w:lineRule="exact"/>
        <w:rPr>
          <w:rFonts w:ascii="Times New Roman" w:cs="Times New Roman" w:eastAsia="Times New Roman" w:hAnsi="Times New Roman"/>
          <w:sz w:val="17"/>
          <w:szCs w:val="17"/>
          <w:color w:val="auto"/>
        </w:rPr>
      </w:pPr>
    </w:p>
    <w:p>
      <w:pPr>
        <w:ind w:left="980" w:right="80" w:hanging="324"/>
        <w:spacing w:after="0" w:line="245"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86" w:lineRule="exact"/>
        <w:rPr>
          <w:rFonts w:ascii="Times New Roman" w:cs="Times New Roman" w:eastAsia="Times New Roman" w:hAnsi="Times New Roman"/>
          <w:sz w:val="18"/>
          <w:szCs w:val="18"/>
          <w:color w:val="auto"/>
        </w:rPr>
      </w:pPr>
    </w:p>
    <w:p>
      <w:pPr>
        <w:ind w:left="980" w:right="60" w:hanging="324"/>
        <w:spacing w:after="0" w:line="250"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10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40"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8820" w:type="dxa"/>
            <w:vAlign w:val="bottom"/>
            <w:gridSpan w:val="17"/>
            <w:vMerge w:val="continue"/>
          </w:tcPr>
          <w:p>
            <w:pPr>
              <w:spacing w:after="0"/>
              <w:rPr>
                <w:sz w:val="15"/>
                <w:szCs w:val="15"/>
                <w:color w:val="auto"/>
              </w:rPr>
            </w:pPr>
          </w:p>
        </w:tc>
        <w:tc>
          <w:tcPr>
            <w:tcW w:w="9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Condensed Balance Sheets</w:t>
            </w:r>
          </w:p>
        </w:tc>
        <w:tc>
          <w:tcPr>
            <w:tcW w:w="6420" w:type="dxa"/>
            <w:vAlign w:val="bottom"/>
            <w:gridSpan w:val="8"/>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Statements of Operations</w:t>
            </w:r>
          </w:p>
        </w:tc>
        <w:tc>
          <w:tcPr>
            <w:tcW w:w="6160" w:type="dxa"/>
            <w:vAlign w:val="bottom"/>
            <w:gridSpan w:val="7"/>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Statements of Comprehensive Loss</w:t>
            </w:r>
          </w:p>
        </w:tc>
        <w:tc>
          <w:tcPr>
            <w:tcW w:w="544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Statements of Cash Flows</w:t>
            </w:r>
          </w:p>
        </w:tc>
        <w:tc>
          <w:tcPr>
            <w:tcW w:w="5440" w:type="dxa"/>
            <w:vAlign w:val="bottom"/>
            <w:gridSpan w:val="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tcPr>
          <w:p>
            <w:pPr>
              <w:spacing w:after="0"/>
              <w:rPr>
                <w:sz w:val="20"/>
                <w:szCs w:val="20"/>
                <w:color w:val="auto"/>
              </w:rPr>
            </w:pPr>
          </w:p>
        </w:tc>
        <w:tc>
          <w:tcPr>
            <w:tcW w:w="2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060" w:type="dxa"/>
            <w:vAlign w:val="bottom"/>
            <w:gridSpan w:val="1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9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0"/>
                <w:szCs w:val="20"/>
                <w:color w:val="auto"/>
              </w:rPr>
            </w:pPr>
          </w:p>
        </w:tc>
        <w:tc>
          <w:tcPr>
            <w:tcW w:w="7500" w:type="dxa"/>
            <w:vAlign w:val="bottom"/>
            <w:gridSpan w:val="1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480" w:type="dxa"/>
            <w:vAlign w:val="bottom"/>
            <w:gridSpan w:val="3"/>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6500" w:type="dxa"/>
            <w:vAlign w:val="bottom"/>
            <w:gridSpan w:val="9"/>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060" w:type="dxa"/>
            <w:vAlign w:val="bottom"/>
            <w:gridSpan w:val="12"/>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8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520" w:type="dxa"/>
            <w:vAlign w:val="bottom"/>
            <w:gridSpan w:val="14"/>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053"/>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40" w:type="dxa"/>
            <w:vAlign w:val="bottom"/>
          </w:tcPr>
          <w:p>
            <w:pPr>
              <w:spacing w:after="0"/>
              <w:rPr>
                <w:sz w:val="15"/>
                <w:szCs w:val="15"/>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109,997</w:t>
            </w:r>
          </w:p>
        </w:tc>
        <w:tc>
          <w:tcPr>
            <w:tcW w:w="0" w:type="dxa"/>
            <w:vAlign w:val="bottom"/>
          </w:tcPr>
          <w:p>
            <w:pPr>
              <w:spacing w:after="0"/>
              <w:rPr>
                <w:sz w:val="1"/>
                <w:szCs w:val="1"/>
                <w:color w:val="auto"/>
              </w:rPr>
            </w:pPr>
          </w:p>
        </w:tc>
      </w:tr>
      <w:tr>
        <w:trPr>
          <w:trHeight w:val="243"/>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0" w:type="dxa"/>
            <w:vAlign w:val="bottom"/>
          </w:tcPr>
          <w:p>
            <w:pPr>
              <w:spacing w:after="0"/>
              <w:rPr>
                <w:sz w:val="1"/>
                <w:szCs w:val="1"/>
                <w:color w:val="auto"/>
              </w:rPr>
            </w:pPr>
          </w:p>
        </w:tc>
      </w:tr>
      <w:tr>
        <w:trPr>
          <w:trHeight w:val="237"/>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619,387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28,139</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615,043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669,343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0" w:type="dxa"/>
            <w:vAlign w:val="bottom"/>
          </w:tcPr>
          <w:p>
            <w:pPr>
              <w:spacing w:after="0"/>
              <w:rPr>
                <w:sz w:val="1"/>
                <w:szCs w:val="1"/>
                <w:color w:val="auto"/>
              </w:rPr>
            </w:pPr>
          </w:p>
        </w:tc>
      </w:tr>
      <w:tr>
        <w:trPr>
          <w:trHeight w:val="243"/>
        </w:trPr>
        <w:tc>
          <w:tcPr>
            <w:tcW w:w="7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38,364</w:t>
            </w:r>
          </w:p>
        </w:tc>
        <w:tc>
          <w:tcPr>
            <w:tcW w:w="0" w:type="dxa"/>
            <w:vAlign w:val="bottom"/>
          </w:tcPr>
          <w:p>
            <w:pPr>
              <w:spacing w:after="0"/>
              <w:rPr>
                <w:sz w:val="1"/>
                <w:szCs w:val="1"/>
                <w:color w:val="auto"/>
              </w:rPr>
            </w:pPr>
          </w:p>
        </w:tc>
      </w:tr>
      <w:tr>
        <w:trPr>
          <w:trHeight w:val="237"/>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95,854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26,207</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142,350</w:t>
            </w:r>
          </w:p>
        </w:tc>
        <w:tc>
          <w:tcPr>
            <w:tcW w:w="0" w:type="dxa"/>
            <w:vAlign w:val="bottom"/>
          </w:tcPr>
          <w:p>
            <w:pPr>
              <w:spacing w:after="0"/>
              <w:rPr>
                <w:sz w:val="1"/>
                <w:szCs w:val="1"/>
                <w:color w:val="auto"/>
              </w:rPr>
            </w:pPr>
          </w:p>
        </w:tc>
      </w:tr>
      <w:tr>
        <w:trPr>
          <w:trHeight w:val="22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as of February 28, 2025 and</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November 30, 2024; no shares issued and outstanding as of February 28, 2025 and November 30, 2024</w:t>
            </w:r>
          </w:p>
        </w:tc>
        <w:tc>
          <w:tcPr>
            <w:tcW w:w="2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as of February 28, 2025 and</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November 30, 2024; 76,234,799 and 75,870,718 shares issued and outstanding as of February 28, 2025</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9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and November 30, 2024,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1,265,536</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(738,769)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2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480,917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526,993</w:t>
            </w:r>
          </w:p>
        </w:tc>
        <w:tc>
          <w:tcPr>
            <w:tcW w:w="0" w:type="dxa"/>
            <w:vAlign w:val="bottom"/>
          </w:tcPr>
          <w:p>
            <w:pPr>
              <w:spacing w:after="0"/>
              <w:rPr>
                <w:sz w:val="1"/>
                <w:szCs w:val="1"/>
                <w:color w:val="auto"/>
              </w:rPr>
            </w:pPr>
          </w:p>
        </w:tc>
      </w:tr>
      <w:tr>
        <w:trPr>
          <w:trHeight w:val="26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615,043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669,343</w:t>
            </w:r>
          </w:p>
        </w:tc>
        <w:tc>
          <w:tcPr>
            <w:tcW w:w="0" w:type="dxa"/>
            <w:vAlign w:val="bottom"/>
          </w:tcPr>
          <w:p>
            <w:pPr>
              <w:spacing w:after="0"/>
              <w:rPr>
                <w:sz w:val="1"/>
                <w:szCs w:val="1"/>
                <w:color w:val="auto"/>
              </w:rPr>
            </w:pPr>
          </w:p>
        </w:tc>
      </w:tr>
      <w:tr>
        <w:trPr>
          <w:trHeight w:val="21"/>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6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February 29, 2024</w:t>
            </w:r>
          </w:p>
        </w:tc>
      </w:tr>
      <w:tr>
        <w:trPr>
          <w:trHeight w:val="37"/>
        </w:trPr>
        <w:tc>
          <w:tcPr>
            <w:tcW w:w="7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50,005</w:t>
            </w: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61,804</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(45,219)</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(41,428)</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83,560,795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54,903,407</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February 29, 2024</w:t>
            </w:r>
          </w:p>
        </w:tc>
      </w:tr>
      <w:tr>
        <w:trPr>
          <w:trHeight w:val="37"/>
        </w:trPr>
        <w:tc>
          <w:tcPr>
            <w:tcW w:w="7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(41,518)</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on available-for-sale marketable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(56,275)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(41,213)</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vMerge w:val="restart"/>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3"/>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8"/>
                <w:szCs w:val="8"/>
                <w:color w:val="auto"/>
              </w:rPr>
            </w:pPr>
          </w:p>
        </w:tc>
        <w:tc>
          <w:tcPr>
            <w:tcW w:w="1120" w:type="dxa"/>
            <w:vAlign w:val="bottom"/>
            <w:gridSpan w:val="4"/>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8"/>
                <w:szCs w:val="8"/>
                <w:color w:val="auto"/>
              </w:rPr>
            </w:pPr>
          </w:p>
        </w:tc>
        <w:tc>
          <w:tcPr>
            <w:tcW w:w="98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5"/>
                <w:szCs w:val="15"/>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29"/>
        </w:trPr>
        <w:tc>
          <w:tcPr>
            <w:tcW w:w="4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November 30, 2023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48,718,552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746,299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(545,200)</w:t>
            </w: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200,493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75,362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171,030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2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unvested early exercised stock</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under employee stock purchase plan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173,558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shd w:val="clear" w:color="auto" w:fill="CCEEFF"/>
          </w:tcPr>
          <w:p>
            <w:pPr>
              <w:spacing w:after="0"/>
              <w:rPr>
                <w:sz w:val="21"/>
                <w:szCs w:val="21"/>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7,823</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8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securities</w:t>
            </w:r>
          </w:p>
        </w:tc>
        <w:tc>
          <w:tcPr>
            <w:tcW w:w="2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shd w:val="clear" w:color="auto" w:fill="CCEEFF"/>
          </w:tcPr>
          <w:p>
            <w:pPr>
              <w:spacing w:after="0"/>
              <w:rPr>
                <w:sz w:val="21"/>
                <w:szCs w:val="21"/>
                <w:color w:val="auto"/>
              </w:rPr>
            </w:pPr>
          </w:p>
        </w:tc>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(41,518)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(41,518)</w:t>
            </w:r>
          </w:p>
        </w:tc>
        <w:tc>
          <w:tcPr>
            <w:tcW w:w="0" w:type="dxa"/>
            <w:vAlign w:val="bottom"/>
          </w:tcPr>
          <w:p>
            <w:pPr>
              <w:spacing w:after="0"/>
              <w:rPr>
                <w:sz w:val="1"/>
                <w:szCs w:val="1"/>
                <w:color w:val="auto"/>
              </w:rPr>
            </w:pPr>
          </w:p>
        </w:tc>
      </w:tr>
      <w:tr>
        <w:trPr>
          <w:trHeight w:val="24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Balance as of February 29, 2024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49,136,954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(586,718)</w:t>
            </w:r>
          </w:p>
        </w:tc>
        <w:tc>
          <w:tcPr>
            <w:tcW w:w="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4"/>
            <w:vMerge w:val="restart"/>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2"/>
                <w:szCs w:val="12"/>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gridSpan w:val="3"/>
            <w:vMerge w:val="restart"/>
          </w:tcPr>
          <w:p>
            <w:pPr>
              <w:jc w:val="center"/>
              <w:ind w:right="280"/>
              <w:spacing w:after="0" w:line="122"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8"/>
                <w:szCs w:val="8"/>
                <w:color w:val="auto"/>
              </w:rPr>
            </w:pPr>
          </w:p>
        </w:tc>
        <w:tc>
          <w:tcPr>
            <w:tcW w:w="1120" w:type="dxa"/>
            <w:vAlign w:val="bottom"/>
            <w:gridSpan w:val="4"/>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40" w:type="dxa"/>
            <w:vAlign w:val="bottom"/>
          </w:tcPr>
          <w:p>
            <w:pPr>
              <w:spacing w:after="0"/>
              <w:rPr>
                <w:sz w:val="8"/>
                <w:szCs w:val="8"/>
                <w:color w:val="auto"/>
              </w:rPr>
            </w:pPr>
          </w:p>
        </w:tc>
        <w:tc>
          <w:tcPr>
            <w:tcW w:w="980" w:type="dxa"/>
            <w:vAlign w:val="bottom"/>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tcPr>
          <w:p>
            <w:pPr>
              <w:spacing w:after="0"/>
              <w:rPr>
                <w:sz w:val="15"/>
                <w:szCs w:val="15"/>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income (loss)</w:t>
            </w:r>
          </w:p>
        </w:tc>
        <w:tc>
          <w:tcPr>
            <w:tcW w:w="14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November 30, 2024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75,870,718</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1,265,536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(738,769)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37,428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under employee stock purchase plan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83,730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on available-for-sale marketable</w:t>
            </w: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securities</w:t>
            </w:r>
          </w:p>
        </w:tc>
        <w:tc>
          <w:tcPr>
            <w:tcW w:w="20" w:type="dxa"/>
            <w:vAlign w:val="bottom"/>
          </w:tcPr>
          <w:p>
            <w:pPr>
              <w:spacing w:after="0"/>
              <w:rPr>
                <w:sz w:val="20"/>
                <w:szCs w:val="20"/>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February 28, 2025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76,234,799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ind w:right="665"/>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1,275,735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(795,120)</w:t>
            </w:r>
          </w:p>
        </w:tc>
        <w:tc>
          <w:tcPr>
            <w:tcW w:w="2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7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37"/>
        </w:trPr>
        <w:tc>
          <w:tcPr>
            <w:tcW w:w="7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February 28, 2025</w:t>
            </w:r>
          </w:p>
        </w:tc>
        <w:tc>
          <w:tcPr>
            <w:tcW w:w="140" w:type="dxa"/>
            <w:vAlign w:val="bottom"/>
          </w:tcPr>
          <w:p>
            <w:pPr>
              <w:spacing w:after="0"/>
              <w:rPr>
                <w:sz w:val="20"/>
                <w:szCs w:val="20"/>
                <w:color w:val="auto"/>
              </w:rPr>
            </w:pPr>
          </w:p>
        </w:tc>
        <w:tc>
          <w:tcPr>
            <w:tcW w:w="1440" w:type="dxa"/>
            <w:vAlign w:val="bottom"/>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February 29, 2024</w:t>
            </w:r>
          </w:p>
        </w:tc>
        <w:tc>
          <w:tcPr>
            <w:tcW w:w="0" w:type="dxa"/>
            <w:vAlign w:val="bottom"/>
          </w:tcPr>
          <w:p>
            <w:pPr>
              <w:spacing w:after="0"/>
              <w:rPr>
                <w:sz w:val="1"/>
                <w:szCs w:val="1"/>
                <w:color w:val="auto"/>
              </w:rPr>
            </w:pPr>
          </w:p>
        </w:tc>
      </w:tr>
      <w:tr>
        <w:trPr>
          <w:trHeight w:val="237"/>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(41,518)</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(12,586)</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37"/>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(54,803)</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93,200</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under employee stock purchase plan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55,528</w:t>
            </w:r>
          </w:p>
        </w:tc>
        <w:tc>
          <w:tcPr>
            <w:tcW w:w="0" w:type="dxa"/>
            <w:vAlign w:val="bottom"/>
          </w:tcPr>
          <w:p>
            <w:pPr>
              <w:spacing w:after="0"/>
              <w:rPr>
                <w:sz w:val="1"/>
                <w:szCs w:val="1"/>
                <w:color w:val="auto"/>
              </w:rPr>
            </w:pP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50,714</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 included in accounts payable and accrued expenses and other current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39"/>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7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40" w:type="dxa"/>
            <w:vAlign w:val="bottom"/>
          </w:tcPr>
          <w:p>
            <w:pPr>
              <w:spacing w:after="0"/>
              <w:rPr>
                <w:sz w:val="16"/>
                <w:szCs w:val="16"/>
                <w:color w:val="auto"/>
              </w:rPr>
            </w:pPr>
          </w:p>
        </w:tc>
        <w:tc>
          <w:tcPr>
            <w:tcW w:w="14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49,813</w:t>
            </w:r>
          </w:p>
        </w:tc>
        <w:tc>
          <w:tcPr>
            <w:tcW w:w="0" w:type="dxa"/>
            <w:vAlign w:val="bottom"/>
          </w:tcPr>
          <w:p>
            <w:pPr>
              <w:spacing w:after="0"/>
              <w:rPr>
                <w:sz w:val="1"/>
                <w:szCs w:val="1"/>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44"/>
        </w:trPr>
        <w:tc>
          <w:tcPr>
            <w:tcW w:w="7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50,714</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innovative small molecules and antibody therapies based on the degradation of cellular protein levels as a novel treatment approach for cancer, inflammatory conditions and other challenging diseases. Leveraging the Company’s expertise in E3 ligases together with its proprietary DNA-encoded libraries, the Company has built DEL-AI, a fully AI-integrated discovery platform to identify and advance novel drug candidates targeting E3 ligases, a broad class of enzymes that can degrade proteins within the cell. The Company’s drug discovery approach is to either harness or inhibit the natural function of E3 ligases within the ubiquitin-proteasome system to selectively decrease or increase cellular protein levels.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net proceeds of $19.3 million after deducting offering commissions and expenses paid by the Company. In May 2024, the Company issued and sold 3,194,809 shares of common stock under the Equity Distribution Agreement at various prices ranging from $15.50 to $16.00 per share for total net proceeds of $48.5 million, after deducting offering commissions and expenses paid by the Company.</w:t>
      </w:r>
    </w:p>
    <w:p>
      <w:pPr>
        <w:spacing w:after="0" w:line="72" w:lineRule="exact"/>
        <w:rPr>
          <w:sz w:val="20"/>
          <w:szCs w:val="20"/>
          <w:color w:val="auto"/>
        </w:rPr>
      </w:pPr>
    </w:p>
    <w:p>
      <w:pPr>
        <w:ind w:right="200" w:firstLine="648"/>
        <w:spacing w:after="0" w:line="247" w:lineRule="auto"/>
        <w:rPr>
          <w:sz w:val="20"/>
          <w:szCs w:val="20"/>
          <w:color w:val="auto"/>
        </w:rPr>
      </w:pPr>
      <w:r>
        <w:rPr>
          <w:rFonts w:ascii="Times New Roman" w:cs="Times New Roman" w:eastAsia="Times New Roman" w:hAnsi="Times New Roman"/>
          <w:sz w:val="18"/>
          <w:szCs w:val="18"/>
          <w:color w:val="auto"/>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may offer and sell through Piper Sandler up to $150.0 million of common stock registered under the Automatic Shelf Registration Statement pursuant to one or more “at the market” offerings.</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net proceeds of $42.0 million, after deducting offering commissions and expenses paid by the Company. In October 2024, the Company issued and sold 4,803,573 shares of common stock under the Amended Equity Distribution Agreement at various prices ranging from $21.50 to $25.00 per share for total net proceeds of $105.3 million, after deducting offering commissions and expenses paid by the Company.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October 31, 2024, the Company entered into Amendment No. 2 to the Equity Distribution Agreement (as amended, the Second Amended Equity Distribution Agreement), pursuant to which, from time to time, the Company may offer and sell through Piper Sandler up to $300.0 million of common stock registered under the Automatic Shelf Registration Statement pursuant to one or more “at the market” offerings. The Company is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net proceeds of $93.6 million, after deducting offering commissions and expenses paid by the Company. As of February 28, 2025, the Company had $204.6 million of common stock remaining available for sale under the Second Amended Equity Distribution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80" w:lineRule="exact"/>
        <w:rPr>
          <w:sz w:val="20"/>
          <w:szCs w:val="20"/>
          <w:color w:val="auto"/>
        </w:rPr>
      </w:pPr>
    </w:p>
    <w:p>
      <w:pPr>
        <w:ind w:right="20" w:firstLine="648"/>
        <w:spacing w:after="0" w:line="224" w:lineRule="exact"/>
        <w:rPr>
          <w:sz w:val="20"/>
          <w:szCs w:val="20"/>
          <w:color w:val="auto"/>
        </w:rPr>
      </w:pPr>
      <w:r>
        <w:rPr>
          <w:rFonts w:ascii="Times New Roman" w:cs="Times New Roman" w:eastAsia="Times New Roman" w:hAnsi="Times New Roman"/>
          <w:sz w:val="18"/>
          <w:szCs w:val="18"/>
          <w:color w:val="auto"/>
        </w:rPr>
        <w:t>In July 2022, the Company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121"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8"/>
          <w:szCs w:val="18"/>
          <w:color w:val="auto"/>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w:t>
      </w:r>
    </w:p>
    <w:p>
      <w:pPr>
        <w:spacing w:after="0" w:line="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$188.7 million, after deducting offering commissions and expenses of $12.5 million. Refer to Note 7 for more information regarding the 2024 Pre-Funded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180" w:firstLine="648"/>
        <w:spacing w:after="0" w:line="247" w:lineRule="auto"/>
        <w:rPr>
          <w:sz w:val="20"/>
          <w:szCs w:val="20"/>
          <w:color w:val="auto"/>
        </w:rPr>
      </w:pPr>
      <w:r>
        <w:rPr>
          <w:rFonts w:ascii="Times New Roman" w:cs="Times New Roman" w:eastAsia="Times New Roman" w:hAnsi="Times New Roman"/>
          <w:sz w:val="18"/>
          <w:szCs w:val="18"/>
          <w:color w:val="auto"/>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accompanying condensed financial statements have been prepared assuming that the Company will continue as a going concern.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2025, the Company had cash, cash equivalents and short-term marketable securities of $549.7 million and an accumulated deficit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$795.1 million. Management believes that its cash, cash equivalents and short-term marketable securities are sufficient to continue operating activities for</w:t>
      </w:r>
    </w:p>
    <w:p>
      <w:pPr>
        <w:spacing w:after="0" w:line="234" w:lineRule="auto"/>
        <w:rPr>
          <w:sz w:val="20"/>
          <w:szCs w:val="20"/>
          <w:color w:val="auto"/>
        </w:rPr>
      </w:pPr>
      <w:r>
        <w:rPr>
          <w:rFonts w:ascii="Times New Roman" w:cs="Times New Roman" w:eastAsia="Times New Roman" w:hAnsi="Times New Roman"/>
          <w:sz w:val="18"/>
          <w:szCs w:val="18"/>
          <w:color w:val="auto"/>
        </w:rPr>
        <w:t>at least 12 months following the issuance date of these condensed financial statements. Future capital requirements will depend on many factors, including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timing and extent of spending on research and development and payments the Company may receive under its collaboration agreements with Sanofi,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Gilead and Pfizer or future collaboration agreements, if any. There can be no assurance that, in the event the Company requires additional financing, such</w:t>
      </w:r>
    </w:p>
    <w:p>
      <w:pPr>
        <w:spacing w:after="0" w:line="234" w:lineRule="auto"/>
        <w:rPr>
          <w:sz w:val="20"/>
          <w:szCs w:val="20"/>
          <w:color w:val="auto"/>
        </w:rPr>
      </w:pPr>
      <w:r>
        <w:rPr>
          <w:rFonts w:ascii="Times New Roman" w:cs="Times New Roman" w:eastAsia="Times New Roman" w:hAnsi="Times New Roman"/>
          <w:sz w:val="18"/>
          <w:szCs w:val="18"/>
          <w:color w:val="auto"/>
        </w:rPr>
        <w:t>financing will be available at terms acceptable to the Company if at all. If additional capital is not available, failure to generate sufficient cash flows from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raise additional capital and reduce discretionary spending could have a material adverse effect on the Company’s ability to achieve its intended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objectives. Management considered whether there are conditions or events that raise substantial doubt about the Company’s ability to continue as</w:t>
      </w:r>
    </w:p>
    <w:p>
      <w:pPr>
        <w:spacing w:after="0" w:line="234" w:lineRule="auto"/>
        <w:rPr>
          <w:sz w:val="20"/>
          <w:szCs w:val="20"/>
          <w:color w:val="auto"/>
        </w:rPr>
      </w:pPr>
      <w:r>
        <w:rPr>
          <w:rFonts w:ascii="Times New Roman" w:cs="Times New Roman" w:eastAsia="Times New Roman" w:hAnsi="Times New Roman"/>
          <w:sz w:val="18"/>
          <w:szCs w:val="18"/>
          <w:color w:val="auto"/>
        </w:rPr>
        <w:t>a going concern and evaluated the funds necessary to maintain operations. Based on the Company’s current forecast of future operating results, the</w:t>
      </w:r>
    </w:p>
    <w:p>
      <w:pPr>
        <w:spacing w:after="0" w:line="235" w:lineRule="auto"/>
        <w:rPr>
          <w:sz w:val="20"/>
          <w:szCs w:val="20"/>
          <w:color w:val="auto"/>
        </w:rPr>
      </w:pPr>
      <w:r>
        <w:rPr>
          <w:rFonts w:ascii="Times New Roman" w:cs="Times New Roman" w:eastAsia="Times New Roman" w:hAnsi="Times New Roman"/>
          <w:sz w:val="18"/>
          <w:szCs w:val="18"/>
          <w:color w:val="auto"/>
        </w:rPr>
        <w:t>Company has concluded that its cash, cash equivalents and short-term marketable securities are sufficient to continue operating activities for at least 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following the issuance date of these condensed financial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Company’s condensed financial statements have been prepared in accordance with U.S. generally accepted accounting principles (U.S. GAAP) and applicable rules and regulations of the SEC regarding interim financial reporting. The Company’s condensed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months ended February 28, 2025. The condensed balance sheet as of November 30, 2024,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2024, as filed with the SEC on January 28, 2025. These interim results are not necessarily indicative of results to be expected for the full fiscal year or any future interim period. Subsequent to November 30, 2023, amounts presented in the financial statements are unconsolidated as the Company had no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8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18"/>
          <w:szCs w:val="18"/>
          <w:color w:val="auto"/>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spacing w:after="0" w:line="74"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condensed financial statements and accompanying notes. The extent to which the increasing financial market volatility and uncertainty may directly or indirectly impact the condensed financial statements is highly uncertain and subject to change.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available,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judgements, including on its synthetic credit rating. Leases may include options to extend or early terminate the lease term. If the Company, using judgement,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1" w:lineRule="exact"/>
        <w:rPr>
          <w:sz w:val="20"/>
          <w:szCs w:val="20"/>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03"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0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04" w:lineRule="exact"/>
        <w:rPr>
          <w:sz w:val="20"/>
          <w:szCs w:val="20"/>
          <w:color w:val="auto"/>
        </w:rPr>
      </w:pPr>
    </w:p>
    <w:p>
      <w:pPr>
        <w:jc w:val="both"/>
        <w:ind w:right="520" w:firstLine="648"/>
        <w:spacing w:after="0" w:line="258"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Exclusive license rights: If a license to the Company’s intellectual property is determined to be distinct from the other promises identified in the 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Research and collaboration licenses: Collaboration agreements may include research licenses and research and development services to be 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72"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87"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6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spacing w:after="0" w:line="78"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80" w:lineRule="exact"/>
        <w:rPr>
          <w:sz w:val="20"/>
          <w:szCs w:val="20"/>
          <w:color w:val="auto"/>
        </w:rPr>
      </w:pPr>
    </w:p>
    <w:p>
      <w:pPr>
        <w:ind w:right="140" w:firstLine="648"/>
        <w:spacing w:after="0" w:line="220" w:lineRule="exact"/>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 Segment Reporting (Topic 280)—Improvements to Reportable Segment Disclosures (ASU 2023-07), which is intended to improve reportable segment disclosure requirements, primarily through enhanced disclosures about significant segment expenses. This amendment is effective for the Company in the fiscal year beginning December 1, 2024, and interim periods within the fiscal year beginning December 1, 2025, on a retrospective basis with early adoption permitted. The Company does not expect the adoption of this standard to have a material impact on the Company’s condensed financial statements.</w:t>
      </w:r>
    </w:p>
    <w:p>
      <w:pPr>
        <w:spacing w:after="0" w:line="79"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7"/>
          <w:szCs w:val="17"/>
          <w:color w:val="auto"/>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w:t>
      </w:r>
    </w:p>
    <w:p>
      <w:pPr>
        <w:spacing w:after="0" w:line="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2023-09 is effective for annual periods beginning after December 15, 2024. Early adoption is permitted. The Company is in the process of evaluating the impact of this new guidance on its disclosures.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November 2024, the FASB issued ASU 2024-03—Income Statement—Reporting Comprehensive Income—Expense Disaggregation</w:t>
      </w:r>
    </w:p>
    <w:p>
      <w:pPr>
        <w:spacing w:after="0" w:line="1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7"/>
          <w:szCs w:val="17"/>
          <w:color w:val="auto"/>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spacing w:after="0" w:line="59"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75" w:lineRule="exact"/>
        <w:rPr>
          <w:sz w:val="20"/>
          <w:szCs w:val="20"/>
          <w:color w:val="auto"/>
        </w:rPr>
      </w:pPr>
    </w:p>
    <w:p>
      <w:pPr>
        <w:ind w:right="180" w:firstLine="648"/>
        <w:spacing w:after="0" w:line="243" w:lineRule="auto"/>
        <w:rPr>
          <w:sz w:val="20"/>
          <w:szCs w:val="20"/>
          <w:color w:val="auto"/>
        </w:rPr>
      </w:pPr>
      <w:r>
        <w:rPr>
          <w:rFonts w:ascii="Times New Roman" w:cs="Times New Roman" w:eastAsia="Times New Roman" w:hAnsi="Times New Roman"/>
          <w:sz w:val="18"/>
          <w:szCs w:val="18"/>
          <w:color w:val="auto"/>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February 28, 2025, the Company has received payments of $47.0 million for research milestones and additional payments, $20.0 million for a license option exercise payment and $15.0 million in research term extension fees. As of February 28, 2025, the Company is eligible to receive up to approximately $1.8 billion in total additional payments, including payments of up to $513.5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w:t>
      </w:r>
    </w:p>
    <w:p>
      <w:pPr>
        <w:spacing w:after="0" w:line="72"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w:t>
      </w:r>
    </w:p>
    <w:p>
      <w:pPr>
        <w:spacing w:after="0" w:line="78"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February 28, 2025.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spacing w:after="0" w:line="75"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February 28, 2025, no milestones have been achieved related to the extended research term.</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4"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For the three months ended February 28, 2025, the Company recognized collaboration revenue related to the Gilead Research Term Extension of $1.7 million, all of which was related to the $15.0 million research term extension fee received in the second quarter of fiscal year 2024. For the three months ended February 29, 2024, the Company recognized collaboration revenue related to the Gilead Agreement of $4.6 million, all of which was included in deferred revenue as of the beginning of the period. As of February 28, 2025, deferred revenue related to the Gilead Agreement was</w:t>
      </w:r>
    </w:p>
    <w:p>
      <w:pPr>
        <w:spacing w:after="0" w:line="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$9.3 million, of which $8.5 million was current. As of November 30, 2024, deferred revenue related to the Gilead Agreement was $11.0 million, of which $9.1 million was current.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 In March 2025, the Company earned and received payment of $15.0 million for a license extension fee under the Sanofi Agreement.</w:t>
      </w:r>
    </w:p>
    <w:p>
      <w:pPr>
        <w:spacing w:after="0" w:line="7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w:t>
      </w:r>
    </w:p>
    <w:p>
      <w:pPr>
        <w:spacing w:after="0" w:line="7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w:t>
      </w:r>
    </w:p>
    <w:p>
      <w:pPr>
        <w:spacing w:after="0" w:line="7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February 28, 2025, the Company has received payments of $13.0 million for research milestones. As of February 28, 2025, the Company is eligible to receive up to approximately $1.9 billion in total additional payments, including payments of up to $389.0 million upon the achievement of specified research and development milestones, up to $64.8 million in certain additional fees related to target licensing and reservation, up to $500.0 million upon the achievement of specified regulatory milestones and up to $1.0 billion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87" w:lineRule="exact"/>
        <w:rPr>
          <w:sz w:val="20"/>
          <w:szCs w:val="20"/>
          <w:color w:val="auto"/>
        </w:rPr>
      </w:pP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spacing w:after="0" w:line="7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February 28, 2025.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w:t>
      </w:r>
    </w:p>
    <w:p>
      <w:pPr>
        <w:spacing w:after="0" w:line="9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3"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For the three months ended February 28, 2025, the Company recognized collaboration revenue related to the Sanofi Agreement of $12.8 million, of which $6.0 million was included in deferred revenue as of the beginning of the period, and $6.2 million was related to activities satisfied in previous periods. For the three months ended February 29, 2024, the Company recognized collaboration revenue related to the Sanofi Agreement of $8.3 million, of which $6.8 million was included in deferred revenue as of the beginning of the period, and $1.3 million was related to activities satisfied in previous periods. As of February 28, 2025, other current assets related to the Sanofi Agreement were $3.6 million, which included $7.0 million in contract assets representing the unbilled amount related to the research milestone achieved in February 2025, net of deferred revenue. As of November 30, 2024, deferred revenue related to the Sanofi Agreement was $9.1 million, all of which was current.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spacing w:after="0" w:line="83" w:lineRule="exact"/>
        <w:rPr>
          <w:sz w:val="20"/>
          <w:szCs w:val="20"/>
          <w:color w:val="auto"/>
        </w:rPr>
      </w:pPr>
    </w:p>
    <w:p>
      <w:pPr>
        <w:jc w:val="both"/>
        <w:ind w:right="580"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spacing w:after="0" w:line="8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Under the terms of the Pfizer Agreement, the Company received an upfront payment of $60.0 million. In addition, from the signing of the Pfizer Agreement to February 28, 2025, the Company has received payments of $10.0 million for research milestones. As of February 28, 2025, the Company is eligible to receive up to approximately $3.4 billion in contingent payments across multiple programs, including payments of up to $626.0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w:t>
      </w:r>
    </w:p>
    <w:p>
      <w:pPr>
        <w:spacing w:after="0" w:line="87" w:lineRule="exact"/>
        <w:rPr>
          <w:sz w:val="20"/>
          <w:szCs w:val="20"/>
          <w:color w:val="auto"/>
        </w:rPr>
      </w:pPr>
    </w:p>
    <w:p>
      <w:pPr>
        <w:jc w:val="both"/>
        <w:ind w:right="80" w:firstLine="648"/>
        <w:spacing w:after="0" w:line="250"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8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spacing w:after="0" w:line="93"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February 28, 2025.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$10.0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w:t>
      </w:r>
    </w:p>
    <w:p>
      <w:pPr>
        <w:spacing w:after="0" w:line="7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spacing w:after="0" w:line="73"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For the three months ended February 28, 2025, the Company recognized collaboration revenue related to the Pfizer Agreement of $4.0 million, all of which was included in deferred revenue as of the beginning of the period. For the three months ended February 29, 2024, the Company recognized collaboration revenue related to the Pfizer Agreement of $3.7 million, all of which was included in deferred revenue as of the beginning of the period. As of February 28, 2025, deferred revenue related to the Pfizer Agreement was $45.5 million, of which $22.1 million was current. As of November 30, 2024, deferred revenue related to the Pfizer Agreement was $44.5 million, of which $20.0 million was current, and included $5.0 million in contract assets representing the unbilled amount related to the research milestone achieved in November 2024.</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Condensed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40" w:type="dxa"/>
            <w:vAlign w:val="bottom"/>
          </w:tcPr>
          <w:p>
            <w:pPr>
              <w:spacing w:after="0"/>
              <w:rPr>
                <w:sz w:val="15"/>
                <w:szCs w:val="15"/>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in progress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9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clinical</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420" w:firstLine="648"/>
        <w:spacing w:after="0" w:line="246"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04" w:lineRule="exact"/>
        <w:rPr>
          <w:sz w:val="20"/>
          <w:szCs w:val="20"/>
          <w:color w:val="auto"/>
        </w:rPr>
      </w:pPr>
    </w:p>
    <w:p>
      <w:pPr>
        <w:jc w:val="both"/>
        <w:ind w:right="360" w:firstLine="648"/>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6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available-for-sale marketable securities, that are measured at fair value on a recurring basis as of February 28, 2025 and November 30, 2024 (in thousands):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5"/>
                <w:szCs w:val="15"/>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r>
      <w:tr>
        <w:trPr>
          <w:trHeight w:val="24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439,919</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33,845</w:t>
            </w:r>
          </w:p>
        </w:tc>
      </w:tr>
      <w:tr>
        <w:trPr>
          <w:trHeight w:val="26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542,872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543,098</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69,334</w:t>
            </w: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473,538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473,764</w:t>
            </w:r>
          </w:p>
        </w:tc>
      </w:tr>
      <w:tr>
        <w:trPr>
          <w:trHeight w:val="313"/>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24"/>
                <w:szCs w:val="24"/>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04"/>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r>
      <w:tr>
        <w:trPr>
          <w:trHeight w:val="24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470,607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470,740</w:t>
            </w:r>
          </w:p>
        </w:tc>
      </w:tr>
      <w:tr>
        <w:trPr>
          <w:trHeight w:val="27"/>
        </w:trPr>
        <w:tc>
          <w:tcPr>
            <w:tcW w:w="452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2</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28,846</w:t>
            </w:r>
          </w:p>
        </w:tc>
      </w:tr>
      <w:tr>
        <w:trPr>
          <w:trHeight w:val="26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589,816</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589,966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90,380</w:t>
            </w: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Included in marketable securities, current</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499,436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499,586</w:t>
            </w:r>
          </w:p>
        </w:tc>
      </w:tr>
    </w:tbl>
    <w:p>
      <w:pPr>
        <w:spacing w:after="0" w:line="19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summarize the available-for-sale marketable securities in an unrealized loss position for which an allowance for credit losses has not been recorded as of February 28, 2025 and November 30, 2024, aggregated by investment category and length of time in a continuous unrealized loss position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246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940" w:type="dxa"/>
            <w:vAlign w:val="bottom"/>
          </w:tcPr>
          <w:p>
            <w:pPr>
              <w:spacing w:after="0"/>
              <w:rPr>
                <w:sz w:val="16"/>
                <w:szCs w:val="16"/>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9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71"/>
        </w:trPr>
        <w:tc>
          <w:tcPr>
            <w:tcW w:w="3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0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940" w:type="dxa"/>
            <w:vAlign w:val="bottom"/>
          </w:tcPr>
          <w:p>
            <w:pPr>
              <w:spacing w:after="0"/>
              <w:rPr>
                <w:sz w:val="14"/>
                <w:szCs w:val="14"/>
                <w:color w:val="auto"/>
              </w:rPr>
            </w:pPr>
          </w:p>
        </w:tc>
        <w:tc>
          <w:tcPr>
            <w:tcW w:w="142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Loss</w:t>
            </w: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4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780" w:type="dxa"/>
            <w:vAlign w:val="bottom"/>
            <w:tcBorders>
              <w:top w:val="single" w:sz="8" w:color="auto"/>
              <w:bottom w:val="single" w:sz="8" w:color="CCEEFF"/>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20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2"/>
                <w:szCs w:val="22"/>
                <w:color w:val="auto"/>
              </w:rPr>
            </w:pP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1"/>
                <w:szCs w:val="2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3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89,954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93,943</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4"/>
                <w:szCs w:val="24"/>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6"/>
        </w:trPr>
        <w:tc>
          <w:tcPr>
            <w:tcW w:w="3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Greater than 12 months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r>
      <w:tr>
        <w:trPr>
          <w:trHeight w:val="171"/>
        </w:trPr>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190"/>
        </w:trPr>
        <w:tc>
          <w:tcPr>
            <w:tcW w:w="3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November 30, 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37"/>
        </w:trPr>
        <w:tc>
          <w:tcPr>
            <w:tcW w:w="38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r>
      <w:tr>
        <w:trPr>
          <w:trHeight w:val="243"/>
        </w:trPr>
        <w:tc>
          <w:tcPr>
            <w:tcW w:w="394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3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386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283"/>
        </w:trPr>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166,161</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accrued interest receivable related to the Company’s marketable securities was $2.1 million and $1.5 million as of February 28, 2025 and November 30, 2024, respectively, and was included in prepaid expenses and other current assets on the condensed balance sheet.</w:t>
      </w:r>
    </w:p>
    <w:p>
      <w:pPr>
        <w:spacing w:after="0" w:line="5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40" w:lineRule="exact"/>
        <w:rPr>
          <w:sz w:val="20"/>
          <w:szCs w:val="20"/>
          <w:color w:val="auto"/>
        </w:rPr>
      </w:pPr>
    </w:p>
    <w:p>
      <w:pPr>
        <w:jc w:val="both"/>
        <w:ind w:right="220" w:firstLine="648"/>
        <w:spacing w:after="0" w:line="264" w:lineRule="auto"/>
        <w:rPr>
          <w:sz w:val="20"/>
          <w:szCs w:val="20"/>
          <w:color w:val="auto"/>
        </w:rPr>
      </w:pPr>
      <w:r>
        <w:rPr>
          <w:rFonts w:ascii="Times New Roman" w:cs="Times New Roman" w:eastAsia="Times New Roman" w:hAnsi="Times New Roman"/>
          <w:sz w:val="17"/>
          <w:szCs w:val="17"/>
          <w:color w:val="auto"/>
        </w:rPr>
        <w:t>The Company classifies its marketable securities in corporate debt securities and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months ended February 28, 2025 and February 29, 2024.</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As of February 28, 2025 and November 30, 2024,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February 28, 2025, and November 30, 2024, no allowance for credit losses for the Company’s marketable securities was recorded. During the three months ended February 28, 2025 and February 29, 2024, the Company did not recognize any impairment losses related to marketable securities.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February 28, 2025, the Company was not a party to any material legal proceedings.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financial statements.</w:t>
      </w:r>
    </w:p>
    <w:p>
      <w:pPr>
        <w:spacing w:after="0" w:line="73" w:lineRule="exact"/>
        <w:rPr>
          <w:sz w:val="20"/>
          <w:szCs w:val="20"/>
          <w:color w:val="auto"/>
        </w:rPr>
      </w:pPr>
    </w:p>
    <w:p>
      <w:pPr>
        <w:ind w:right="380" w:firstLine="648"/>
        <w:spacing w:after="0" w:line="247"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leases office and laboratory facilities totaling approximately 57,902 square feet within the same building in San Francisco,</w:t>
      </w:r>
    </w:p>
    <w:p>
      <w:pPr>
        <w:spacing w:after="0" w:line="2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California under several lease agreements. The terms of these lease agreements expire in April 2025. The Company had an option to renew these leases for an additional two years, and the option expired. In September 2024, an amendment was signed to extend the lease term for these leases through October 2025. The minimum rent payable by the Company pursuant to the lease amendment is approximately $0.4 million per month. The lease amendment did not have a material impact on the Company's condensed financial statements.</w:t>
      </w:r>
    </w:p>
    <w:p>
      <w:pPr>
        <w:spacing w:after="0" w:line="75"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a different building in San Francisco, California (the Mission Bay Lease). The lease commenced in December 2021 and was scheduled to expire in June 2024. In March 2024, the Company entered into a second amendment (the Second Amendment) to the Mission Bay Lease, pursuant to which the lease term was extended through April 2025. The minimum rent payable by the Company under the Second Amendment is approximately $0.1 million per month. In September 2024, the Mission Bay Lease was further amended (the Third Amendment) to extend the lease term through October 2025, and the minimum rent payable by the Company under the Third Amendment is approximately $0.1 million per month. The lease amendments did not have a material impact on the Company's condensed financial statements.</w:t>
      </w:r>
    </w:p>
    <w:p>
      <w:pPr>
        <w:spacing w:after="0" w:line="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 and will expire in March 2035.</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3" w:lineRule="auto"/>
        <w:rPr>
          <w:sz w:val="20"/>
          <w:szCs w:val="20"/>
          <w:color w:val="auto"/>
        </w:rPr>
      </w:pPr>
      <w:r>
        <w:rPr>
          <w:rFonts w:ascii="Times New Roman" w:cs="Times New Roman" w:eastAsia="Times New Roman" w:hAnsi="Times New Roman"/>
          <w:sz w:val="18"/>
          <w:szCs w:val="18"/>
          <w:color w:val="auto"/>
        </w:rPr>
        <w:t>On February 21, 2025, the Company entered into a lease agreement (the Brisbane Lease) with Janssen Research &amp; Development, LLC (Janssen) and HCP LS Brisbane, LLC, effective as of February 21, 2025, to sublease from Janssen approximately 159,959 square feet of office space located at 1600 Sierra Point Parkway, Brisbane, California for a research and development laboratory and office space. The commencement date of the Brisbane Lease is expected to be in the first half of 2025, and the lease will expire on September 30, 2031, unless terminated earlier. Future minimum lease payments under the Brisbane Lease total $44.6 million, which does not include the payment of additional rent to cover the Company’s share of annual operating and tax expenses and utilities costs for the building. As of February 28, 2025, the Company recorded a security deposit of $2.4 million, which is classified as other assets, non-current on the balance sheet. In addition, the sublandlord provided for a tenant improvement allowance of approximately $8.0 million, which is expected to be fully utilized.</w:t>
      </w:r>
    </w:p>
    <w:p>
      <w:pPr>
        <w:spacing w:after="0" w:line="92"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February 28, 2025, the Company has not recognized a ROU asset or lease liability recorded on the balance sheet for the Brisbane Lease Agreement as the leased space has not been made available for use and the lease has not yet commenced.</w:t>
      </w:r>
    </w:p>
    <w:p>
      <w:pPr>
        <w:spacing w:after="0" w:line="5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is required to pay base rent plus its proportionate share of operating expenses, as defined in the applicable lease agreement on all of its leases. Variable lease payments related to operating expenses, including utilities, maintenance costs and real estate taxes, were $1.9 million and</w:t>
      </w:r>
    </w:p>
    <w:p>
      <w:pPr>
        <w:spacing w:after="0"/>
        <w:rPr>
          <w:sz w:val="20"/>
          <w:szCs w:val="20"/>
          <w:color w:val="auto"/>
        </w:rPr>
      </w:pPr>
      <w:r>
        <w:rPr>
          <w:rFonts w:ascii="Times New Roman" w:cs="Times New Roman" w:eastAsia="Times New Roman" w:hAnsi="Times New Roman"/>
          <w:sz w:val="18"/>
          <w:szCs w:val="18"/>
          <w:color w:val="auto"/>
        </w:rPr>
        <w:t>$1.5 million for the three months ended February 28, 2025 and February 29, 2024, respectively.</w:t>
      </w:r>
    </w:p>
    <w:p>
      <w:pPr>
        <w:spacing w:after="0" w:line="8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Operating lease expenses, excluding variable lease payments, were $2.2 million and $2.3 million for the three months ended February 28, 2025 and February 29, 2024, respectively. Short-term lease expense was not material for the periods presented.</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4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41910</wp:posOffset>
            </wp:positionV>
            <wp:extent cx="2049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62" w:lineRule="exact"/>
        <w:rPr>
          <w:sz w:val="20"/>
          <w:szCs w:val="20"/>
          <w:color w:val="auto"/>
        </w:rPr>
      </w:pPr>
    </w:p>
    <w:p>
      <w:pPr>
        <w:ind w:left="8200"/>
        <w:spacing w:after="0"/>
        <w:tabs>
          <w:tab w:leader="none" w:pos="9840" w:val="left"/>
        </w:tabs>
        <w:rPr>
          <w:sz w:val="20"/>
          <w:szCs w:val="20"/>
          <w:color w:val="auto"/>
        </w:rPr>
      </w:pPr>
      <w:r>
        <w:rPr>
          <w:rFonts w:ascii="Times New Roman" w:cs="Times New Roman" w:eastAsia="Times New Roman" w:hAnsi="Times New Roman"/>
          <w:sz w:val="14"/>
          <w:szCs w:val="14"/>
          <w:b w:val="1"/>
          <w:bCs w:val="1"/>
          <w:color w:val="auto"/>
        </w:rPr>
        <w:t>February 28, 2025</w:t>
      </w:r>
      <w:r>
        <w:rPr>
          <w:sz w:val="20"/>
          <w:szCs w:val="20"/>
          <w:color w:val="auto"/>
        </w:rPr>
        <w:tab/>
      </w:r>
      <w:r>
        <w:rPr>
          <w:rFonts w:ascii="Times New Roman" w:cs="Times New Roman" w:eastAsia="Times New Roman" w:hAnsi="Times New Roman"/>
          <w:sz w:val="14"/>
          <w:szCs w:val="14"/>
          <w:b w:val="1"/>
          <w:bCs w:val="1"/>
          <w:color w:val="auto"/>
        </w:rPr>
        <w:t>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41910</wp:posOffset>
            </wp:positionV>
            <wp:extent cx="70980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p>
      <w:pPr>
        <w:spacing w:after="0" w:line="63" w:lineRule="exact"/>
        <w:rPr>
          <w:sz w:val="20"/>
          <w:szCs w:val="20"/>
          <w:color w:val="auto"/>
        </w:rPr>
      </w:pPr>
    </w:p>
    <w:p>
      <w:pPr>
        <w:ind w:left="220"/>
        <w:spacing w:after="0"/>
        <w:tabs>
          <w:tab w:leader="none" w:pos="7980" w:val="left"/>
          <w:tab w:leader="none" w:pos="9060" w:val="left"/>
          <w:tab w:leader="none" w:pos="9640" w:val="left"/>
          <w:tab w:leader="none" w:pos="10720" w:val="left"/>
        </w:tabs>
        <w:rPr>
          <w:sz w:val="20"/>
          <w:szCs w:val="20"/>
          <w:color w:val="auto"/>
        </w:rPr>
      </w:pPr>
      <w:r>
        <w:rPr>
          <w:rFonts w:ascii="Times New Roman" w:cs="Times New Roman" w:eastAsia="Times New Roman" w:hAnsi="Times New Roman"/>
          <w:sz w:val="18"/>
          <w:szCs w:val="18"/>
          <w:color w:val="auto"/>
        </w:rPr>
        <w:t>Cash flows from operating leases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2,151</w:t>
        <w:tab/>
        <w:t>$</w:t>
      </w:r>
      <w:r>
        <w:rPr>
          <w:sz w:val="20"/>
          <w:szCs w:val="20"/>
          <w:color w:val="auto"/>
        </w:rPr>
        <w:tab/>
      </w:r>
      <w:r>
        <w:rPr>
          <w:rFonts w:ascii="Times New Roman" w:cs="Times New Roman" w:eastAsia="Times New Roman" w:hAnsi="Times New Roman"/>
          <w:sz w:val="17"/>
          <w:szCs w:val="17"/>
          <w:color w:val="auto"/>
        </w:rPr>
        <w:t>1,918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34290</wp:posOffset>
            </wp:positionV>
            <wp:extent cx="2049145"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49145" cy="342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February 28, 2025 and November 30, 2024. Holders of common stock are entitled to dividends when and if declared by the Company’s board of directors, subject to the prior rights of the holders of shares of preferred stock. The holder of each share of common stock is entitled to one vote. As of February 28, 2025, no dividends have been declared.</w:t>
      </w:r>
    </w:p>
    <w:p>
      <w:pPr>
        <w:spacing w:after="0" w:line="69"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In July 2022, the Company issued the 2022 Pre-Funded Warrants to purchase an aggregate of 6,814,920 shares of the Company’s common stock at a price of $13.939 per pre-funded warrant. As of February 28, 2025, a total of 6,097,560 of the 2022 Pre-Funded Warrants remained available for exercise.</w:t>
      </w:r>
    </w:p>
    <w:p>
      <w:pPr>
        <w:spacing w:after="0" w:line="1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April 2024, the Company issued the 2024 Pre-Funded Warrants to purchase an aggregate of 1,500,100 shares of the Company’s common stock at a price of $14.999 per pre-funded warrant. As of February 28, 2025, a total of 1,480,349 of the 2024 Pre-Funded Warrants remained available for exercise.</w:t>
      </w:r>
    </w:p>
    <w:p>
      <w:pPr>
        <w:spacing w:after="0" w:line="6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w:t>
      </w:r>
    </w:p>
    <w:p>
      <w:pPr>
        <w:spacing w:after="0" w:line="69" w:lineRule="exact"/>
        <w:rPr>
          <w:sz w:val="20"/>
          <w:szCs w:val="20"/>
          <w:color w:val="auto"/>
        </w:rPr>
      </w:pPr>
    </w:p>
    <w:p>
      <w:pPr>
        <w:ind w:right="160" w:firstLine="648"/>
        <w:spacing w:after="0" w:line="264" w:lineRule="auto"/>
        <w:rPr>
          <w:sz w:val="20"/>
          <w:szCs w:val="20"/>
          <w:color w:val="auto"/>
        </w:rPr>
      </w:pPr>
      <w:r>
        <w:rPr>
          <w:rFonts w:ascii="Times New Roman" w:cs="Times New Roman" w:eastAsia="Times New Roman" w:hAnsi="Times New Roman"/>
          <w:sz w:val="17"/>
          <w:szCs w:val="17"/>
          <w:color w:val="auto"/>
        </w:rPr>
        <w:t>The pre-funded warrants were classified as a component of permanent equity in the Company’s condensed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tcPr>
          <w:p>
            <w:pPr>
              <w:spacing w:after="0"/>
              <w:rPr>
                <w:sz w:val="15"/>
                <w:szCs w:val="15"/>
                <w:color w:val="auto"/>
              </w:rPr>
            </w:pPr>
          </w:p>
        </w:tc>
        <w:tc>
          <w:tcPr>
            <w:tcW w:w="16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February 28,</w:t>
            </w:r>
          </w:p>
        </w:tc>
        <w:tc>
          <w:tcPr>
            <w:tcW w:w="16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90"/>
        </w:trPr>
        <w:tc>
          <w:tcPr>
            <w:tcW w:w="7940" w:type="dxa"/>
            <w:vAlign w:val="bottom"/>
          </w:tcPr>
          <w:p>
            <w:pPr>
              <w:spacing w:after="0"/>
              <w:rPr>
                <w:sz w:val="16"/>
                <w:szCs w:val="16"/>
                <w:color w:val="auto"/>
              </w:rPr>
            </w:pPr>
          </w:p>
        </w:tc>
        <w:tc>
          <w:tcPr>
            <w:tcW w:w="15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11,191,041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3,026,060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1,956,015</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future equity grants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3,525,656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3,192,811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2,415,965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1,740,988</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7,577,909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7,577,909</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27,736,631</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24,307,177</w:t>
            </w:r>
          </w:p>
        </w:tc>
      </w:tr>
      <w:tr>
        <w:trPr>
          <w:trHeight w:val="21"/>
        </w:trPr>
        <w:tc>
          <w:tcPr>
            <w:tcW w:w="79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 As of February 28, 2025, the Company had 1,006,856 shares of common stock available for grant under the Stock Plans.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Inducement Plan</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w:t>
      </w:r>
    </w:p>
    <w:p>
      <w:pPr>
        <w:spacing w:after="0" w:line="69"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reserved 3,000,000 shares of common stock for issuance pursuant to non-qualified stock options and RSUs under the 2024 Inducement Plan. As of February 28, 2025, the Company had 2,518,800 shares of common stock available for grant under the 2024 Inducement Plan.</w:t>
      </w:r>
    </w:p>
    <w:p>
      <w:pPr>
        <w:spacing w:after="0" w:line="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Option activity under the Stock Plans and the 2024 Inducement Plan is set forth below:</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79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0" w:type="dxa"/>
            <w:vAlign w:val="bottom"/>
          </w:tcPr>
          <w:p>
            <w:pPr>
              <w:spacing w:after="0"/>
              <w:rPr>
                <w:sz w:val="1"/>
                <w:szCs w:val="1"/>
                <w:color w:val="auto"/>
              </w:rPr>
            </w:pPr>
          </w:p>
        </w:tc>
      </w:tr>
      <w:tr>
        <w:trPr>
          <w:trHeight w:val="175"/>
        </w:trPr>
        <w:tc>
          <w:tcPr>
            <w:tcW w:w="794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9,839,454</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 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February 28,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11,191,041</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18"/>
                <w:szCs w:val="18"/>
                <w:color w:val="auto"/>
              </w:rPr>
              <w:t>RSU activity under the Stock Plans and 2024 Inducement Plan is set forth below:</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79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0"/>
        </w:trPr>
        <w:tc>
          <w:tcPr>
            <w:tcW w:w="79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November 30, 2024</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1,956,015</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RSUs vested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RSUs 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as of February 28,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3,026,060</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2020 Employee Stock Purchase Plan (the ESPP), eligible employees are entitled to purchase shares of common stock with accumulated payroll deductions. During the three months ended February 28, 2025, the Company issued 83,730 shares of common stock pursuant to the ESPP at a weighted-average price of $14.95 per share.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80"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the 2024 Inducement Plan and the ESPP that is included in the Company’s condensed statements of operations is as follows (in thousands):</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February 29, 2024</w:t>
            </w:r>
          </w:p>
        </w:tc>
      </w:tr>
      <w:tr>
        <w:trPr>
          <w:trHeight w:val="37"/>
        </w:trPr>
        <w:tc>
          <w:tcPr>
            <w:tcW w:w="7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February 28, 2025, the total compensation cost related to stock-based awards not yet recognized was $83.5 million, which is expected to be amortized on a straight-line basis over the weighted-average remaining vesting period of approximately 2.6 years.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$0.5 million and $0.4 million during the three months ended February 28, 2025 and February 29, 2024, respectively.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7"/>
          <w:szCs w:val="17"/>
          <w:color w:val="auto"/>
        </w:rPr>
        <w:t>The Company did not record any current income tax expense or provision for the three months ended February 28, 2025. The Company recorded an income tax provision of $90,000 for the three months ended February 29, 2024.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February 28, 2025 and February 29, 2024 due to the uncertainty of realizing future tax benefits from its net operating loss (NOL) carryforwards and other deferred tax assets.</w:t>
      </w:r>
    </w:p>
    <w:p>
      <w:pPr>
        <w:spacing w:after="0" w:line="7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7"/>
          <w:szCs w:val="17"/>
          <w:color w:val="auto"/>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Pursuant to a measurement analysis, the Company has not recorded an unrecognized tax benefit related to the FTB’s sourcing position. The Company maintains an unrecognized tax benefit related to its California R&amp;D credits for all years. All of the Company’s tax years will remain open for examination by the federal and state authorities for three and four years, respectively, from the date of the utilization of any NOLs.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60" w:type="dxa"/>
            <w:vAlign w:val="bottom"/>
          </w:tcPr>
          <w:p>
            <w:pPr>
              <w:spacing w:after="0"/>
              <w:rPr>
                <w:sz w:val="16"/>
                <w:szCs w:val="16"/>
                <w:color w:val="auto"/>
              </w:rPr>
            </w:pP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February 29, 2024</w:t>
            </w:r>
          </w:p>
        </w:tc>
      </w:tr>
      <w:tr>
        <w:trPr>
          <w:trHeight w:val="37"/>
        </w:trPr>
        <w:tc>
          <w:tcPr>
            <w:tcW w:w="7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(41,518)</w:t>
            </w:r>
          </w:p>
        </w:tc>
      </w:tr>
      <w:tr>
        <w:trPr>
          <w:trHeight w:val="27"/>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70"/>
        </w:trPr>
        <w:tc>
          <w:tcPr>
            <w:tcW w:w="79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83,560,795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54,903,407</w:t>
            </w: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820" w:right="60" w:hanging="169"/>
        <w:spacing w:after="0" w:line="272" w:lineRule="auto"/>
        <w:tabs>
          <w:tab w:leader="none" w:pos="820" w:val="left"/>
        </w:tabs>
        <w:numPr>
          <w:ilvl w:val="0"/>
          <w:numId w:val="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shares underlying the pre-funded warrants to purchase shares of the Company’s common stock have been included in the calculation of the weighted-average number of shares outstanding, basic and diluted, for the three months ended February 28, 2025 and February 29, 2024.</w:t>
      </w:r>
    </w:p>
    <w:p>
      <w:pPr>
        <w:spacing w:after="0" w:line="166"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February 29, 2024</w:t>
            </w:r>
          </w:p>
        </w:tc>
      </w:tr>
      <w:tr>
        <w:trPr>
          <w:trHeight w:val="37"/>
        </w:trPr>
        <w:tc>
          <w:tcPr>
            <w:tcW w:w="794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11,191,041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9,931,118</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7"/>
        </w:trPr>
        <w:tc>
          <w:tcPr>
            <w:tcW w:w="7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3,026,060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2,268,207</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111,236</w:t>
            </w:r>
          </w:p>
        </w:tc>
      </w:tr>
      <w:tr>
        <w:trPr>
          <w:trHeight w:val="27"/>
        </w:trPr>
        <w:tc>
          <w:tcPr>
            <w:tcW w:w="794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14,298,901</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12,311,705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Company’s Chief Financial Officer is a trustee for the multiple employer welfare association that facilitates the acquisition and administration of the Company’s healthcare plans. Expenses related to the healthcare plan premiums were $1.3 million and $1.1 million for the three months ended February 28, 2025 and February 29, 2024, respectively. As of February 28, 2025 and November 30, 2024, the amount recorded in accounts payable and accrued expenses and other current liabilities in connection with this healthcare plan provider was not material.</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firstLine="648"/>
        <w:spacing w:after="0" w:line="214"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(1) the unaudited condensed financial statements and the related notes included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(2) the audited financial statements and related notes and management’s discussion and analysis of financial condition and results of operations for the fiscal year ended November 30, 2024,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filed on January 28, 2025.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7"/>
          <w:szCs w:val="17"/>
          <w:color w:val="auto"/>
        </w:rPr>
        <w:t>We are a clinical stage biopharmaceutical company focused on the discovery, development and commercialization of medicines based on targeted protein degradation, the next frontier in innovative drug design aimed at improving treatment options for patients with cancer and autoimmune diseases. Powered by our prolific DEL-AI discovery engine and leading ligase expertise, capable of tackling any protein class, we have built a significant advantage in translating the science of degradation into clinical advancements. We aim to establish degrader-based treatments at the forefront of patient care, writing medicine’s next chapter with a new script to outmatch disease. We leverage our proprietary DEL-AI platform, employing advanced automated chemistry synthesis and direct-to-biology technologies, to rapidly generate degraders and degrader antibody conjugates (DACs) as first-in-class or best-in-class drug candidates. Harnessing validated binding data collected from DEL screens of hundreds of diverse targets, our DEL-AI platform can prospectively identify binders to genetically validated, high value targets that have yet to be drugged.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Seagen Inc. (now a part of Pfizer Inc. (Pfizer)), within which we retain certain options for co-development, co-commercialization and profit sharing in the United States for multiple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Targeted Protein Degradation</w:t>
      </w:r>
    </w:p>
    <w:p>
      <w:pPr>
        <w:spacing w:after="0" w:line="80" w:lineRule="exact"/>
        <w:rPr>
          <w:sz w:val="20"/>
          <w:szCs w:val="20"/>
          <w:color w:val="auto"/>
        </w:rPr>
      </w:pPr>
    </w:p>
    <w:p>
      <w:pPr>
        <w:ind w:right="420" w:firstLine="648"/>
        <w:spacing w:after="0" w:line="231" w:lineRule="exact"/>
        <w:rPr>
          <w:sz w:val="20"/>
          <w:szCs w:val="20"/>
          <w:color w:val="auto"/>
        </w:rPr>
      </w:pPr>
      <w:r>
        <w:rPr>
          <w:rFonts w:ascii="Times New Roman" w:cs="Times New Roman" w:eastAsia="Times New Roman" w:hAnsi="Times New Roman"/>
          <w:sz w:val="18"/>
          <w:szCs w:val="18"/>
          <w:color w:val="auto"/>
        </w:rPr>
        <w:t>Our portfolio of targeted protein degraders of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bexobrutideg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investigational, orally bioavailable degrader of BTK for the treatment of relapsed or refractory B-cell malignancies and potentially autoimmune diseases,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investigational orally bioavailable degrader of BTK that also degrades cereblon neosubstrates IKZF1 (Ikaros) and IKZF3 (Aiolos)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w:t>
      </w:r>
    </w:p>
    <w:p>
      <w:pPr>
        <w:spacing w:after="0" w:line="5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Bexobrutideg (NX-5948): We are currently conducting a Phase 1a/1b dose-escalation and cohort expansion study in patients with relapsed or refractory B-cell malignancies and we expect to initiate a Phase 2 clinical trial of bexobrutideg in 2025. We also recently initiated a Phase 1 healthy volunteer study to assess food effects and drug-drug interactions in anticipation of the planned initiation of pivotal development in 2025. In January 2024, the U.S. Food and Drug Administration (FDA) granted Fast Track designation for bexobrutideg for the treatment of adult patients with relapsed or refractory chronic lymphocytic leukemia (CLL) or small lymphocytic lymphoma (SLL) after at least two lines of therapy, including a BTK inhibitor (BTKi) and a B-cell lymphoma 2 (BCL2) inhibitor. In November 2024, the European Medicines Agency granted PRIME designation for bexobrutideg in CLL or SLL after at least a BTKi and a BCL-2 inhibitor. In December 2024, the FDA granted Fast Track designation for bexobrutideg for the treatment of adult patients with Waldenström macroglobulinemia (WM) after at least two lines of therapy, including a BTKi. In March 2025, the FDA granted Orphan Drug Designation to bexobrutideg for the treatment of adult patients with WM.</w:t>
      </w:r>
    </w:p>
    <w:p>
      <w:pPr>
        <w:spacing w:after="0" w:line="36"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conducting a Phase 1a/1b dose-escalation and cohort expansion study of NX-2127 in patients with relapsed or refractory B-cell malignancies. We have initiated Phase 1b expansion cohorts for patients with relapsed CLL, diffuse large B-cell lymphoma and mantle cell lymphoma. In March 2024, the FDA lifted the partial clinical hold on the U.S. Phase 1a/1b study evaluating NX-2127 in adults with relapsed/refractory B-cell malignancies. In August 2024, we reinitiated enrollment with a new chirally controlled drug product, which is being evaluated in a dose escalation study within the Phase 1a/b trial.</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Degradation Inhibitor</w:t>
      </w:r>
    </w:p>
    <w:p>
      <w:pPr>
        <w:spacing w:after="0" w:line="121"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Our degradation inhibitor program includes NX-1607, an orally bioavailable inhibitor of CBL-B, an E3 ligase that regulates the activation of multiple immune cell types including T cells and NK cells. NX-1607 is targeted for immuno-oncology indications.</w:t>
      </w:r>
    </w:p>
    <w:p>
      <w:pPr>
        <w:spacing w:after="0" w:line="6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are currently conducting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Discovery Pipeline</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to our clinical stage drug candidates, we are extending our protein degrader and ligase inhibitor portfolio, both on our own and with partners, by developing new targeted protein degraders and ligase inhibitors for a number of targets for which we believe these modalities can be clinically advantageous over existing therapies. These existing and future programs may have the potential to address diseases with significant unmet need, including cancer, autoimmunity, inflammation, and other challenging diseases.</w:t>
      </w:r>
    </w:p>
    <w:p>
      <w:pPr>
        <w:spacing w:after="0" w:line="72"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have entered into several revenue generating collaborations with large biopharmaceutical companies, including with Gilead, Sanofi and Seagen (now a part of Pfizer), to leverage our DEL-AI platform for drug discovery. These collaborations allow us to further advance our future pipeline with multiple currently identified targets included in these collaborations. In aggregate, we have received $440.0 million in non-dilutive financing from our collaborators to date and as of February 28, 2025, we are eligible to receive up to $7.1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we received in the second quarter of fiscal year 2024.</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7"/>
          <w:szCs w:val="17"/>
          <w:color w:val="auto"/>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Upon signing the Gilead Agreement, Gilead paid us an upfront payment of $45.0 million, plus $3.0 million in additional fees. In addition, from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signing of the Gilead Agreement to February 28, 2025, we have received payments of $47.0 million for research milestones and additional payments,</w:t>
      </w:r>
    </w:p>
    <w:p>
      <w:pPr>
        <w:spacing w:after="0" w:line="234" w:lineRule="auto"/>
        <w:rPr>
          <w:sz w:val="20"/>
          <w:szCs w:val="20"/>
          <w:color w:val="auto"/>
        </w:rPr>
      </w:pPr>
      <w:r>
        <w:rPr>
          <w:rFonts w:ascii="Times New Roman" w:cs="Times New Roman" w:eastAsia="Times New Roman" w:hAnsi="Times New Roman"/>
          <w:sz w:val="18"/>
          <w:szCs w:val="18"/>
          <w:color w:val="auto"/>
        </w:rPr>
        <w:t>$20.0 million for a license option exercise payment and $15.0 million in research term extension fees. As of February 28, 2025, we are eligible to receive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approximately $1.8 billion in total additional payments based on certain additional fees, payments and the successful completion of certain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preclinical, clinical, development and sales milestones. We also are eligible to receive mid-single digit to low tens percentage tiered royalties on annual net</w:t>
      </w:r>
    </w:p>
    <w:p>
      <w:pPr>
        <w:spacing w:after="0" w:line="234" w:lineRule="auto"/>
        <w:rPr>
          <w:sz w:val="20"/>
          <w:szCs w:val="20"/>
          <w:color w:val="auto"/>
        </w:rPr>
      </w:pPr>
      <w:r>
        <w:rPr>
          <w:rFonts w:ascii="Times New Roman" w:cs="Times New Roman" w:eastAsia="Times New Roman" w:hAnsi="Times New Roman"/>
          <w:sz w:val="18"/>
          <w:szCs w:val="18"/>
          <w:color w:val="auto"/>
        </w:rPr>
        <w:t>sales from any commercial products directed to the optioned collaboration targets, subject to certain reductions and excluding sales in the United States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products for which we exercise our option to co-develop and co-promote, for which the parties share profits and losses evenly.</w:t>
      </w:r>
    </w:p>
    <w:p>
      <w:pPr>
        <w:spacing w:after="0" w:line="9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w:t>
      </w:r>
    </w:p>
    <w:p>
      <w:pPr>
        <w:spacing w:after="0" w:line="87"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$1.7 million and $4.6 million during the three months ended February 28, 2025 and February 29, 2024, respectively. As of February 28, 2025 and November 30, 2024, there was $9.3 million and $11.0 million, respectively, of deferred revenue related to payments received by us under the Gilead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spacing w:after="0" w:line="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January 2021, we and Sanofi entered into the First Amendment to the Sanofi Agreement to modify the research term on all targets. In</w:t>
      </w:r>
    </w:p>
    <w:p>
      <w:pPr>
        <w:spacing w:after="0" w:line="2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December 2021, we and Sanofi entered into the Second Amendment to the Sanofi Agreement to extend the substitution deadline on certain targets. In July 2022, we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and Sanofi entered into the Fourth Amendment and Fifth Amendment, respectively, to the Sanofi Agreement to modify the research plan for certain targets, which had no impact on revenue recognition. In March 2024, we and Sanofi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spacing w:after="0" w:line="9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spacing w:after="0" w:line="78"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February 28, 2025, we have received payments of $13.0 million for research milestones. As of February 28, 2025, we are eligible to receive up to approximately $1.9 billion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spacing w:after="0" w:line="87" w:lineRule="exact"/>
        <w:rPr>
          <w:sz w:val="20"/>
          <w:szCs w:val="20"/>
          <w:color w:val="auto"/>
        </w:rPr>
      </w:pPr>
    </w:p>
    <w:p>
      <w:pPr>
        <w:ind w:right="340" w:firstLine="648"/>
        <w:spacing w:after="0" w:line="246" w:lineRule="auto"/>
        <w:rPr>
          <w:sz w:val="20"/>
          <w:szCs w:val="20"/>
          <w:color w:val="auto"/>
        </w:rPr>
      </w:pPr>
      <w:r>
        <w:rPr>
          <w:rFonts w:ascii="Times New Roman" w:cs="Times New Roman" w:eastAsia="Times New Roman" w:hAnsi="Times New Roman"/>
          <w:sz w:val="18"/>
          <w:szCs w:val="18"/>
          <w:color w:val="auto"/>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spacing w:after="0" w:line="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$12.8 million and $8.3 million during the three months ended February 28, 2025 and February 29, 2024, respectively. As of February 28, 2025, there was a net contract asset of $3.6 million compared to a deferred revenue of $9.1 million as of November 30,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spacing w:after="0" w:line="6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spacing w:after="0" w:line="83"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Under the terms of the Pfizer Agreement, we received an upfront payment of $60.0 million. In addition, from the signing of the Pfizer Agreement to February 28, 2025, we have received a payment of $10.0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w:t>
      </w:r>
    </w:p>
    <w:p>
      <w:pPr>
        <w:spacing w:after="0" w:line="69" w:lineRule="exact"/>
        <w:rPr>
          <w:sz w:val="20"/>
          <w:szCs w:val="20"/>
          <w:color w:val="auto"/>
        </w:rPr>
      </w:pPr>
    </w:p>
    <w:p>
      <w:pPr>
        <w:jc w:val="both"/>
        <w:ind w:right="100" w:firstLine="648"/>
        <w:spacing w:after="0" w:line="258" w:lineRule="auto"/>
        <w:rPr>
          <w:sz w:val="20"/>
          <w:szCs w:val="20"/>
          <w:color w:val="auto"/>
        </w:rPr>
      </w:pPr>
      <w:r>
        <w:rPr>
          <w:rFonts w:ascii="Times New Roman" w:cs="Times New Roman" w:eastAsia="Times New Roman" w:hAnsi="Times New Roman"/>
          <w:sz w:val="18"/>
          <w:szCs w:val="18"/>
          <w:color w:val="auto"/>
        </w:rPr>
        <w:t>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w:t>
      </w:r>
    </w:p>
    <w:p>
      <w:pPr>
        <w:spacing w:after="0" w:line="6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We recognized collaboration revenue from the Pfizer Agreement of $4.0 million and $3.7 million during the three months ended February 28, 2025 and February 29, 2024, respectively. As of February 28, 2025 and November 30, 2024, there was $45.5 million and $44.5 million, respectively, of deferred revenue related to payments received by us under the Pfizer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spacing w:after="0" w:line="72"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three months ended February 28, 2025 and February 29, 2024, we incurred net losses of $56.4 million and $41.5 million, respectively. As of February 28, 2025, we had an accumulated deficit of $795.1 million. These losses have resulted primarily from costs incurred in connection with research and development activities and general and administrative costs associated with our operations.</w:t>
      </w:r>
    </w:p>
    <w:p>
      <w:pPr>
        <w:spacing w:after="0" w:line="83"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spacing w:after="0" w:line="9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6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As of February 28, 2025, we had $549.7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Current Global Business, Political and Macroeconomic Conditions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Uncertainty in the global business, political and macroeconomic environments present significant risks to our business. We are subject to continuing risks and uncertainties, including increasing financial market volatility and uncertainty, inflation, interest rate fluctuations,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 suppliers, and vendors.</w:t>
      </w:r>
    </w:p>
    <w:p>
      <w:pPr>
        <w:spacing w:after="0" w:line="8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ultimate impact of global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section titled “Risk Factors” in this Quarterly Report on Form 10-Q.</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6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87"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82"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7" w:lineRule="exact"/>
        <w:rPr>
          <w:sz w:val="20"/>
          <w:szCs w:val="20"/>
          <w:color w:val="auto"/>
        </w:rPr>
      </w:pPr>
    </w:p>
    <w:p>
      <w:pPr>
        <w:ind w:left="980" w:right="64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w:t>
      </w:r>
    </w:p>
    <w:p>
      <w:pPr>
        <w:spacing w:after="0" w:line="54"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research and development platform used across programs, process development, manufacturing and preclinical research and development for earlier stage programs and new technologies; and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External expenses for clinical development programs and other research and development expenses include:</w:t>
      </w:r>
    </w:p>
    <w:p>
      <w:pPr>
        <w:spacing w:after="0" w:line="104" w:lineRule="exact"/>
        <w:rPr>
          <w:sz w:val="20"/>
          <w:szCs w:val="20"/>
          <w:color w:val="auto"/>
        </w:rPr>
      </w:pPr>
    </w:p>
    <w:p>
      <w:pPr>
        <w:ind w:left="980" w:right="2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40"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We do not allocate our internal costs by product candidate. With respect to internal costs, several of our departments support multiple product candidate research and development programs, and therefore the costs cannot be allocated to a particular product candidate or development program. Our research and development expenses for the three months ended February 28, 2025, and February 29, 2024, are summarized as follows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clinical development expenses: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Bexobrutideg (NX-5948)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NX-2127</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NX-1607</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w:t>
            </w:r>
          </w:p>
        </w:tc>
        <w:tc>
          <w:tcPr>
            <w:tcW w:w="0" w:type="dxa"/>
            <w:vAlign w:val="bottom"/>
          </w:tcPr>
          <w:p>
            <w:pPr>
              <w:spacing w:after="0"/>
              <w:rPr>
                <w:sz w:val="1"/>
                <w:szCs w:val="1"/>
                <w:color w:val="auto"/>
              </w:rPr>
            </w:pPr>
          </w:p>
        </w:tc>
      </w:tr>
      <w:tr>
        <w:trPr>
          <w:trHeight w:val="263"/>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right="380" w:firstLine="648"/>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provision for income taxes primarily consists of reserves for unrecognized tax benefits and state taxes. We have generated net operating losses since inception and have established a full valuation allowance against our deferred tax assets due to the uncertainty surrounding the realization of such assets.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condensed financial statements, which have been prepared in accordance with U.S. generally accepted accounting principles (U.S. GAAP). The preparation of these condensed financial statements requires us to make estimates and assumptions that affect the reported amounts of assets and liabilities and the disclosure of contingent assets and liabilities at the date of the condensed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Our critical accounting policies and more significant areas involving management’s judgments and estimates used in preparation of our condensed financial statements are discussed in the section titled “Management’s Discussion and Analysis of Financial Condition and Results of Operations” in our Annual Report on Form 10-K for the fiscal year ended November 30, 2024. There have been no significant changes to these policies for the three months ended February 28,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Policies—Recently Adopted Accounting Pronouncements” to our condensed financial statements included elsewhere in this Quarterly Report on Form 10-Q for more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February 28, 2025 and February 29, 2024</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results of operations are summarized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68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68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20"/>
                <w:szCs w:val="20"/>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40" w:type="dxa"/>
            <w:vAlign w:val="bottom"/>
          </w:tcPr>
          <w:p>
            <w:pPr>
              <w:spacing w:after="0"/>
              <w:rPr>
                <w:sz w:val="21"/>
                <w:szCs w:val="21"/>
                <w:color w:val="auto"/>
              </w:rPr>
            </w:pPr>
          </w:p>
        </w:tc>
        <w:tc>
          <w:tcPr>
            <w:tcW w:w="760" w:type="dxa"/>
            <w:vAlign w:val="bottom"/>
            <w:gridSpan w:val="3"/>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40" w:type="dxa"/>
            <w:vAlign w:val="bottom"/>
          </w:tcPr>
          <w:p>
            <w:pPr>
              <w:spacing w:after="0"/>
              <w:rPr>
                <w:sz w:val="21"/>
                <w:szCs w:val="21"/>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Borders>
              <w:right w:val="single" w:sz="8" w:color="CCEEFF"/>
            </w:tcBorders>
          </w:tcPr>
          <w:p>
            <w:pPr>
              <w:spacing w:after="0"/>
              <w:rPr>
                <w:sz w:val="22"/>
                <w:szCs w:val="22"/>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Borders>
              <w:right w:val="single" w:sz="8" w:color="CCEEFF"/>
            </w:tcBorders>
          </w:tcPr>
          <w:p>
            <w:pPr>
              <w:spacing w:after="0"/>
              <w:rPr>
                <w:sz w:val="22"/>
                <w:szCs w:val="22"/>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19,513</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(62,864)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(45,219)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(17,645)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(56,351)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(41,428)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(56,351)</w:t>
            </w:r>
          </w:p>
        </w:tc>
        <w:tc>
          <w:tcPr>
            <w:tcW w:w="100" w:type="dxa"/>
            <w:vAlign w:val="bottom"/>
            <w:gridSpan w:val="2"/>
          </w:tcPr>
          <w:p>
            <w:pPr>
              <w:spacing w:after="0"/>
              <w:rPr>
                <w:sz w:val="22"/>
                <w:szCs w:val="22"/>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(41,518)</w:t>
            </w:r>
          </w:p>
        </w:tc>
        <w:tc>
          <w:tcPr>
            <w:tcW w:w="8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(14,833)</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6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Our collaboration revenue is summarized as follows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68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62"/>
        </w:trPr>
        <w:tc>
          <w:tcPr>
            <w:tcW w:w="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February 29, 2024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68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Gilead</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Sanofi</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Pfizer</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Borders>
              <w:top w:val="single" w:sz="8" w:color="auto"/>
              <w:bottom w:val="single" w:sz="8" w:color="auto"/>
            </w:tcBorders>
            <w:gridSpan w:val="2"/>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0" w:firstLine="486"/>
        <w:spacing w:after="0" w:line="246" w:lineRule="auto"/>
        <w:rPr>
          <w:sz w:val="20"/>
          <w:szCs w:val="20"/>
          <w:color w:val="auto"/>
        </w:rPr>
      </w:pPr>
      <w:r>
        <w:rPr>
          <w:rFonts w:ascii="Times New Roman" w:cs="Times New Roman" w:eastAsia="Times New Roman" w:hAnsi="Times New Roman"/>
          <w:sz w:val="18"/>
          <w:szCs w:val="18"/>
          <w:color w:val="auto"/>
        </w:rPr>
        <w:t>Our collaboration revenue increased by $1.9 million during the three months ended February 28, 2025, compared to the three months ended February 29, 2024, primarily due to increased revenue from our collaboration with Sanofi due to the achievement of research milestones and increased effort resulting in a higher percentage of completion of performance obligation under our collaboration with Pfizer in the current period. The increase in collaboration revenue was offset by the decrease in revenue from our collaboration with Gilead as we concluded the initial research term for certain drug targets.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80" w:firstLine="648"/>
        <w:spacing w:after="0" w:line="246" w:lineRule="auto"/>
        <w:rPr>
          <w:sz w:val="20"/>
          <w:szCs w:val="20"/>
          <w:color w:val="auto"/>
        </w:rPr>
      </w:pPr>
      <w:r>
        <w:rPr>
          <w:rFonts w:ascii="Times New Roman" w:cs="Times New Roman" w:eastAsia="Times New Roman" w:hAnsi="Times New Roman"/>
          <w:sz w:val="18"/>
          <w:szCs w:val="18"/>
          <w:color w:val="auto"/>
        </w:rPr>
        <w:t>Our research and development expenses increased by $19.7 million during the three months ended February 28, 2025, compared to the three months ended February 29, 2024. There was an increase in clinical, contract manufacturing and consulting costs as we continued to accelerate the enrollment of patients in the ongoing clinical trials of bexobrutideg (NX-5948) and prepare for the initiation of pivotal trials, and an increase in contract research costs to support our ongoing collaborations. There was an increase in compensation and related personnel costs and non-cash stock-based compensation expense due to an increase in headcount.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Our general and administrative expenses decreased by $0.1 million during the three months ended February 28, 2025, compared to the three months ended February 29, 2024. There was a decrease in legal fees and local taxes related to the Pfizer upfront payment offset by an increase in costs related to investor relations and other professional services.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68"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82"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18"/>
          <w:szCs w:val="18"/>
          <w:color w:val="auto"/>
        </w:rPr>
        <w:t>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net proceeds of $19.3 million after deducting offering commissions and expenses paid by us. In May 2024, we issued and sold 3,194,809 shares of common stock under the Equity Distribution Agreement at various prices ranging from $15.50 to $16.00 per share for total net proceeds of $48.5 million, after deducting offering commissions and expenses paid by us (the May 2024 ATM Financing).</w:t>
      </w:r>
    </w:p>
    <w:p>
      <w:pPr>
        <w:spacing w:after="0" w:line="9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are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net proceeds of $42.0 million after deducting offering commissions and expenses paid by us (the August 2024 ATM Financing). In October 2024, we issued and sold 4,803,573 shares of common stock under the Amended Equity Distribution Agreement at various prices ranging from $21.50 to $25.00 per share for total net proceeds of $105.3 million after deducting offering commissions and expenses paid by us (the October 2024 ATM Financing).</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On October 31, 2024, we entered into Amendment No. 2 to the Equity Distribution Agreement (as amended, the Second Amended Equity Distribution Agreement), pursuant to which, from time to time, we may offer and sell through Piper Sandler up to $300.0 million of common stock registered under the Automatic Shelf Registration Statement pursuant to one or more “at the market” offerings. We are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net proceeds of $93.6 million after deducting offering commissions and expenses paid by us (the November 2024 ATM Financing). As of February 28, 2025, we had $204.6 million of common stock remaining available for sale under the Second Amended Equity Distribution Agreement.</w:t>
      </w:r>
    </w:p>
    <w:p>
      <w:pPr>
        <w:spacing w:after="0" w:line="51" w:lineRule="exact"/>
        <w:rPr>
          <w:sz w:val="20"/>
          <w:szCs w:val="20"/>
          <w:color w:val="auto"/>
        </w:rPr>
      </w:pPr>
    </w:p>
    <w:p>
      <w:pPr>
        <w:ind w:right="60" w:firstLine="648"/>
        <w:spacing w:after="0" w:line="224" w:lineRule="exact"/>
        <w:rPr>
          <w:sz w:val="20"/>
          <w:szCs w:val="20"/>
          <w:color w:val="auto"/>
        </w:rPr>
      </w:pPr>
      <w:r>
        <w:rPr>
          <w:rFonts w:ascii="Times New Roman" w:cs="Times New Roman" w:eastAsia="Times New Roman" w:hAnsi="Times New Roman"/>
          <w:sz w:val="18"/>
          <w:szCs w:val="18"/>
          <w:color w:val="auto"/>
        </w:rPr>
        <w:t>In July 2022, we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February 28, 2025, a total of 6,097,560 of the 2022 Pre-Funded Warrants remained available for exercise.</w:t>
      </w:r>
    </w:p>
    <w:p>
      <w:pPr>
        <w:spacing w:after="0" w:line="79"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7"/>
          <w:szCs w:val="17"/>
          <w:color w:val="auto"/>
        </w:rPr>
        <w:t>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February 28, 2025, a total of 1,480,349 of the 2024 Pre-Funded Warrants remained available for exercise.</w:t>
      </w:r>
    </w:p>
    <w:p>
      <w:pPr>
        <w:spacing w:after="0" w:line="60"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w:t>
      </w:r>
    </w:p>
    <w:p>
      <w:pPr>
        <w:ind w:right="40"/>
        <w:spacing w:after="0" w:line="245" w:lineRule="auto"/>
        <w:rPr>
          <w:sz w:val="20"/>
          <w:szCs w:val="20"/>
          <w:color w:val="auto"/>
        </w:rPr>
      </w:pPr>
      <w:r>
        <w:rPr>
          <w:rFonts w:ascii="Times New Roman" w:cs="Times New Roman" w:eastAsia="Times New Roman" w:hAnsi="Times New Roman"/>
          <w:sz w:val="18"/>
          <w:szCs w:val="18"/>
          <w:color w:val="auto"/>
        </w:rPr>
        <w:t>9.99% of the number of shares of our common stock outstanding immediately after giving effect to such exercise. A holder of the pre-funded warrants may increase or decrease this percentage not in excess of 19.99% by providing us at least 61 days’ prior notice.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As of February 28, 2025, our operations have primarily been funded through the net proceeds from equity offerings of $1.1 billion and proceeds from collaborations of $440.0 million. We do not have any products approved for sale, and we have not generated any revenue from product sales. As of February 28, 2025, we had $549.7 million in cash, cash equivalents and marketable securities.</w:t>
      </w:r>
    </w:p>
    <w:p>
      <w:pPr>
        <w:spacing w:after="0" w:line="6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are sufficient to meet our cash requirements and continue operating activities, including the clinical trials of our drug candidates bexobrutideg (NX-5948),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71"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54" w:lineRule="exact"/>
        <w:rPr>
          <w:sz w:val="20"/>
          <w:szCs w:val="20"/>
          <w:color w:val="auto"/>
        </w:rPr>
      </w:pPr>
    </w:p>
    <w:p>
      <w:pPr>
        <w:ind w:left="980" w:right="20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bexobrutideg, NX-2127 and NX-1607, and any future clinical development of such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DEL-AI platform;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Sanofi, Pfizer and any other collaborations we may establish;</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8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Our contractual obligations mostly consist of our operating lease obligations for facilities in San Francisco, California, The Woodlands, Texas and Brisbane, California. Our total operating lease commitments as of February 28, 2025, were approximately $36.3 million, of which $6.8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73" w:lineRule="exact"/>
        <w:rPr>
          <w:sz w:val="20"/>
          <w:szCs w:val="20"/>
          <w:color w:val="auto"/>
        </w:rPr>
      </w:pPr>
    </w:p>
    <w:p>
      <w:pPr>
        <w:ind w:right="240" w:firstLine="648"/>
        <w:spacing w:after="0" w:line="280"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are summarized as follows (in thousands):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00" w:type="dxa"/>
            <w:vAlign w:val="bottom"/>
            <w:gridSpan w:val="4"/>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28, 2025</w:t>
            </w:r>
          </w:p>
        </w:tc>
        <w:tc>
          <w:tcPr>
            <w:tcW w:w="16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February 29, 2024</w:t>
            </w:r>
          </w:p>
        </w:tc>
      </w:tr>
      <w:tr>
        <w:trPr>
          <w:trHeight w:val="37"/>
        </w:trPr>
        <w:tc>
          <w:tcPr>
            <w:tcW w:w="79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(41,951)</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investing activities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35,513</w:t>
            </w:r>
          </w:p>
        </w:tc>
      </w:tr>
      <w:tr>
        <w:trPr>
          <w:trHeight w:val="27"/>
        </w:trPr>
        <w:tc>
          <w:tcPr>
            <w:tcW w:w="7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r>
      <w:tr>
        <w:trPr>
          <w:trHeight w:val="26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(4,814)</w:t>
            </w:r>
          </w:p>
        </w:tc>
      </w:tr>
      <w:tr>
        <w:trPr>
          <w:trHeight w:val="20"/>
        </w:trPr>
        <w:tc>
          <w:tcPr>
            <w:tcW w:w="7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Net cash used in operating activities was $61.1 million for the three months ended February 28, 2025 and consisted of a net loss of $56.4 million and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increase in net assets of $14.0 million, offset by non-cash adjustments of $9.3 million. The increase in net assets consisted of a decrease in deferred</w:t>
      </w:r>
    </w:p>
    <w:p>
      <w:pPr>
        <w:spacing w:after="0" w:line="234" w:lineRule="auto"/>
        <w:rPr>
          <w:sz w:val="20"/>
          <w:szCs w:val="20"/>
          <w:color w:val="auto"/>
        </w:rPr>
      </w:pPr>
      <w:r>
        <w:rPr>
          <w:rFonts w:ascii="Times New Roman" w:cs="Times New Roman" w:eastAsia="Times New Roman" w:hAnsi="Times New Roman"/>
          <w:sz w:val="18"/>
          <w:szCs w:val="18"/>
          <w:color w:val="auto"/>
        </w:rPr>
        <w:t>revenue of $9.8 million as we increased effort in our programs and recognized revenue, a decrease in operating lease liabilities of $1.7 million due to lease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made during the period, a decrease in accounts payable of $3.2 million from payments to vendors, an increase in prepaid and other assets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 million primarily due to the recognition of expenses for prepaid services, offset by an increase in accrued expenses and other liabilities of $6.9 million</w:t>
      </w:r>
    </w:p>
    <w:p>
      <w:pPr>
        <w:spacing w:after="0" w:line="234" w:lineRule="auto"/>
        <w:rPr>
          <w:sz w:val="20"/>
          <w:szCs w:val="20"/>
          <w:color w:val="auto"/>
        </w:rPr>
      </w:pPr>
      <w:r>
        <w:rPr>
          <w:rFonts w:ascii="Times New Roman" w:cs="Times New Roman" w:eastAsia="Times New Roman" w:hAnsi="Times New Roman"/>
          <w:sz w:val="18"/>
          <w:szCs w:val="18"/>
          <w:color w:val="auto"/>
        </w:rPr>
        <w:t>primarily due to the accrual of compensation and other related personnel costs and costs related to our clinical trials. Non-cash adjustments primarily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consisted of stock-based compensation expenses of $8.7 million, depreciation and amortization expenses of $2.4 million and amortization of operating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right-of-use (ROU) assets of $1.8 million, offset by net accretion of discount on marketable securities of $3.6 million.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Net cash used in operating activities was $42.0 million for the three months ended February 29, 2024 and consisted of a net loss of $41.5 million and an increase in net assets of $10.2 million, offset by non-cash adjustments of $9.8 million. The increase in net assets consisted of a decrease in deferred revenue of $12.6 million, which included an increase in contract assets of $2.0 million related to the achievement of a milestone under the Sanofi Agreement, as we increased effort in our programs and recognized revenue, a decrease in operating lease liabilities of $1.5 million due to lease payments made during the period and a decrease in accounts payable of $0.9 million from payments to vendors, offset by an increase in accrued expenses and other liabilities of $3.6 million primarily due to the accrual of compensation and other related personnel costs and a decrease in prepaid and other assets of $1.2 million primarily due to the recognition of expenses for prepaid services. Non-cash adjustments primarily consisted of stock-based compensation expenses of $7.8 million, depreciation and amortization expenses of $2.0 million, amortization of operating lease ROU assets of $1.8 million and net accretion of discount on marketable securities of $1.9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$25.5 million for the three months ended February 28, 2025 and primarily consisted of the maturity of marketable securities of $139.2 million, offset by the purchase of marketable securities of $110.2 million and the purchase of property and equipment of $3.5 million.</w:t>
      </w:r>
    </w:p>
    <w:p>
      <w:pPr>
        <w:spacing w:after="0" w:line="61"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$35.5 million for the three months ended February 29, 2024 and consisted of the maturity of marketable securities of $93.2 million, offset by the purchase of marketable securities of $54.8 million and the purchase of property and equipment of $2.9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 million for the three months ended February 28, 2025 and consisted primarily of proceeds from the issuance of common stock under our Employee Stock Purchase Plan (ESPP).</w:t>
      </w:r>
    </w:p>
    <w:p>
      <w:pPr>
        <w:spacing w:after="0" w:line="6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$1.6 million for the three months ended February 29, 2024 and consisted primarily of proceeds from the issuance of common stock under our ESPP.</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market risks, as of February 28, 2025, have not changed materially from those discussed in “Item 7A. Quantitative and Qualitative Disclosures About Market Risk” of Part II of our Annual Report on Form 10-K for the year ended November 30, 2024, filed with the SEC on January 28, 2025.</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February 28, 2025.</w:t>
      </w:r>
    </w:p>
    <w:p>
      <w:pPr>
        <w:spacing w:after="0" w:line="68"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their evaluation, the Chief Executive Officer and Chief Financial Officer have concluded that our disclosure controls and procedures were effective as of February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three months ended February 28, 2025, that have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financial statements. Regardless of outcome, litigation can have an adverse impact on us due to defense and settlement costs, diversion of management resources, negative publicity and reputational harm and other factors.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financial statements and related notes and the section titled “Management’s Discussion and Analysis of Financial Condition and Results of Operations.”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net loss was $193.6 million for the fiscal year ended November 30, 2024, and $56.4 million for the three months ended February 28, 2025. As of February 28, 2025, we had an accumulated deficit of $795.1 million. To date, we have not generated any revenue from product sales and have financed our operations primarily through our collaborations and sales of our equity interests. We are in the early stages of development of our drug candidates. Our lead drug candidates, bexobrutideg (NX-5948),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87"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and further develop our drug candidates bexobrutideg, NX-2127 and NX-1607 through Phase 1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DEL-AI platform and apply our DEL-AI platform to advance additional drug candidates into preclinical and clinical development;</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drug candidates;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negotiations with the pricing authorities and submission to the health technology appraisal (HTA) bodies;</w:t>
      </w:r>
    </w:p>
    <w:p>
      <w:pPr>
        <w:spacing w:after="0" w:line="103"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drug candidates for which we may obtain marketing approval;</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980" w:right="500" w:hanging="324"/>
        <w:spacing w:after="0" w:line="266"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U.S. Food and Drug Administration (FDA), the European</w:t>
      </w:r>
    </w:p>
    <w:p>
      <w:pPr>
        <w:spacing w:after="0" w:line="2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in the early stages of clinical development of our lead drug candidates bexobrutideg (NX-5948), NX-2127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7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6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bexobrutideg (NX-5948), NX-2127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77" w:lineRule="exact"/>
        <w:rPr>
          <w:sz w:val="20"/>
          <w:szCs w:val="20"/>
          <w:color w:val="auto"/>
        </w:rPr>
      </w:pPr>
    </w:p>
    <w:p>
      <w:pPr>
        <w:ind w:right="280" w:firstLine="648"/>
        <w:spacing w:after="0" w:line="247" w:lineRule="auto"/>
        <w:rPr>
          <w:sz w:val="20"/>
          <w:szCs w:val="20"/>
          <w:color w:val="auto"/>
        </w:rPr>
      </w:pPr>
      <w:r>
        <w:rPr>
          <w:rFonts w:ascii="Times New Roman" w:cs="Times New Roman" w:eastAsia="Times New Roman" w:hAnsi="Times New Roman"/>
          <w:sz w:val="18"/>
          <w:szCs w:val="18"/>
          <w:color w:val="auto"/>
        </w:rPr>
        <w:t>We had cash, cash equivalents and marketable securities of $549.7 million as of February 28, 2025.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72" w:lineRule="exact"/>
        <w:rPr>
          <w:sz w:val="20"/>
          <w:szCs w:val="20"/>
          <w:color w:val="auto"/>
        </w:rPr>
      </w:pPr>
    </w:p>
    <w:p>
      <w:pPr>
        <w:ind w:left="980" w:right="160" w:hanging="324"/>
        <w:spacing w:after="0" w:line="266"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bexobrutideg, NX-2127 and NX-1607 and any future clinical development of such drug candidates;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DEL-AI platform;</w:t>
      </w:r>
    </w:p>
    <w:p>
      <w:pPr>
        <w:spacing w:after="0" w:line="103"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Gilead Sciences, Inc. (Gilead), Sanofi S.A. (Sanofi) and Seagen Inc. (now a part of Pfizer Inc. (Pfizer)) and any other collaborations we may establish;</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negotiations with pricing authorities and health technology assessment authorities;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03"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8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7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92" w:lineRule="exact"/>
        <w:rPr>
          <w:sz w:val="20"/>
          <w:szCs w:val="20"/>
          <w:color w:val="auto"/>
        </w:rPr>
      </w:pPr>
    </w:p>
    <w:p>
      <w:pPr>
        <w:jc w:val="both"/>
        <w:ind w:right="100" w:firstLine="648"/>
        <w:spacing w:after="0" w:line="250"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8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bexobrutideg (NX-5948), NX-2127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7" w:lineRule="exact"/>
        <w:rPr>
          <w:sz w:val="20"/>
          <w:szCs w:val="20"/>
          <w:color w:val="auto"/>
        </w:rPr>
      </w:pPr>
    </w:p>
    <w:p>
      <w:pPr>
        <w:ind w:right="160" w:firstLine="648"/>
        <w:spacing w:after="0" w:line="247" w:lineRule="auto"/>
        <w:rPr>
          <w:sz w:val="20"/>
          <w:szCs w:val="20"/>
          <w:color w:val="auto"/>
        </w:rPr>
      </w:pPr>
      <w:r>
        <w:rPr>
          <w:rFonts w:ascii="Times New Roman" w:cs="Times New Roman" w:eastAsia="Times New Roman" w:hAnsi="Times New Roman"/>
          <w:sz w:val="18"/>
          <w:szCs w:val="18"/>
          <w:color w:val="auto"/>
        </w:rPr>
        <w:t>We are early in our development efforts. Our lead drug candidates, bexobrutideg (NX-5948), NX-2127 and NX-1607, are in the early stages of clinical development and their risk of failure is high. We have invested substantially all of our efforts and financial resources in building our DEL-AI platform, in the identification and preclinical development of our current drug candidates and in the preparation for and initiation of Phase 1 clinical trials for our lead drug candidates, as well as the preparation to advance bexobrutideg into a Phase 2 clinical trial, anticipated in 2025.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72"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 as well as obtaining relevant exclusivity extensions (due to the conduct of pediatric studies);</w:t>
      </w:r>
    </w:p>
    <w:p>
      <w:pPr>
        <w:spacing w:after="0" w:line="54"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03"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our drug candidates and maintaining such a profile following approval;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6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bexobrutideg (NX-5948) and NX-2127 degrade BTK with mutations that confer resistance to currently marketed BTK inhibitors, and we believe that preliminary data from our ongoing Phase 1 trials of bexobrutideg and NX-2127 may provide evidence of clinical benefit to patients with such resistance mutations. However, any inherent primary or acquired secondary resistance to our BTK degraders in patients would prevent or diminish their clinical benefit.</w:t>
      </w:r>
    </w:p>
    <w:p>
      <w:pPr>
        <w:spacing w:after="0" w:line="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are in the early stages of clinical development of bexobrutideg and NX-2127 and we currently have limited safety data of bexobrutideg and NX-2127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6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spacing w:after="0" w:line="73" w:lineRule="exact"/>
        <w:rPr>
          <w:sz w:val="20"/>
          <w:szCs w:val="20"/>
          <w:color w:val="auto"/>
        </w:rPr>
      </w:pPr>
    </w:p>
    <w:p>
      <w:pPr>
        <w:ind w:left="980" w:right="720" w:hanging="324"/>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0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40"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68"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spacing w:after="0" w:line="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40"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03" w:lineRule="exact"/>
        <w:rPr>
          <w:rFonts w:ascii="Times New Roman" w:cs="Times New Roman" w:eastAsia="Times New Roman" w:hAnsi="Times New Roman"/>
          <w:sz w:val="18"/>
          <w:szCs w:val="18"/>
          <w:color w:val="auto"/>
        </w:rPr>
      </w:pPr>
    </w:p>
    <w:p>
      <w:pPr>
        <w:jc w:val="both"/>
        <w:ind w:left="980" w:right="200" w:hanging="324"/>
        <w:spacing w:after="0" w:line="258"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40"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03"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03"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40"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67"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82"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67" w:lineRule="exact"/>
        <w:rPr>
          <w:rFonts w:ascii="Times New Roman" w:cs="Times New Roman" w:eastAsia="Times New Roman" w:hAnsi="Times New Roman"/>
          <w:sz w:val="18"/>
          <w:szCs w:val="18"/>
          <w:color w:val="auto"/>
        </w:rPr>
      </w:pPr>
    </w:p>
    <w:p>
      <w:pPr>
        <w:ind w:left="980" w:right="56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0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macroeconomic, political and market conditions, including supply chain disruptions, may increase the likelihood that we encounter such difficulties or delays in initiating, enrolling, conducting or completing our planned and ongoing clinical trials.</w:t>
      </w:r>
    </w:p>
    <w:p>
      <w:pPr>
        <w:spacing w:after="0" w:line="68"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spacing w:after="0" w:line="6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8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NX-2127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bexobrutideg (NX-5948), NX-2127 and NX-1607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72" w:lineRule="exact"/>
        <w:rPr>
          <w:sz w:val="20"/>
          <w:szCs w:val="20"/>
          <w:color w:val="auto"/>
        </w:rPr>
      </w:pPr>
    </w:p>
    <w:p>
      <w:pPr>
        <w:jc w:val="both"/>
        <w:ind w:right="340" w:firstLine="648"/>
        <w:spacing w:after="0" w:line="250" w:lineRule="auto"/>
        <w:rPr>
          <w:sz w:val="20"/>
          <w:szCs w:val="20"/>
          <w:color w:val="auto"/>
        </w:rPr>
      </w:pPr>
      <w:r>
        <w:rPr>
          <w:rFonts w:ascii="Times New Roman" w:cs="Times New Roman" w:eastAsia="Times New Roman" w:hAnsi="Times New Roman"/>
          <w:sz w:val="18"/>
          <w:szCs w:val="18"/>
          <w:color w:val="auto"/>
        </w:rPr>
        <w:t>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1"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in later-stage trials or when these trials are completed.</w:t>
      </w:r>
    </w:p>
    <w:p>
      <w:pPr>
        <w:spacing w:after="0" w:line="5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For example, even if successful, the results of our initial clinical trials for bexobrutideg (NX-5948), NX-2127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w:t>
      </w:r>
    </w:p>
    <w:p>
      <w:pPr>
        <w:spacing w:after="0" w:line="19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bexobrutideg (NX-5948), NX-2127 and NX-1607, and we expect to initiate a Phase 2 clinical trial of bexobrutideg in 2025. We cannot predict how difficult it will be to enroll patients for these trials. Therefore, our ability to identify and enroll eligible patients for our bexobrutideg, NX-2127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9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8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NX-2127, the FDA placed a partial clinical hold on our ongoing Phase 1 clinical trial evaluating NX-2127.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86" w:lineRule="exact"/>
        <w:rPr>
          <w:sz w:val="20"/>
          <w:szCs w:val="20"/>
          <w:color w:val="auto"/>
        </w:rPr>
      </w:pPr>
    </w:p>
    <w:p>
      <w:pPr>
        <w:ind w:left="5540" w:right="3460" w:hanging="4884"/>
        <w:spacing w:after="0" w:line="970" w:lineRule="auto"/>
        <w:tabs>
          <w:tab w:leader="none" w:pos="9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520" w:hanging="324"/>
        <w:spacing w:after="0" w:line="266"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04" w:lineRule="exact"/>
        <w:rPr>
          <w:sz w:val="20"/>
          <w:szCs w:val="20"/>
          <w:color w:val="auto"/>
        </w:rPr>
      </w:pPr>
    </w:p>
    <w:p>
      <w:pPr>
        <w:ind w:right="420" w:firstLine="648"/>
        <w:spacing w:after="0" w:line="250"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DEL-AI platform.</w:t>
      </w:r>
    </w:p>
    <w:p>
      <w:pPr>
        <w:spacing w:after="0" w:line="121"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w:t>
      </w:r>
    </w:p>
    <w:p>
      <w:pPr>
        <w:spacing w:after="0" w:line="181"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7" w:lineRule="exact"/>
        <w:rPr>
          <w:sz w:val="20"/>
          <w:szCs w:val="20"/>
          <w:color w:val="auto"/>
        </w:rPr>
      </w:pPr>
    </w:p>
    <w:p>
      <w:pPr>
        <w:jc w:val="both"/>
        <w:ind w:right="160" w:firstLine="648"/>
        <w:spacing w:after="0" w:line="250" w:lineRule="auto"/>
        <w:rPr>
          <w:sz w:val="20"/>
          <w:szCs w:val="20"/>
          <w:color w:val="auto"/>
        </w:rPr>
      </w:pPr>
      <w:r>
        <w:rPr>
          <w:rFonts w:ascii="Times New Roman" w:cs="Times New Roman" w:eastAsia="Times New Roman" w:hAnsi="Times New Roman"/>
          <w:sz w:val="18"/>
          <w:szCs w:val="18"/>
          <w:color w:val="auto"/>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spacing w:after="0" w:line="8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expect and announce, the commercialization of our products may be delayed and, as a result, our stock price may decline.</w:t>
      </w:r>
    </w:p>
    <w:p>
      <w:pPr>
        <w:spacing w:after="0" w:line="5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7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jc w:val="both"/>
        <w:ind w:right="100" w:firstLine="648"/>
        <w:spacing w:after="0" w:line="262" w:lineRule="auto"/>
        <w:rPr>
          <w:sz w:val="20"/>
          <w:szCs w:val="20"/>
          <w:color w:val="auto"/>
        </w:rPr>
      </w:pPr>
      <w:r>
        <w:rPr>
          <w:rFonts w:ascii="Times New Roman" w:cs="Times New Roman" w:eastAsia="Times New Roman" w:hAnsi="Times New Roman"/>
          <w:sz w:val="17"/>
          <w:szCs w:val="17"/>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w:t>
      </w:r>
    </w:p>
    <w:p>
      <w:pPr>
        <w:spacing w:after="0" w:line="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Quarterly Report on Form 10-Q.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0"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industry is subject to extensive regulatory obligations and policies that are subject to change, including due to judicial challenges.</w:t>
      </w:r>
    </w:p>
    <w:p>
      <w:pPr>
        <w:spacing w:after="0" w:line="5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 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Gilead, Sanofi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pose risks to us, including:</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with us.</w:t>
      </w:r>
    </w:p>
    <w:p>
      <w:pPr>
        <w:spacing w:after="0" w:line="103" w:lineRule="exact"/>
        <w:rPr>
          <w:rFonts w:ascii="Times New Roman" w:cs="Times New Roman" w:eastAsia="Times New Roman" w:hAnsi="Times New Roman"/>
          <w:sz w:val="18"/>
          <w:szCs w:val="18"/>
          <w:color w:val="auto"/>
        </w:rPr>
      </w:pPr>
    </w:p>
    <w:p>
      <w:pPr>
        <w:jc w:val="both"/>
        <w:ind w:left="980" w:right="280" w:hanging="324"/>
        <w:spacing w:after="0" w:line="25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980" w:right="320" w:hanging="324"/>
        <w:spacing w:after="0" w:line="25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w:t>
      </w:r>
    </w:p>
    <w:p>
      <w:pPr>
        <w:spacing w:after="0" w:line="61" w:lineRule="exact"/>
        <w:rPr>
          <w:rFonts w:ascii="Times New Roman" w:cs="Times New Roman" w:eastAsia="Times New Roman" w:hAnsi="Times New Roman"/>
          <w:sz w:val="18"/>
          <w:szCs w:val="18"/>
          <w:color w:val="auto"/>
        </w:rPr>
      </w:pPr>
    </w:p>
    <w:p>
      <w:pPr>
        <w:ind w:left="980" w:right="68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40"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8"/>
          <w:szCs w:val="18"/>
          <w:color w:val="auto"/>
        </w:rPr>
      </w:pPr>
    </w:p>
    <w:p>
      <w:pPr>
        <w:ind w:left="980" w:right="520" w:hanging="324"/>
        <w:spacing w:after="0" w:line="26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980" w:right="40" w:hanging="324"/>
        <w:spacing w:after="0" w:line="24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73" w:lineRule="exact"/>
        <w:rPr>
          <w:rFonts w:ascii="Times New Roman" w:cs="Times New Roman" w:eastAsia="Times New Roman" w:hAnsi="Times New Roman"/>
          <w:sz w:val="18"/>
          <w:szCs w:val="18"/>
          <w:color w:val="auto"/>
        </w:rPr>
      </w:pPr>
    </w:p>
    <w:p>
      <w:pPr>
        <w:ind w:left="980" w:right="60" w:hanging="324"/>
        <w:spacing w:after="0" w:line="312" w:lineRule="auto"/>
        <w:tabs>
          <w:tab w:leader="none" w:pos="97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18" w:lineRule="exact"/>
        <w:rPr>
          <w:rFonts w:ascii="Times New Roman" w:cs="Times New Roman" w:eastAsia="Times New Roman" w:hAnsi="Times New Roman"/>
          <w:sz w:val="17"/>
          <w:szCs w:val="17"/>
          <w:color w:val="auto"/>
        </w:rPr>
      </w:pPr>
    </w:p>
    <w:p>
      <w:pPr>
        <w:ind w:left="980" w:right="300" w:hanging="324"/>
        <w:spacing w:after="0" w:line="26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67"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w:t>
      </w:r>
    </w:p>
    <w:p>
      <w:pPr>
        <w:spacing w:after="0" w:line="69"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1"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Quarterly Report on Form 10-Q apply to the activities of our collaborators.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96"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78" w:lineRule="exact"/>
        <w:rPr>
          <w:sz w:val="20"/>
          <w:szCs w:val="20"/>
          <w:color w:val="auto"/>
        </w:rPr>
      </w:pPr>
    </w:p>
    <w:p>
      <w:pPr>
        <w:ind w:right="180" w:firstLine="648"/>
        <w:spacing w:after="0" w:line="280"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4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bexobrutideg (NX-5948), NX-2127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83"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6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87"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Such events could result in our clinical or commercial supply of drug, packaging and other services being interrupted or limited, which could harm our business.</w:t>
      </w:r>
    </w:p>
    <w:p>
      <w:pPr>
        <w:spacing w:after="0" w:line="7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68"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04"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6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spacing w:after="0" w:line="9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82" w:lineRule="exact"/>
        <w:rPr>
          <w:sz w:val="20"/>
          <w:szCs w:val="20"/>
          <w:color w:val="auto"/>
        </w:rPr>
      </w:pPr>
    </w:p>
    <w:p>
      <w:pPr>
        <w:ind w:right="260" w:firstLine="648"/>
        <w:spacing w:after="0" w:line="24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7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4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macroeconomic conditions, which could delay, prevent or impair our development or commercialization efforts.</w:t>
      </w:r>
    </w:p>
    <w:p>
      <w:pPr>
        <w:spacing w:after="0" w:line="5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during the prior Trump administration, increased tariffs were implemented on goods imported into the United States, particularly from China, Canada, and Mexico. On February 1, 2025, the United States imposed a 25% tariff on imports from Canada and Mexico, which were subsequently suspended for a period of one month, and a 10% additional tariff on imports from China, and on April 2, 2025, the United States announced a baseline 10% tariff on all foreign goods, with goods imported from specified nations, including China and those in the European Union, taxed at higher rates.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8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w:t>
      </w:r>
    </w:p>
    <w:p>
      <w:pPr>
        <w:spacing w:after="0" w:line="87"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sales and distribution support;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HTA recommendation for the product to be prescribed and reimbursed under the national health system;</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0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04" w:lineRule="exact"/>
        <w:rPr>
          <w:sz w:val="20"/>
          <w:szCs w:val="20"/>
          <w:color w:val="auto"/>
        </w:rPr>
      </w:pPr>
    </w:p>
    <w:p>
      <w:pPr>
        <w:ind w:left="980" w:right="100" w:hanging="324"/>
        <w:spacing w:after="0" w:line="282"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40"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pacing w:after="0" w:line="28"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65"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89"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61"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8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spacing w:after="0" w:line="8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spacing w:after="0" w:line="93"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w:t>
      </w:r>
    </w:p>
    <w:p>
      <w:pPr>
        <w:spacing w:after="0" w:line="7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w:t>
      </w:r>
    </w:p>
    <w:p>
      <w:pPr>
        <w:spacing w:after="0" w:line="1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spacing w:after="0" w:line="72"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77"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w:t>
      </w:r>
    </w:p>
    <w:p>
      <w:pPr>
        <w:spacing w:after="0" w:line="67" w:lineRule="exact"/>
        <w:rPr>
          <w:sz w:val="20"/>
          <w:szCs w:val="20"/>
          <w:color w:val="auto"/>
        </w:rPr>
      </w:pPr>
    </w:p>
    <w:p>
      <w:pPr>
        <w:ind w:right="120" w:firstLine="648"/>
        <w:spacing w:after="0" w:line="247"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202" w:lineRule="exact"/>
        <w:rPr>
          <w:sz w:val="20"/>
          <w:szCs w:val="20"/>
          <w:color w:val="auto"/>
        </w:rPr>
      </w:pPr>
    </w:p>
    <w:p>
      <w:pPr>
        <w:ind w:right="4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w:t>
      </w:r>
    </w:p>
    <w:p>
      <w:pPr>
        <w:spacing w:after="0" w:line="28"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spacing w:after="0" w:line="73"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spacing w:after="0" w:line="182"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6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7"/>
          <w:szCs w:val="17"/>
          <w:color w:val="auto"/>
        </w:rPr>
        <w:t>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inter partes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inter partes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6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bexobrutideg (NX-5948) and NX-2127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72"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77"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spacing w:after="0" w:line="8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spacing w:after="0" w:line="8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spacing w:after="0" w:line="73"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We may choose to challenge the enforceability or validity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81"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w:t>
      </w:r>
    </w:p>
    <w:p>
      <w:pPr>
        <w:spacing w:after="0" w:line="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90"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pursue or guarantee protection of our intellectual property rights in jurisdictions outside the United States.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7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spacing w:after="0" w:line="72"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color w:val="auto"/>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28"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w:t>
      </w:r>
    </w:p>
    <w:p>
      <w:pPr>
        <w:spacing w:after="0" w:line="78"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w:t>
      </w:r>
    </w:p>
    <w:p>
      <w:pPr>
        <w:spacing w:after="0" w:line="8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8" w:lineRule="exact"/>
        <w:rPr>
          <w:sz w:val="20"/>
          <w:szCs w:val="20"/>
          <w:color w:val="auto"/>
        </w:rPr>
      </w:pPr>
    </w:p>
    <w:p>
      <w:pPr>
        <w:ind w:left="980" w:right="12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spacing w:after="0" w:line="69"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candidates utilizing issued patents and other intellectual property that we hold may prove to be ineffective for their intended treatment or we may not obtain regulatory approval for such drug candidates;</w:t>
      </w:r>
    </w:p>
    <w:p>
      <w:pPr>
        <w:spacing w:after="0" w:line="67"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4"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03" w:lineRule="exact"/>
        <w:rPr>
          <w:rFonts w:ascii="Times New Roman" w:cs="Times New Roman" w:eastAsia="Times New Roman" w:hAnsi="Times New Roman"/>
          <w:sz w:val="18"/>
          <w:szCs w:val="18"/>
          <w:color w:val="auto"/>
        </w:rPr>
      </w:pPr>
    </w:p>
    <w:p>
      <w:pPr>
        <w:ind w:left="980" w:hanging="324"/>
        <w:spacing w:after="0" w:line="250"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w:t>
      </w:r>
    </w:p>
    <w:p>
      <w:pPr>
        <w:spacing w:after="0" w:line="82"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any current patents or patent issuing based on patent applications that we own may not provide protection against competitors or any competitive advantages or may be challenged by third parties;</w:t>
      </w:r>
    </w:p>
    <w:p>
      <w:pPr>
        <w:spacing w:after="0" w:line="54"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40" w:lineRule="exact"/>
        <w:rPr>
          <w:rFonts w:ascii="Times New Roman" w:cs="Times New Roman" w:eastAsia="Times New Roman" w:hAnsi="Times New Roman"/>
          <w:sz w:val="18"/>
          <w:szCs w:val="18"/>
          <w:color w:val="auto"/>
        </w:rPr>
      </w:pPr>
    </w:p>
    <w:p>
      <w:pPr>
        <w:ind w:left="980" w:right="760" w:hanging="324"/>
        <w:spacing w:after="0" w:line="266" w:lineRule="auto"/>
        <w:tabs>
          <w:tab w:leader="none" w:pos="9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20" w:hanging="324"/>
        <w:spacing w:after="0" w:line="258"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61"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U.S. courts, allowing foreign competitors a better opportunity to create, develop and market competing drug candidates;</w:t>
      </w:r>
    </w:p>
    <w:p>
      <w:pPr>
        <w:spacing w:after="0" w:line="67" w:lineRule="exact"/>
        <w:rPr>
          <w:rFonts w:ascii="Times New Roman" w:cs="Times New Roman" w:eastAsia="Times New Roman" w:hAnsi="Times New Roman"/>
          <w:sz w:val="18"/>
          <w:szCs w:val="18"/>
          <w:color w:val="auto"/>
        </w:rPr>
      </w:pPr>
    </w:p>
    <w:p>
      <w:pPr>
        <w:ind w:left="980" w:right="30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enforce and/or defend our patent rights, a court may not hold that our patents are valid, enforceable and infringed;</w:t>
      </w:r>
    </w:p>
    <w:p>
      <w:pPr>
        <w:spacing w:after="0" w:line="117"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117"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subject matter that is covered by our patent applications.</w:t>
      </w:r>
    </w:p>
    <w:p>
      <w:pPr>
        <w:spacing w:after="0" w:line="5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and other national or European regulators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04"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7"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03"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including in a manner rendering our clinical data insufficient for approval or otherwise impacting the FDA’s review process and timing or requirements.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120" w:firstLine="648"/>
        <w:spacing w:after="0" w:line="247"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w:t>
      </w:r>
    </w:p>
    <w:p>
      <w:pPr>
        <w:spacing w:after="0" w:line="2"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8"/>
          <w:szCs w:val="18"/>
          <w:color w:val="auto"/>
        </w:rPr>
        <w:t>Even if we believe the data collected from clinical trials of our drug candidates are promising, such data may not be sufficient to support approval by the FDA.</w:t>
      </w:r>
    </w:p>
    <w:p>
      <w:pPr>
        <w:spacing w:after="0" w:line="8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1"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Fast Track designation for bexobrutideg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spacing w:after="0" w:line="6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7"/>
          <w:szCs w:val="17"/>
          <w:color w:val="auto"/>
        </w:rPr>
        <w:t>In January 2024, the FDA granted Fast Track designation for bexobrutideg (NX-5948) in the United States for the treatment of adult patients with relapsed or refractory CLL or small lymphocytic lymphoma after at least two lines of therapy, including a BTK inhibitory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w:t>
      </w:r>
    </w:p>
    <w:p>
      <w:pPr>
        <w:spacing w:after="0" w:line="64" w:lineRule="exact"/>
        <w:rPr>
          <w:sz w:val="20"/>
          <w:szCs w:val="20"/>
          <w:color w:val="auto"/>
        </w:rPr>
      </w:pPr>
    </w:p>
    <w:p>
      <w:pPr>
        <w:ind w:right="220" w:firstLine="648"/>
        <w:spacing w:after="0" w:line="246" w:lineRule="auto"/>
        <w:rPr>
          <w:sz w:val="20"/>
          <w:szCs w:val="20"/>
          <w:color w:val="auto"/>
        </w:rPr>
      </w:pPr>
      <w:r>
        <w:rPr>
          <w:rFonts w:ascii="Times New Roman" w:cs="Times New Roman" w:eastAsia="Times New Roman" w:hAnsi="Times New Roman"/>
          <w:sz w:val="18"/>
          <w:szCs w:val="18"/>
          <w:color w:val="auto"/>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spacing w:after="0" w:line="87"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18"/>
          <w:szCs w:val="18"/>
          <w:color w:val="auto"/>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spacing w:after="0" w:line="82"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spacing w:after="0" w:line="92"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9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spacing w:after="0" w:line="78"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160" w:firstLine="648"/>
        <w:spacing w:after="0" w:line="24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The UK government has introduced the Northern Ireland Protocol Bill which, if enacted into law, would enable the government to unilaterally disapply parts of the NIP which may lead to changes to the regulatory environment in Northern Ireland, and may trigger retaliatory measures against the UK by the EU. The UK government reached a new agreement with the EU, the “Windsor Framework,” which aims to amend the NIP.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 These new measures will be implemented beginning January 1, 2025.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w:t>
      </w:r>
    </w:p>
    <w:p>
      <w:pPr>
        <w:spacing w:after="0" w:line="20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87"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60" w:firstLine="648"/>
        <w:spacing w:after="0" w:line="258"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w:t>
      </w:r>
    </w:p>
    <w:p>
      <w:pPr>
        <w:spacing w:after="0" w:line="17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77"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69"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0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0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77"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68"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04" w:lineRule="exact"/>
        <w:rPr>
          <w:sz w:val="20"/>
          <w:szCs w:val="20"/>
          <w:color w:val="auto"/>
        </w:rPr>
      </w:pPr>
    </w:p>
    <w:p>
      <w:pPr>
        <w:ind w:right="200" w:firstLine="648"/>
        <w:spacing w:after="0" w:line="264"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60"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received Orphan Drug Designation for bexobrutideg (NX-5948)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spacing w:after="0" w:line="72"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March 2025, the FDA granted Orphan Drug Designation to bexobrutideg (NX-5948) for the treatment of Waldenström macroglobulinemia. As part of our business strategy, we may also seek Orphan Drug Designation or other designations from regulators for other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spacing w:after="0" w:line="78" w:lineRule="exact"/>
        <w:rPr>
          <w:sz w:val="20"/>
          <w:szCs w:val="20"/>
          <w:color w:val="auto"/>
        </w:rPr>
      </w:pPr>
    </w:p>
    <w:p>
      <w:pPr>
        <w:ind w:right="80" w:firstLine="648"/>
        <w:spacing w:after="0" w:line="262"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72" w:lineRule="exact"/>
        <w:rPr>
          <w:sz w:val="20"/>
          <w:szCs w:val="20"/>
          <w:color w:val="auto"/>
        </w:rPr>
      </w:pPr>
    </w:p>
    <w:p>
      <w:pPr>
        <w:jc w:val="both"/>
        <w:ind w:right="440" w:firstLine="648"/>
        <w:spacing w:after="0" w:line="250" w:lineRule="auto"/>
        <w:rPr>
          <w:sz w:val="20"/>
          <w:szCs w:val="20"/>
          <w:color w:val="auto"/>
        </w:rPr>
      </w:pPr>
      <w:r>
        <w:rPr>
          <w:rFonts w:ascii="Times New Roman" w:cs="Times New Roman" w:eastAsia="Times New Roman" w:hAnsi="Times New Roman"/>
          <w:sz w:val="18"/>
          <w:szCs w:val="18"/>
          <w:color w:val="auto"/>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82"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73"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7"/>
          <w:szCs w:val="17"/>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7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54" w:lineRule="exact"/>
        <w:rPr>
          <w:sz w:val="20"/>
          <w:szCs w:val="20"/>
          <w:color w:val="auto"/>
        </w:rPr>
      </w:pPr>
    </w:p>
    <w:p>
      <w:pPr>
        <w:ind w:left="980" w:right="5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40" w:lineRule="exact"/>
        <w:rPr>
          <w:rFonts w:ascii="Times New Roman" w:cs="Times New Roman" w:eastAsia="Times New Roman" w:hAnsi="Times New Roman"/>
          <w:sz w:val="18"/>
          <w:szCs w:val="18"/>
          <w:color w:val="auto"/>
        </w:rPr>
      </w:pPr>
    </w:p>
    <w:p>
      <w:pPr>
        <w:ind w:left="980" w:right="8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67"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5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83"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w:t>
      </w:r>
    </w:p>
    <w:p>
      <w:pPr>
        <w:spacing w:after="0" w:line="2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the text of the initial proposal is likely to be amended by the European Parliament and the European Council.</w:t>
      </w:r>
    </w:p>
    <w:p>
      <w:pPr>
        <w:spacing w:after="0" w:line="1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77"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spacing w:after="0" w:line="6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authorization in Great Britain).</w:t>
      </w:r>
    </w:p>
    <w:p>
      <w:pPr>
        <w:spacing w:after="0" w:line="7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Applicable U.S. federal and state and non-U.S. healthcare laws and regulations include the following:</w:t>
      </w:r>
    </w:p>
    <w:p>
      <w:pPr>
        <w:spacing w:after="0" w:line="104" w:lineRule="exact"/>
        <w:rPr>
          <w:sz w:val="20"/>
          <w:szCs w:val="20"/>
          <w:color w:val="auto"/>
        </w:rPr>
      </w:pPr>
    </w:p>
    <w:p>
      <w:pPr>
        <w:ind w:left="980" w:hanging="324"/>
        <w:spacing w:after="0" w:line="245"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86" w:lineRule="exact"/>
        <w:rPr>
          <w:rFonts w:ascii="Times New Roman" w:cs="Times New Roman" w:eastAsia="Times New Roman" w:hAnsi="Times New Roman"/>
          <w:sz w:val="18"/>
          <w:szCs w:val="18"/>
          <w:color w:val="auto"/>
        </w:rPr>
      </w:pPr>
    </w:p>
    <w:p>
      <w:pPr>
        <w:ind w:left="980" w:right="100" w:hanging="324"/>
        <w:spacing w:after="0" w:line="243"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8"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69" w:lineRule="exact"/>
        <w:rPr>
          <w:rFonts w:ascii="Times New Roman" w:cs="Times New Roman" w:eastAsia="Times New Roman" w:hAnsi="Times New Roman"/>
          <w:sz w:val="18"/>
          <w:szCs w:val="18"/>
          <w:color w:val="auto"/>
        </w:rPr>
      </w:pPr>
    </w:p>
    <w:p>
      <w:pPr>
        <w:ind w:left="980" w:right="280" w:hanging="324"/>
        <w:spacing w:after="0" w:line="250"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w:t>
      </w:r>
    </w:p>
    <w:p>
      <w:pPr>
        <w:spacing w:after="0" w:line="69" w:lineRule="exact"/>
        <w:rPr>
          <w:rFonts w:ascii="Times New Roman" w:cs="Times New Roman" w:eastAsia="Times New Roman" w:hAnsi="Times New Roman"/>
          <w:sz w:val="18"/>
          <w:szCs w:val="18"/>
          <w:color w:val="auto"/>
        </w:rPr>
      </w:pPr>
    </w:p>
    <w:p>
      <w:pPr>
        <w:jc w:val="both"/>
        <w:ind w:left="980" w:right="14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1" w:lineRule="exact"/>
        <w:rPr>
          <w:rFonts w:ascii="Times New Roman" w:cs="Times New Roman" w:eastAsia="Times New Roman" w:hAnsi="Times New Roman"/>
          <w:sz w:val="18"/>
          <w:szCs w:val="18"/>
          <w:color w:val="auto"/>
        </w:rPr>
      </w:pPr>
    </w:p>
    <w:p>
      <w:pPr>
        <w:ind w:left="980" w:right="50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w:t>
      </w:r>
    </w:p>
    <w:p>
      <w:pPr>
        <w:spacing w:after="0" w:line="61" w:lineRule="exact"/>
        <w:rPr>
          <w:rFonts w:ascii="Times New Roman" w:cs="Times New Roman" w:eastAsia="Times New Roman" w:hAnsi="Times New Roman"/>
          <w:sz w:val="18"/>
          <w:szCs w:val="18"/>
          <w:color w:val="auto"/>
        </w:rPr>
      </w:pPr>
    </w:p>
    <w:p>
      <w:pPr>
        <w:jc w:val="both"/>
        <w:ind w:left="980" w:right="40" w:hanging="324"/>
        <w:spacing w:after="0" w:line="258"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1" w:lineRule="exact"/>
        <w:rPr>
          <w:rFonts w:ascii="Times New Roman" w:cs="Times New Roman" w:eastAsia="Times New Roman" w:hAnsi="Times New Roman"/>
          <w:sz w:val="18"/>
          <w:szCs w:val="18"/>
          <w:color w:val="auto"/>
        </w:rPr>
      </w:pPr>
    </w:p>
    <w:p>
      <w:pPr>
        <w:ind w:left="980" w:right="60" w:hanging="324"/>
        <w:spacing w:after="0" w:line="24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160" w:hanging="324"/>
        <w:spacing w:after="0" w:line="258"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1"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67" w:lineRule="exact"/>
        <w:rPr>
          <w:rFonts w:ascii="Times New Roman" w:cs="Times New Roman" w:eastAsia="Times New Roman" w:hAnsi="Times New Roman"/>
          <w:sz w:val="18"/>
          <w:szCs w:val="18"/>
          <w:color w:val="auto"/>
        </w:rPr>
      </w:pPr>
    </w:p>
    <w:p>
      <w:pPr>
        <w:ind w:left="980" w:right="52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54" w:lineRule="exact"/>
        <w:rPr>
          <w:rFonts w:ascii="Times New Roman" w:cs="Times New Roman" w:eastAsia="Times New Roman" w:hAnsi="Times New Roman"/>
          <w:sz w:val="18"/>
          <w:szCs w:val="18"/>
          <w:color w:val="auto"/>
        </w:rPr>
      </w:pPr>
    </w:p>
    <w:p>
      <w:pPr>
        <w:ind w:left="980" w:right="120" w:hanging="324"/>
        <w:spacing w:after="0" w:line="250"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w:t>
      </w:r>
    </w:p>
    <w:p>
      <w:pPr>
        <w:spacing w:after="0" w:line="82"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7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91"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Similar consequences would also result in the event of another significant shutdown of the federal government. For example, in 2025, the U.S. government was on the verge of a shutdown and has previously shut down several times, and certain regulatory agencies, such as the FDA, had to furlough critical employees and stop critical activities. If a prolonged government shutdown occurs, or if geopolitical or global health concerns prevent the FDA from conducting their regular inspections, reviews, or other regulatory activities,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spacing w:after="0" w:line="72"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FDA-regulated industries, such as ours, face uncertainty with regard to the regulatory environment we will face as we proceed with research and development, and possibly in future commercialization. Some of these efforts have manifested to date in the form of FDA reductions in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Department of Health and Human Services, could affect development activities such as enrollment and conduct of clinical trials.</w:t>
      </w:r>
    </w:p>
    <w:p>
      <w:pPr>
        <w:spacing w:after="0" w:line="72"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spacing w:after="0" w:line="87"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spacing w:after="0" w:line="17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beginning in 2023, penalize drug companies that raise prices for products covered under Medicare Parts B and D faster than inflation, among other reforms. The CMS has taken a number of steps to implement the IRA, including: on August 29, 2023, releasing the initial list of ten drugs subject to price negotiations; on August 15, 2024, releasing the negotiated maximum prices for such drugs that will be effective beginning in 2026; on October 2, 2024, releasing final guidance outlining the process for the second round of price negotiations for products subject to the “maximum fair price” provision; and on December 20, 2024, releasing a list of 64 Medicare Part B products that had an adjusted coinsurance rate based on the inflationary rebate provisions of the IRA for the time period of January 1, 2025 to March 31, 2025.</w:t>
      </w:r>
    </w:p>
    <w:p>
      <w:pPr>
        <w:spacing w:after="0" w:line="94" w:lineRule="exact"/>
        <w:rPr>
          <w:sz w:val="20"/>
          <w:szCs w:val="20"/>
          <w:color w:val="auto"/>
        </w:rPr>
      </w:pPr>
    </w:p>
    <w:p>
      <w:pPr>
        <w:ind w:right="400" w:firstLine="648"/>
        <w:spacing w:after="0" w:line="250" w:lineRule="auto"/>
        <w:rPr>
          <w:sz w:val="20"/>
          <w:szCs w:val="20"/>
          <w:color w:val="auto"/>
        </w:rPr>
      </w:pPr>
      <w:r>
        <w:rPr>
          <w:rFonts w:ascii="Times New Roman" w:cs="Times New Roman" w:eastAsia="Times New Roman" w:hAnsi="Times New Roman"/>
          <w:sz w:val="18"/>
          <w:szCs w:val="18"/>
          <w:color w:val="auto"/>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spacing w:after="0" w:line="82"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Moreover, the results of the 2024 Presidential and Congressional elections, and potential subsequent developments, increase the uncertainty related to the healthcare regulatory environment. 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spacing w:after="0" w:line="8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p>
    <w:p>
      <w:pPr>
        <w:spacing w:after="0" w:line="73"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9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69"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w:t>
      </w:r>
    </w:p>
    <w:p>
      <w:pPr>
        <w:spacing w:after="0" w:line="7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three drug candidates in ongoing Phase 1 trials, and expect to advance our drug candidate bexobrutideg (NX-5948) to a Phase 2 clinical trial in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9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460" w:hanging="324"/>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11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w:t>
      </w:r>
    </w:p>
    <w:p>
      <w:pPr>
        <w:spacing w:after="0" w:line="197"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w:t>
      </w:r>
    </w:p>
    <w:p>
      <w:pPr>
        <w:spacing w:after="0" w:line="7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w:t>
      </w: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82"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Additionally, the SEC adopted a new cybersecurity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w:t>
      </w:r>
    </w:p>
    <w:p>
      <w:pPr>
        <w:spacing w:after="0" w:line="8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spacing w:after="0" w:line="19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obtain and process a large amount of proprietary and sensitive data. Any real or perceived improper use of, disclosure of, or access to such data could harm our reputation, as well as have an adverse effect on our business.</w:t>
      </w:r>
    </w:p>
    <w:p>
      <w:pPr>
        <w:spacing w:after="0" w:line="51"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w:t>
      </w:r>
    </w:p>
    <w:p>
      <w:pPr>
        <w:spacing w:after="0" w:line="92" w:lineRule="exact"/>
        <w:rPr>
          <w:sz w:val="20"/>
          <w:szCs w:val="20"/>
          <w:color w:val="auto"/>
        </w:rPr>
      </w:pPr>
    </w:p>
    <w:p>
      <w:pPr>
        <w:jc w:val="both"/>
        <w:ind w:right="80" w:firstLine="648"/>
        <w:spacing w:after="0" w:line="246" w:lineRule="auto"/>
        <w:rPr>
          <w:sz w:val="20"/>
          <w:szCs w:val="20"/>
          <w:color w:val="auto"/>
        </w:rPr>
      </w:pPr>
      <w:r>
        <w:rPr>
          <w:rFonts w:ascii="Times New Roman" w:cs="Times New Roman" w:eastAsia="Times New Roman" w:hAnsi="Times New Roman"/>
          <w:sz w:val="18"/>
          <w:szCs w:val="18"/>
          <w:color w:val="auto"/>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spacing w:after="0" w:line="177"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w:t>
      </w:r>
    </w:p>
    <w:p>
      <w:pPr>
        <w:spacing w:after="0" w:line="69" w:lineRule="exact"/>
        <w:rPr>
          <w:sz w:val="20"/>
          <w:szCs w:val="20"/>
          <w:color w:val="auto"/>
        </w:rPr>
      </w:pPr>
    </w:p>
    <w:p>
      <w:pPr>
        <w:jc w:val="both"/>
        <w:ind w:right="100" w:firstLine="648"/>
        <w:spacing w:after="0" w:line="280" w:lineRule="auto"/>
        <w:rPr>
          <w:sz w:val="20"/>
          <w:szCs w:val="20"/>
          <w:color w:val="auto"/>
        </w:rPr>
      </w:pPr>
      <w:r>
        <w:rPr>
          <w:rFonts w:ascii="Times New Roman" w:cs="Times New Roman" w:eastAsia="Times New Roman" w:hAnsi="Times New Roman"/>
          <w:sz w:val="17"/>
          <w:szCs w:val="17"/>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w:t>
      </w:r>
    </w:p>
    <w:p>
      <w:pPr>
        <w:spacing w:after="0" w:line="45"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On April 22, 2024, OCR issued a Final Rule, the HIPAA Privacy Rule to Support Reproductive Health Care Privacy, which is intended to strengthen the HIPPA Privacy Rule by prohibiting the disclosure of protected health information related to lawful reproductive healthcare in certain circumstances.</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In addition, states have shown an increased interest in regulating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94"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(CPRA) as of January 1, 2023, provides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allow consumers to opt out of certain data sharing with third parties,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or proposed privacy laws that contain obligations similar to the CCPA and CPRA that have taken effect or will take effect in coming years. In addition, a comprehensive federal privacy bill, which includes a private right of action for violations, has been proposed and is under review by the U.S. House of Representatives. While these new laws and proposals generally include exemptions for HIPAA-covered data and clinical trial data, they add layers of complexity to compliance in the U.S. market and could increase our compliance costs and adversely affect our business. Compliance with this new and evolving privacy legislation adds complexity and may require investment in additional resources for compliance programs, thus potentially result in additional costs and expense of resources to maintain compliance.</w:t>
      </w:r>
    </w:p>
    <w:p>
      <w:pPr>
        <w:spacing w:after="0" w:line="93"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In the EU, the EU GDPR governs the collection, use, disclosure, transfer, or other processing of personal data. The UK has implemented the EU GDPR as the UK GDPR which sits alongside the UK Data Protection Act 2018 (the UK GDPR together with the EU GDPR, the GDPR). The GDPR imposes compliance obligations on controllers (and in more limited cases, on processors), including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relevant data protection supervisory authorities of notifiable personal data breaches without undue delay (and no later than 72 hours) after becoming aware of the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including when transfers are made in reliance on standard contractual clauses (EU SCCs), including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18"/>
          <w:szCs w:val="18"/>
          <w:color w:val="auto"/>
        </w:rPr>
        <w:t>Under the UK GDPR, companies not established in the UK but who process personal data in relation to the offering of goods or services to individuals in the UK, or to the monitoring of their behavior will be subject to the UK GDPR—the requirements of which at this time are largely aligned with those under the EU GDPR.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European Commission during this period.</w:t>
      </w:r>
    </w:p>
    <w:p>
      <w:pPr>
        <w:spacing w:after="0" w:line="87"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now be transferred from the UK under the UK-U.S. data bridge through the UK extension to the DPF to organizations self-certified under the UK extension to the DPF.</w:t>
      </w:r>
    </w:p>
    <w:p>
      <w:pPr>
        <w:spacing w:after="0" w:line="7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spacing w:after="0" w:line="6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a company, we have invested, and expect to continue to invest, significant time and resources in our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w:t>
      </w:r>
    </w:p>
    <w:p>
      <w:pPr>
        <w:spacing w:after="0" w:line="69"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6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89"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business, and challenges with properly managing its use could result in reputational harm, competitive harm, and legal liability, and adversely affect our results of operations.</w:t>
      </w:r>
    </w:p>
    <w:p>
      <w:pPr>
        <w:spacing w:after="0" w:line="51" w:lineRule="exact"/>
        <w:rPr>
          <w:sz w:val="20"/>
          <w:szCs w:val="20"/>
          <w:color w:val="auto"/>
        </w:rPr>
      </w:pPr>
    </w:p>
    <w:p>
      <w:pPr>
        <w:jc w:val="both"/>
        <w:ind w:right="60" w:firstLine="648"/>
        <w:spacing w:after="0" w:line="247" w:lineRule="auto"/>
        <w:rPr>
          <w:sz w:val="20"/>
          <w:szCs w:val="20"/>
          <w:color w:val="auto"/>
        </w:rPr>
      </w:pPr>
      <w:r>
        <w:rPr>
          <w:rFonts w:ascii="Times New Roman" w:cs="Times New Roman" w:eastAsia="Times New Roman" w:hAnsi="Times New Roman"/>
          <w:sz w:val="18"/>
          <w:szCs w:val="18"/>
          <w:color w:val="auto"/>
        </w:rPr>
        <w:t>We leverage artificial intelligence (AI) into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us, which could impair our ability to compete effectively and adversely affect our results of operations.</w:t>
      </w:r>
    </w:p>
    <w:p>
      <w:pPr>
        <w:spacing w:after="0" w:line="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Legislation governing the development and use of AI has been passed or is under consideration in the United States at the state and local level, as well as internationally. As a result, the ability to use artificial intelligence and machine learning may be constrained by current or future laws, regulatory or self-regulatory requirements. The rapid evolution of AI, including regulation of AI and it various uses, will require significant resources to develop, test and maintain our platforms and AI operations to help us implement AI ethically in order to minimize unintended, harmful impact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spacing w:after="0" w:line="69"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w:t>
      </w:r>
    </w:p>
    <w:p>
      <w:pPr>
        <w:spacing w:after="0" w:line="72"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w:t>
      </w:r>
    </w:p>
    <w:p>
      <w:pPr>
        <w:spacing w:after="0" w:line="5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2024, we had federal and state net operating loss (NOL) carryforwards of approximately $269.3 million and $418.7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2"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03"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67"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17" w:lineRule="exact"/>
        <w:rPr>
          <w:rFonts w:ascii="Times New Roman" w:cs="Times New Roman" w:eastAsia="Times New Roman" w:hAnsi="Times New Roman"/>
          <w:sz w:val="18"/>
          <w:szCs w:val="18"/>
          <w:color w:val="auto"/>
        </w:rPr>
      </w:pPr>
    </w:p>
    <w:p>
      <w:pPr>
        <w:ind w:left="980" w:right="780" w:hanging="324"/>
        <w:spacing w:after="0" w:line="266" w:lineRule="auto"/>
        <w:tabs>
          <w:tab w:leader="none" w:pos="97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60" w:firstLine="648"/>
        <w:spacing w:after="0" w:line="243"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9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Controls,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w:t>
      </w:r>
    </w:p>
    <w:p>
      <w:pPr>
        <w:spacing w:after="0" w:line="87"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7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7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7"/>
          <w:szCs w:val="17"/>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foreign exchange risk.</w:t>
      </w:r>
    </w:p>
    <w:p>
      <w:pPr>
        <w:spacing w:after="0" w:line="121"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of operations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We expect our results of operations to be subject to quarterly fluctuations. Our net loss and other results of operations will be affected by numerous factors, including:</w:t>
      </w:r>
    </w:p>
    <w:p>
      <w:pPr>
        <w:spacing w:after="0" w:line="40" w:lineRule="exact"/>
        <w:rPr>
          <w:sz w:val="20"/>
          <w:szCs w:val="20"/>
          <w:color w:val="auto"/>
        </w:rPr>
      </w:pPr>
    </w:p>
    <w:p>
      <w:pPr>
        <w:ind w:left="980" w:right="58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DEL-AI platform, or future development programs;</w:t>
      </w:r>
    </w:p>
    <w:p>
      <w:pPr>
        <w:spacing w:after="0" w:line="67"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or the addition or termination of clinical trials or funding support by us or by existing or future collaborators or licensing partners;</w:t>
      </w:r>
    </w:p>
    <w:p>
      <w:pPr>
        <w:spacing w:after="0" w:line="54"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03" w:lineRule="exact"/>
        <w:rPr>
          <w:rFonts w:ascii="Times New Roman" w:cs="Times New Roman" w:eastAsia="Times New Roman" w:hAnsi="Times New Roman"/>
          <w:sz w:val="18"/>
          <w:szCs w:val="18"/>
          <w:color w:val="auto"/>
        </w:rPr>
      </w:pPr>
    </w:p>
    <w:p>
      <w:pPr>
        <w:ind w:left="980" w:right="180" w:hanging="324"/>
        <w:spacing w:after="0" w:line="258" w:lineRule="auto"/>
        <w:tabs>
          <w:tab w:leader="none" w:pos="9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6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jc w:val="both"/>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w:t>
      </w:r>
    </w:p>
    <w:p>
      <w:pPr>
        <w:spacing w:after="0" w:line="61"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03"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trials, manufacturing process or sales and marketing terms;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03"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03"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4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any additional capital is raised;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03"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events;</w:t>
      </w:r>
    </w:p>
    <w:p>
      <w:pPr>
        <w:spacing w:after="0" w:line="117"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regional conflicts around the world;</w:t>
      </w:r>
    </w:p>
    <w:p>
      <w:pPr>
        <w:spacing w:after="0" w:line="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60" w:firstLine="648"/>
        <w:spacing w:after="0" w:line="246"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jc w:val="both"/>
        <w:ind w:right="140" w:firstLine="648"/>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8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w:t>
      </w:r>
    </w:p>
    <w:p>
      <w:pPr>
        <w:spacing w:after="0" w:line="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6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July 2022, we entered into separate Securities Purchase Agreements with certain purchasers to issue and sell pre-funded warrants to purchase an aggregate of 6,814,920 shares of our common stock in registered direct offerings; and in April 2024, we sold an additional 11,916,667 shares of our common stock and pre-funded warrants to purchase an aggregate of 1,500,100 shares of our common stock in a public offering. Such pre-funded warrants are immediately exercisable, have an exercise price of $0.001 and may be exercised at any time after the date of issuance.</w:t>
      </w:r>
    </w:p>
    <w:p>
      <w:pPr>
        <w:spacing w:after="0" w:line="72"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and again in October 2024 (as amended, the Second Amended Equity Distribution Agreement), pursuant to which, from time to time, we may offer and sell through Piper Sandler up to $300.0 million of the common stock registered under the shelf registration statement pursuant to one or more “at the market” offerings. From time to time, we have issued and sold shares of common stock pursuant to this agreement and as of the date of this filing, we have $204.6 million of common stock remaining available for sale under the Second Amended Equity Distribution Agreement. Sales of our common stock under the Second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of February 28, 2025, we have issued pre-funded warrants to purchase a total of 8,315,020 shares of our common stock, of which 7,577,909 were outstanding as of February 28, 2025.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pre-funded warrants.</w:t>
      </w:r>
    </w:p>
    <w:p>
      <w:pPr>
        <w:spacing w:after="0" w:line="121" w:lineRule="exact"/>
        <w:rPr>
          <w:sz w:val="20"/>
          <w:szCs w:val="20"/>
          <w:color w:val="auto"/>
        </w:rPr>
      </w:pPr>
    </w:p>
    <w:p>
      <w:pPr>
        <w:jc w:val="both"/>
        <w:ind w:right="180" w:firstLine="648"/>
        <w:spacing w:after="0" w:line="250" w:lineRule="auto"/>
        <w:rPr>
          <w:sz w:val="20"/>
          <w:szCs w:val="20"/>
          <w:color w:val="auto"/>
        </w:rPr>
      </w:pPr>
      <w:r>
        <w:rPr>
          <w:rFonts w:ascii="Times New Roman" w:cs="Times New Roman" w:eastAsia="Times New Roman" w:hAnsi="Times New Roman"/>
          <w:sz w:val="18"/>
          <w:szCs w:val="18"/>
          <w:color w:val="auto"/>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82"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91"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82"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980" w:right="160" w:hanging="324"/>
        <w:spacing w:after="0" w:line="296" w:lineRule="auto"/>
        <w:tabs>
          <w:tab w:leader="none" w:pos="97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super-majority voting to amend some provisions in our restated certificate of incorporation and amended and restated bylaws, unless such amendments are approved by two-thirds of our board of directors, in which case stockholders can approve by a simple majority;</w:t>
      </w:r>
    </w:p>
    <w:p>
      <w:pPr>
        <w:spacing w:after="0" w:line="30"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980" w:right="860" w:hanging="324"/>
        <w:spacing w:after="0" w:line="266" w:lineRule="auto"/>
        <w:tabs>
          <w:tab w:leader="none" w:pos="97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amended and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w:t>
      </w:r>
    </w:p>
    <w:p>
      <w:pPr>
        <w:spacing w:after="0" w:line="69"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95"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establishment and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new disclosure obligations once applicable to our company, or any or any additional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w:t>
      </w:r>
    </w:p>
    <w:p>
      <w:pPr>
        <w:spacing w:after="0" w:line="7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7"/>
          <w:szCs w:val="17"/>
          <w:color w:val="auto"/>
        </w:rPr>
        <w:t>Therefore, as a result of being a public company, 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results of operations, investors’ views of us and, as a result, the value of our common stock.</w:t>
      </w:r>
    </w:p>
    <w:p>
      <w:pPr>
        <w:spacing w:after="0" w:line="51" w:lineRule="exact"/>
        <w:rPr>
          <w:sz w:val="20"/>
          <w:szCs w:val="20"/>
          <w:color w:val="auto"/>
        </w:rPr>
      </w:pPr>
    </w:p>
    <w:p>
      <w:pPr>
        <w:ind w:right="140" w:firstLine="648"/>
        <w:spacing w:after="0" w:line="243"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92"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2024, we are considered a large accelerated filer under SEC rules effective November 30, 2024, and, as a result, our independent registered public accounting firm is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w:t>
      </w:r>
    </w:p>
    <w:p>
      <w:pPr>
        <w:spacing w:after="0" w:line="80" w:lineRule="exact"/>
        <w:rPr>
          <w:sz w:val="20"/>
          <w:szCs w:val="20"/>
          <w:color w:val="auto"/>
        </w:rPr>
      </w:pPr>
    </w:p>
    <w:p>
      <w:pPr>
        <w:ind w:right="240" w:firstLine="648"/>
        <w:spacing w:after="0" w:line="250" w:lineRule="auto"/>
        <w:rPr>
          <w:sz w:val="20"/>
          <w:szCs w:val="20"/>
          <w:color w:val="auto"/>
        </w:rPr>
      </w:pPr>
      <w:r>
        <w:rPr>
          <w:rFonts w:ascii="Times New Roman" w:cs="Times New Roman" w:eastAsia="Times New Roman" w:hAnsi="Times New Roman"/>
          <w:sz w:val="18"/>
          <w:szCs w:val="18"/>
          <w:color w:val="auto"/>
        </w:rPr>
        <w:t>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83"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no longer qualify as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smaller reporting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and we may no longer take advantage of the reduced disclosure and reporting requirements applicable to smaller reporting companies.</w:t>
      </w:r>
    </w:p>
    <w:p>
      <w:pPr>
        <w:spacing w:after="0" w:line="51"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Based on the market value of our common stock held by our non-affiliates as of May 31, 2024, we no longer qualify as a “smaller reporting company” as defined by the SEC effective November 30, 2024. Therefore, beginning with this quarterly report on Form 10-Q for the fiscal quarter ending February 28, 2025, we are no longer be eligible to rely on the reduced disclosure and reporting requirements applicable to smaller reporting companies. Moreover, we chose not to take advantage of the reduced disclosure and reporting requirements applicable to smaller reporting companies starting with our Annual Report on Form 10-K for the fiscal year ended November 30, 2024. Any failure to comply with the increased disclosure and reporting requirements could have an adverse effect on our business, financial condition and results of operations.</w:t>
      </w:r>
    </w:p>
    <w:p>
      <w:pPr>
        <w:spacing w:after="0" w:line="17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jc w:val="both"/>
        <w:ind w:right="140"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Entry into a Material Definitive Agreement</w:t>
      </w:r>
    </w:p>
    <w:p>
      <w:pPr>
        <w:spacing w:after="0" w:line="104"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On February 21, 2025, the Company entered into a sublease agreement (the Brisbane Lease) with Janssen Research &amp; Development, LLC (Janssen) and HCP LS Brisbane, LLC, effective as of February 21, 2025, to sublease from Janssen approximately 159,959 square feet of office space located at 1600 Sierra Point Parkway, Brisbane, California for a research and development laboratory and office space. The commencement date of the Brisbane Lease is expected to be in the first half of 2025, and the lease will expire on September 30, 2031, unless terminated earlier. Future minimum lease payments under the Brisbane Lease total $44.6 million, which does not include the payment of additional rent to cover the Company’s share of annual operating and tax expenses and utilities costs for the building.</w:t>
      </w:r>
    </w:p>
    <w:p>
      <w:pPr>
        <w:spacing w:after="0" w:line="7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Brisbane Lease does not purport to be complete and is qualified in its entirety by reference to the full text of the Brisbane Lease, a copy of which has been filed as Exhibit 10.1 to this Quarterly Report on Form 10-Q and is incorporated by reference herein.</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Director and Section 16 Officer Rule 10b5-1 Trading Arrangements</w:t>
      </w:r>
    </w:p>
    <w:p>
      <w:pPr>
        <w:spacing w:after="0" w:line="104"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On February 14, 2025, Christine Ring, Chief Legal Officer of the Company, entered into a prearranged trading plan intended to satisfy the affirmative defense of Rule 10b5-1(c) under the Securities Exchange Act of 1934, as amended (the Ring Plan), providing for the potential sale of up to 134,160 shares of the Company’s common stock issuable upon the exercise of option awards granted to Dr. Ring under the Company’s 2012 Equity Incentive Plan and 2020 Equity Incentive Plan, so long as the market price of the Company’s common stock is higher than certain minimum threshold prices specified in the Ring Plan. A portion of the shares are expected to be sold in the market to cover the exercise price and taxes associated with the exercise of the options. The remaining shares underlying the options will be sold in the open market at the times and prices specified in the Ring Plan. The first potential sale date under the Ring Plan is May 16, 2025. The Ring Plan expires on January 30, 2026, or upon the earlier completion of all authorized transactions thereunder.</w:t>
      </w:r>
    </w:p>
    <w:p>
      <w:pPr>
        <w:spacing w:after="0" w:line="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No other director or Section 16 officer of the Company adopted or terminated a “Rule 10b5-1 trading arrangement” or “non-Rule 10b5-1 trading arrangement,” as each term is defined in Item 408(a) of Regulation S-K, during the three months ended February 28, 2025.</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20" w:type="dxa"/>
            <w:vAlign w:val="bottom"/>
          </w:tcPr>
          <w:p>
            <w:pPr>
              <w:spacing w:after="0"/>
              <w:rPr>
                <w:sz w:val="16"/>
                <w:szCs w:val="16"/>
                <w:color w:val="auto"/>
              </w:rPr>
            </w:pPr>
          </w:p>
        </w:tc>
        <w:tc>
          <w:tcPr>
            <w:tcW w:w="820" w:type="dxa"/>
            <w:vAlign w:val="bottom"/>
            <w:vMerge w:val="restart"/>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Filed or</w:t>
            </w:r>
          </w:p>
        </w:tc>
        <w:tc>
          <w:tcPr>
            <w:tcW w:w="0" w:type="dxa"/>
            <w:vAlign w:val="bottom"/>
          </w:tcPr>
          <w:p>
            <w:pPr>
              <w:spacing w:after="0"/>
              <w:rPr>
                <w:sz w:val="1"/>
                <w:szCs w:val="1"/>
                <w:color w:val="auto"/>
              </w:rPr>
            </w:pPr>
          </w:p>
        </w:tc>
      </w:tr>
      <w:tr>
        <w:trPr>
          <w:trHeight w:val="37"/>
        </w:trPr>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0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204"/>
        </w:trPr>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900" w:type="dxa"/>
            <w:vAlign w:val="bottom"/>
            <w:gridSpan w:val="9"/>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20" w:type="dxa"/>
            <w:vAlign w:val="bottom"/>
          </w:tcPr>
          <w:p>
            <w:pPr>
              <w:jc w:val="center"/>
              <w:ind w:left="117"/>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20" w:type="dxa"/>
            <w:vAlign w:val="bottom"/>
          </w:tcPr>
          <w:p>
            <w:pPr>
              <w:spacing w:after="0"/>
              <w:rPr>
                <w:sz w:val="19"/>
                <w:szCs w:val="19"/>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Sublease Agreement, dated as of February 21, 2025, between Janssen</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3" w:lineRule="exact"/>
              <w:rPr>
                <w:sz w:val="20"/>
                <w:szCs w:val="20"/>
                <w:color w:val="auto"/>
              </w:rPr>
            </w:pPr>
            <w:r>
              <w:rPr>
                <w:rFonts w:ascii="Times New Roman" w:cs="Times New Roman" w:eastAsia="Times New Roman" w:hAnsi="Times New Roman"/>
                <w:sz w:val="17"/>
                <w:szCs w:val="17"/>
                <w:color w:val="0000FF"/>
                <w:w w:val="99"/>
              </w:rPr>
              <w:t>Research &amp; Development, LLC and the Registrant</w:t>
            </w:r>
          </w:p>
        </w:tc>
        <w:tc>
          <w:tcPr>
            <w:tcW w:w="1280" w:type="dxa"/>
            <w:vAlign w:val="bottom"/>
            <w:tcBorders>
              <w:top w:val="single" w:sz="8" w:color="0000FF"/>
            </w:tcBorders>
            <w:gridSpan w:val="4"/>
          </w:tcPr>
          <w:p>
            <w:pPr>
              <w:spacing w:after="0"/>
              <w:rPr>
                <w:sz w:val="15"/>
                <w:szCs w:val="15"/>
                <w:color w:val="auto"/>
              </w:rPr>
            </w:pPr>
          </w:p>
        </w:tc>
        <w:tc>
          <w:tcPr>
            <w:tcW w:w="160" w:type="dxa"/>
            <w:vAlign w:val="bottom"/>
            <w:gridSpan w:val="4"/>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 Pursuant to Rules 13a-</w:t>
            </w:r>
          </w:p>
        </w:tc>
        <w:tc>
          <w:tcPr>
            <w:tcW w:w="34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14(a) and 15d-14(a) under the Securities Exchange Act of 1934, as</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tcBorders>
              <w:top w:val="single" w:sz="8" w:color="0000FF"/>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FF"/>
              </w:rPr>
              <w:t>and 15d-14(a) under the Securities Exchange Act of 1934, as Adopted</w:t>
            </w:r>
          </w:p>
        </w:tc>
        <w:tc>
          <w:tcPr>
            <w:tcW w:w="40" w:type="dxa"/>
            <w:vAlign w:val="bottom"/>
            <w:gridSpan w:val="2"/>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top w:val="single" w:sz="8" w:color="0000FF"/>
            </w:tcBorders>
            <w:gridSpan w:val="6"/>
          </w:tcPr>
          <w:p>
            <w:pPr>
              <w:spacing w:after="0" w:line="183"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c>
          <w:tcPr>
            <w:tcW w:w="120" w:type="dxa"/>
            <w:vAlign w:val="bottom"/>
            <w:gridSpan w:val="3"/>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20" w:type="dxa"/>
            <w:vAlign w:val="bottom"/>
          </w:tcPr>
          <w:p>
            <w:pPr>
              <w:spacing w:after="0"/>
              <w:rPr>
                <w:sz w:val="24"/>
                <w:szCs w:val="24"/>
                <w:color w:val="auto"/>
              </w:rPr>
            </w:pPr>
          </w:p>
        </w:tc>
        <w:tc>
          <w:tcPr>
            <w:tcW w:w="4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Certification of Principal Executive Officer and Principal Financial and</w:t>
            </w: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FF"/>
                <w:w w:val="99"/>
              </w:rPr>
              <w:t>Accounting Officer Pursuant to 18 U.S.C. Section 1350, as Adopted</w:t>
            </w:r>
          </w:p>
        </w:tc>
        <w:tc>
          <w:tcPr>
            <w:tcW w:w="220" w:type="dxa"/>
            <w:vAlign w:val="bottom"/>
            <w:gridSpan w:val="5"/>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00" w:type="dxa"/>
            <w:vAlign w:val="bottom"/>
            <w:gridSpan w:val="9"/>
          </w:tcPr>
          <w:p>
            <w:pPr>
              <w:spacing w:after="0" w:line="183"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1"/>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10"/>
        </w:trPr>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91"/>
        </w:trPr>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20" w:type="dxa"/>
            <w:vAlign w:val="bottom"/>
          </w:tcPr>
          <w:p>
            <w:pPr>
              <w:jc w:val="center"/>
              <w:ind w:left="137"/>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90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included in exhibit 101)</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52705</wp:posOffset>
            </wp:positionV>
            <wp:extent cx="37973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18" w:lineRule="exact"/>
        <w:rPr>
          <w:sz w:val="20"/>
          <w:szCs w:val="20"/>
          <w:color w:val="auto"/>
        </w:rPr>
      </w:pPr>
    </w:p>
    <w:p>
      <w:pPr>
        <w:ind w:left="1100" w:hanging="1061"/>
        <w:spacing w:after="0"/>
        <w:tabs>
          <w:tab w:leader="none" w:pos="11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Registrant has omitted portions of the exhibit as permitted under Item 601(b)(10) of Regulation S-K.</w:t>
      </w:r>
    </w:p>
    <w:p>
      <w:pPr>
        <w:spacing w:after="0" w:line="61" w:lineRule="exact"/>
        <w:rPr>
          <w:sz w:val="20"/>
          <w:szCs w:val="20"/>
          <w:color w:val="auto"/>
        </w:rPr>
      </w:pPr>
    </w:p>
    <w:p>
      <w:pPr>
        <w:ind w:left="1100" w:hanging="1061"/>
        <w:spacing w:after="0"/>
        <w:tabs>
          <w:tab w:leader="none" w:pos="11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Registrant has omitted certain schedules pursuant to Item 601(a)(5) of Regulation S-K.</w:t>
      </w:r>
    </w:p>
    <w:p>
      <w:pPr>
        <w:spacing w:after="0" w:line="61" w:lineRule="exact"/>
        <w:rPr>
          <w:sz w:val="20"/>
          <w:szCs w:val="20"/>
          <w:color w:val="auto"/>
        </w:rPr>
      </w:pPr>
    </w:p>
    <w:p>
      <w:pPr>
        <w:jc w:val="both"/>
        <w:ind w:left="1100" w:hanging="1061"/>
        <w:spacing w:after="0" w:line="267" w:lineRule="auto"/>
        <w:tabs>
          <w:tab w:leader="none" w:pos="11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The certifications furnished in Exhibits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37" w:lineRule="exact"/>
        <w:rPr>
          <w:sz w:val="20"/>
          <w:szCs w:val="20"/>
          <w:color w:val="auto"/>
        </w:rPr>
      </w:pPr>
    </w:p>
    <w:p>
      <w:pPr>
        <w:ind w:left="20"/>
        <w:spacing w:after="0"/>
        <w:tabs>
          <w:tab w:leader="none" w:pos="4740" w:val="left"/>
          <w:tab w:leader="none" w:pos="702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w:t>
      </w:r>
      <w:r>
        <w:rPr>
          <w:rFonts w:ascii="Times New Roman" w:cs="Times New Roman" w:eastAsia="Times New Roman" w:hAnsi="Times New Roman"/>
          <w:sz w:val="13"/>
          <w:szCs w:val="13"/>
          <w:color w:val="auto"/>
        </w:rPr>
        <w:t>RTHUR</w:t>
      </w:r>
      <w:r>
        <w:rPr>
          <w:rFonts w:ascii="Times New Roman" w:cs="Times New Roman" w:eastAsia="Times New Roman" w:hAnsi="Times New Roman"/>
          <w:sz w:val="17"/>
          <w:szCs w:val="17"/>
          <w:color w:val="auto"/>
        </w:rPr>
        <w:t xml:space="preserve"> T. S</w:t>
      </w:r>
      <w:r>
        <w:rPr>
          <w:rFonts w:ascii="Times New Roman" w:cs="Times New Roman" w:eastAsia="Times New Roman" w:hAnsi="Times New Roman"/>
          <w:sz w:val="13"/>
          <w:szCs w:val="13"/>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34290</wp:posOffset>
            </wp:positionV>
            <wp:extent cx="33089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6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15" w:lineRule="exact"/>
        <w:rPr>
          <w:sz w:val="20"/>
          <w:szCs w:val="20"/>
          <w:color w:val="auto"/>
        </w:rPr>
      </w:pPr>
    </w:p>
    <w:p>
      <w:pPr>
        <w:ind w:left="20"/>
        <w:spacing w:after="0"/>
        <w:tabs>
          <w:tab w:leader="none" w:pos="4740" w:val="left"/>
          <w:tab w:leader="none" w:pos="7020" w:val="left"/>
        </w:tabs>
        <w:rPr>
          <w:sz w:val="20"/>
          <w:szCs w:val="20"/>
          <w:color w:val="auto"/>
        </w:rPr>
      </w:pPr>
      <w:r>
        <w:rPr>
          <w:rFonts w:ascii="Times New Roman" w:cs="Times New Roman" w:eastAsia="Times New Roman" w:hAnsi="Times New Roman"/>
          <w:sz w:val="18"/>
          <w:szCs w:val="18"/>
          <w:color w:val="auto"/>
        </w:rPr>
        <w:t>Date: April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34290</wp:posOffset>
            </wp:positionV>
            <wp:extent cx="33089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Hans van Houte</w:t>
      </w:r>
    </w:p>
    <w:p>
      <w:pPr>
        <w:spacing w:after="0" w:line="6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880"/>
          </w:cols>
          <w:pgMar w:left="320" w:top="121" w:right="69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 HAS BEEN OMITTED BECAUSE IT IS NOT MATERIAL AND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SUBLEASE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Janssen Research &amp; Development, LLC, a New Jersey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Nurix Therapeutics, Inc., a Delaware corporation</w:t>
      </w:r>
    </w:p>
    <w:p>
      <w:pPr>
        <w:sectPr>
          <w:pgSz w:w="11900" w:h="16838" w:orient="portrait"/>
          <w:cols w:equalWidth="0" w:num="1">
            <w:col w:w="11160"/>
          </w:cols>
          <w:pgMar w:left="400" w:top="1413"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2"/>
          <w:szCs w:val="22"/>
          <w:b w:val="1"/>
          <w:bCs w:val="1"/>
          <w:color w:val="auto"/>
        </w:rPr>
        <w:t>SUBLEASE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SUBLEASE (“</w:t>
      </w:r>
      <w:r>
        <w:rPr>
          <w:rFonts w:ascii="Times New Roman" w:cs="Times New Roman" w:eastAsia="Times New Roman" w:hAnsi="Times New Roman"/>
          <w:sz w:val="22"/>
          <w:szCs w:val="22"/>
          <w:b w:val="1"/>
          <w:bCs w:val="1"/>
          <w:color w:val="auto"/>
        </w:rPr>
        <w:t>Sublease</w:t>
      </w:r>
      <w:r>
        <w:rPr>
          <w:rFonts w:ascii="Times New Roman" w:cs="Times New Roman" w:eastAsia="Times New Roman" w:hAnsi="Times New Roman"/>
          <w:sz w:val="22"/>
          <w:szCs w:val="22"/>
          <w:color w:val="auto"/>
        </w:rPr>
        <w:t>”) dated February 21,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made by and between Janssen Research &amp; Development, LLC, a New Jersey limited liability company, having an address at 410 George Stret, New Brunswick, New Jersey 08901 (“</w:t>
      </w:r>
      <w:r>
        <w:rPr>
          <w:rFonts w:ascii="Times New Roman" w:cs="Times New Roman" w:eastAsia="Times New Roman" w:hAnsi="Times New Roman"/>
          <w:sz w:val="22"/>
          <w:szCs w:val="22"/>
          <w:b w:val="1"/>
          <w:bCs w:val="1"/>
          <w:color w:val="auto"/>
        </w:rPr>
        <w:t>Sublandlord</w:t>
      </w:r>
      <w:r>
        <w:rPr>
          <w:rFonts w:ascii="Times New Roman" w:cs="Times New Roman" w:eastAsia="Times New Roman" w:hAnsi="Times New Roman"/>
          <w:sz w:val="22"/>
          <w:szCs w:val="22"/>
          <w:color w:val="auto"/>
        </w:rPr>
        <w:t>”) and Nurix Therapeutics, Inc., a Delaware corporation, having an address at 1700 Owens Street, Suite 205, San Francisco, California 94158 (“</w:t>
      </w:r>
      <w:r>
        <w:rPr>
          <w:rFonts w:ascii="Times New Roman" w:cs="Times New Roman" w:eastAsia="Times New Roman" w:hAnsi="Times New Roman"/>
          <w:sz w:val="22"/>
          <w:szCs w:val="22"/>
          <w:b w:val="1"/>
          <w:bCs w:val="1"/>
          <w:color w:val="auto"/>
        </w:rPr>
        <w:t>Subtenant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16" w:lineRule="exact"/>
        <w:rPr>
          <w:sz w:val="20"/>
          <w:szCs w:val="20"/>
          <w:color w:val="auto"/>
        </w:rPr>
      </w:pPr>
    </w:p>
    <w:p>
      <w:pPr>
        <w:jc w:val="both"/>
        <w:ind w:left="980" w:hanging="324"/>
        <w:spacing w:after="0" w:line="254" w:lineRule="auto"/>
        <w:tabs>
          <w:tab w:leader="none" w:pos="97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HCP LS Brisbane, LLC, as landlord (“</w:t>
      </w:r>
      <w:r>
        <w:rPr>
          <w:rFonts w:ascii="Times New Roman" w:cs="Times New Roman" w:eastAsia="Times New Roman" w:hAnsi="Times New Roman"/>
          <w:sz w:val="22"/>
          <w:szCs w:val="22"/>
          <w:b w:val="1"/>
          <w:bCs w:val="1"/>
          <w:color w:val="auto"/>
        </w:rPr>
        <w:t>Master Landlord</w:t>
      </w:r>
      <w:r>
        <w:rPr>
          <w:rFonts w:ascii="Times New Roman" w:cs="Times New Roman" w:eastAsia="Times New Roman" w:hAnsi="Times New Roman"/>
          <w:sz w:val="22"/>
          <w:szCs w:val="22"/>
          <w:color w:val="auto"/>
        </w:rPr>
        <w:t>”) and Sublandlord (as assigned by Janssen Biopharma, Inc.) as tenant, entered into that certain Lease dated December 12, 2019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 as amended by a First Amendment of Office Lease dated September 12, 2020 (the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and an Assignment dated December 17, 2021 (the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Original 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Assignment</w:t>
      </w:r>
      <w:r>
        <w:rPr>
          <w:rFonts w:ascii="Times New Roman" w:cs="Times New Roman" w:eastAsia="Times New Roman" w:hAnsi="Times New Roman"/>
          <w:sz w:val="22"/>
          <w:szCs w:val="22"/>
          <w:color w:val="auto"/>
        </w:rPr>
        <w:t xml:space="preserve"> are collectively referred to herein as the “</w:t>
      </w:r>
      <w:r>
        <w:rPr>
          <w:rFonts w:ascii="Times New Roman" w:cs="Times New Roman" w:eastAsia="Times New Roman" w:hAnsi="Times New Roman"/>
          <w:sz w:val="22"/>
          <w:szCs w:val="22"/>
          <w:b w:val="1"/>
          <w:bCs w:val="1"/>
          <w:color w:val="auto"/>
        </w:rPr>
        <w:t>Master Lease</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left="980" w:hanging="324"/>
        <w:spacing w:after="0" w:line="226" w:lineRule="auto"/>
        <w:tabs>
          <w:tab w:leader="none" w:pos="97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Master Lease, Sublandlord leases from Master Landlord approximately 195,888 rentable square feet (“</w:t>
      </w:r>
      <w:r>
        <w:rPr>
          <w:rFonts w:ascii="Times New Roman" w:cs="Times New Roman" w:eastAsia="Times New Roman" w:hAnsi="Times New Roman"/>
          <w:sz w:val="22"/>
          <w:szCs w:val="22"/>
          <w:b w:val="1"/>
          <w:bCs w:val="1"/>
          <w:color w:val="auto"/>
        </w:rPr>
        <w:t>RSF</w:t>
      </w:r>
      <w:r>
        <w:rPr>
          <w:rFonts w:ascii="Times New Roman" w:cs="Times New Roman" w:eastAsia="Times New Roman" w:hAnsi="Times New Roman"/>
          <w:sz w:val="22"/>
          <w:szCs w:val="22"/>
          <w:color w:val="auto"/>
        </w:rPr>
        <w:t>”) of office space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comprised of (i) approximately 159,959 RSF on the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and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of Building B, and (ii) approximately 35,929 RSF on the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of Building C, all as further set forth in Exhibit A to the Master Lease. The Premises are located in the project currently known as “The Shore at Sierra Point”, and containing approximately 625,000 square feet, and shown on Exhibit “A-1” in the Master Lease.</w:t>
      </w:r>
    </w:p>
    <w:p>
      <w:pPr>
        <w:spacing w:after="0" w:line="190" w:lineRule="exact"/>
        <w:rPr>
          <w:rFonts w:ascii="Times New Roman" w:cs="Times New Roman" w:eastAsia="Times New Roman" w:hAnsi="Times New Roman"/>
          <w:sz w:val="22"/>
          <w:szCs w:val="22"/>
          <w:color w:val="auto"/>
        </w:rPr>
      </w:pPr>
    </w:p>
    <w:p>
      <w:pPr>
        <w:jc w:val="both"/>
        <w:ind w:left="980" w:hanging="324"/>
        <w:spacing w:after="0" w:line="256" w:lineRule="auto"/>
        <w:tabs>
          <w:tab w:leader="none" w:pos="97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Subtenant desires to sublease from Sublandlord a portion of the Premises consisting of 159,959 rentable square feet consisting of the entire four-story building at 1600 Sierra Point Parkway, Brisbane, CA as depicted in </w:t>
      </w:r>
      <w:r>
        <w:rPr>
          <w:rFonts w:ascii="Times New Roman" w:cs="Times New Roman" w:eastAsia="Times New Roman" w:hAnsi="Times New Roman"/>
          <w:sz w:val="22"/>
          <w:szCs w:val="22"/>
          <w:b w:val="1"/>
          <w:bCs w:val="1"/>
          <w:color w:val="auto"/>
        </w:rPr>
        <w:t>Exhibit A</w:t>
      </w:r>
      <w:r>
        <w:rPr>
          <w:rFonts w:ascii="Times New Roman" w:cs="Times New Roman" w:eastAsia="Times New Roman" w:hAnsi="Times New Roman"/>
          <w:sz w:val="22"/>
          <w:szCs w:val="22"/>
          <w:color w:val="auto"/>
        </w:rPr>
        <w:t>, together with rights in and to the non-exclusive use of certain common areas, if any, held by Sublandlord pursuant to the Master Lease (collectively, the “</w:t>
      </w:r>
      <w:r>
        <w:rPr>
          <w:rFonts w:ascii="Times New Roman" w:cs="Times New Roman" w:eastAsia="Times New Roman" w:hAnsi="Times New Roman"/>
          <w:sz w:val="22"/>
          <w:szCs w:val="22"/>
          <w:b w:val="1"/>
          <w:bCs w:val="1"/>
          <w:color w:val="auto"/>
        </w:rPr>
        <w:t>Subleased Premises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980" w:hanging="324"/>
        <w:spacing w:after="0" w:line="271" w:lineRule="auto"/>
        <w:tabs>
          <w:tab w:leader="none" w:pos="97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Sublandlord desires to sublease to Subtenant the Subleased Premises, subject to the terms of this Sublease and the Master Lease.</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for and in consideration of the Subleased Premises, the rents reserved and the covenants and agreements herein, the receipt and sufficiency of which are hereby acknowledged, the parties hereby agree as follows:</w:t>
      </w:r>
    </w:p>
    <w:p>
      <w:pPr>
        <w:spacing w:after="0" w:line="167"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Capitalized Terms</w:t>
      </w:r>
      <w:r>
        <w:rPr>
          <w:rFonts w:ascii="Times New Roman" w:cs="Times New Roman" w:eastAsia="Times New Roman" w:hAnsi="Times New Roman"/>
          <w:sz w:val="22"/>
          <w:szCs w:val="22"/>
          <w:color w:val="auto"/>
        </w:rPr>
        <w:t>. Any capitalized terms not otherwise defined herein shall have the meaning set forth in the</w:t>
      </w:r>
    </w:p>
    <w:p>
      <w:pPr>
        <w:spacing w:after="0" w:line="31"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Master Lease.</w:t>
      </w:r>
    </w:p>
    <w:p>
      <w:pPr>
        <w:spacing w:after="0" w:line="191"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Demise and Sublease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04" w:name="page105"/>
    <w:bookmarkEnd w:id="104"/>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color w:val="000000"/>
        </w:rPr>
        <w:t>Sublandlord hereby subleases the Subleased Premises to Subtenant and Subtenant hereby accepts from</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Sublandlord the Subleased Premises, subject to the terms and conditions of this Sublease and the Master Lease Terms (hereafter defined). Master Landlord’s consent to this Sublease per Section 14.2 of the Master Lease is attached hereto as </w:t>
      </w:r>
      <w:r>
        <w:rPr>
          <w:rFonts w:ascii="Times New Roman" w:cs="Times New Roman" w:eastAsia="Times New Roman" w:hAnsi="Times New Roman"/>
          <w:sz w:val="22"/>
          <w:szCs w:val="22"/>
          <w:b w:val="1"/>
          <w:bCs w:val="1"/>
          <w:color w:val="000000"/>
        </w:rPr>
        <w:t>Exhibit B</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Master Landlord’s Consent</w:t>
      </w:r>
      <w:r>
        <w:rPr>
          <w:rFonts w:ascii="Times New Roman" w:cs="Times New Roman" w:eastAsia="Times New Roman" w:hAnsi="Times New Roman"/>
          <w:sz w:val="22"/>
          <w:szCs w:val="22"/>
          <w:color w:val="000000"/>
        </w:rPr>
        <w:t>”).</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color w:val="000000"/>
        </w:rPr>
        <w:t>Subtenant will use the Subleased Premises solely for the purpose of general office, research and development,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engineering, laboratory, vivarium, storage and/or warehouse uses, including, but not limited to, administrative offices and other lawful uses reasonably related to or incidental to such specified uses, all consistent with first class life sciences projects in the Brisbane, California area ("</w:t>
      </w:r>
      <w:r>
        <w:rPr>
          <w:rFonts w:ascii="Times New Roman" w:cs="Times New Roman" w:eastAsia="Times New Roman" w:hAnsi="Times New Roman"/>
          <w:sz w:val="22"/>
          <w:szCs w:val="22"/>
          <w:b w:val="1"/>
          <w:bCs w:val="1"/>
          <w:color w:val="000000"/>
        </w:rPr>
        <w:t>First Class Life Sciences Projects</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b w:val="1"/>
          <w:bCs w:val="1"/>
          <w:color w:val="000000"/>
        </w:rPr>
        <w:t>Permitted Use</w:t>
      </w:r>
      <w:r>
        <w:rPr>
          <w:rFonts w:ascii="Times New Roman" w:cs="Times New Roman" w:eastAsia="Times New Roman" w:hAnsi="Times New Roman"/>
          <w:sz w:val="22"/>
          <w:szCs w:val="22"/>
          <w:color w:val="000000"/>
        </w:rPr>
        <w:t>") and for no other purpose. Subtenant covenants and agrees to use the Subleased Premises in a lawful manner and in compliance with all applicable laws, rules or regulations of any applicable governmental body, the Master Lease Terms, and all rules and regulations referenced in Article 5 of the Master Lease and which may be adopted by Sublandlord or Master Landlord from time to time.</w:t>
      </w:r>
    </w:p>
    <w:p>
      <w:pPr>
        <w:spacing w:after="0" w:line="20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010000"/>
        </w:rPr>
        <w:t xml:space="preserve">2.3 </w:t>
      </w:r>
      <w:r>
        <w:rPr>
          <w:rFonts w:ascii="Times New Roman" w:cs="Times New Roman" w:eastAsia="Times New Roman" w:hAnsi="Times New Roman"/>
          <w:sz w:val="22"/>
          <w:szCs w:val="22"/>
          <w:color w:val="000000"/>
        </w:rPr>
        <w:t>Subtenant shall have the non-exclusive right to use, in common with Sublandlord and other tenants and their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respective employees, agents and invitees, and subject to the rules and regulations referenced in Article 5 of the Master Lease, the Common Areas as defined in and pursuant to Section 1.1.3 of the Master Lease.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2.4 </w:t>
      </w:r>
      <w:r>
        <w:rPr>
          <w:rFonts w:ascii="Times New Roman" w:cs="Times New Roman" w:eastAsia="Times New Roman" w:hAnsi="Times New Roman"/>
          <w:sz w:val="22"/>
          <w:szCs w:val="22"/>
          <w:color w:val="000000"/>
        </w:rPr>
        <w:t>Subtenant acknowledges that access to the Premises is controlled by a card access system that is operated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Master Landlord. In this regard, Subtenant shall be obligated to procure access cards for each of its employees that require access to the Premises, at Subtenant’s cost. Subtenant will be responsible for coordinating with Master Landlord, to cause such access cards to be programmed by Master Landlord, for access to the Premises. Subtenant agrees to provide Master Landlord identifying information on each employee that is given an access card.</w:t>
      </w:r>
    </w:p>
    <w:p>
      <w:pPr>
        <w:spacing w:after="0" w:line="19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010000"/>
        </w:rPr>
        <w:t xml:space="preserve">2.5 </w:t>
      </w:r>
      <w:r>
        <w:rPr>
          <w:rFonts w:ascii="Times New Roman" w:cs="Times New Roman" w:eastAsia="Times New Roman" w:hAnsi="Times New Roman"/>
          <w:sz w:val="22"/>
          <w:szCs w:val="22"/>
          <w:color w:val="000000"/>
        </w:rPr>
        <w:t>During the Sublease Term, Subtenant shall have the right, at no cost to Subtenant, to use a pro rata share (based 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RSF of the Subleased Premises) of the parking spaces allocated to Sublandlord in accordance with Section 9 of the Summary and Section 28 of the Master Lease. Subtenant and Sublandlord acknowledge and agree that Subtenant shall be allocated no less than 372 unreserved parking spaces and 12 reserved parking spaces with respect to the Subleased Premises (which shall be increased with any expansion of the Subleased Premises). Subtenant shall use such parking spaces during the Sublease Term in the same manner as permitted to Sublandlord under the Master Lease, provided, that, there shall be no additional charge or fee payable by Subtenant with respect to such parking spaces and Subtenant shall have no maintenance and/or repair obligations with respect thereto (except to the extent included in Operating Expenses). Subtenant shall cooperate in seeing that Subtenant's employees, agents, contractors, invitees and visitors comply with such parking rules and regulations applicable to Subtenant pursuant to this Sublease.</w:t>
      </w:r>
    </w:p>
    <w:p>
      <w:pPr>
        <w:spacing w:after="0" w:line="19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2.6 </w:t>
      </w:r>
      <w:r>
        <w:rPr>
          <w:rFonts w:ascii="Times New Roman" w:cs="Times New Roman" w:eastAsia="Times New Roman" w:hAnsi="Times New Roman"/>
          <w:sz w:val="22"/>
          <w:szCs w:val="22"/>
          <w:color w:val="000000"/>
        </w:rPr>
        <w:t>Subtenant may install its signs in and on the Subleased Premises (including the exterior of Building B) including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building top, monument, and building entrance signage, as well as any internal directional and lobby identification signage and directory. Any signage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installed by Subtenant shall be (i) subject to Sublandlord’s and Master Landlord’s prior written consent; (ii) in accordance with the terms and conditions of the Master Lease Terms; and (iii) at Subtenant’s sole cost and expense. Sublandlord shall remove its own signage within and at the Subleased Premises at Sublandlord’s sole cost and expense prior to the Sublease Commencement Date. Subtenant, at its sole cost and expense, shall remove all of Subtenant’s signage prior to the expiration of the Sublease Term.</w:t>
      </w:r>
    </w:p>
    <w:p>
      <w:pPr>
        <w:spacing w:after="0" w:line="16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color w:val="000000"/>
        </w:rPr>
        <w:t>Subtenant shall have the right to access and use the rooftop of the Subleased Premises to the same extent that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right is granted to Sublandlord under the Master Lease, in compliance with the terms of Section 5.5 of the Master Lease, including, without limitation, to perform customary maintenance and repairs and to install Subtenant’s Telecommunication Equipment on the roof.</w:t>
      </w:r>
    </w:p>
    <w:p>
      <w:pPr>
        <w:spacing w:after="0" w:line="18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010000"/>
        </w:rPr>
        <w:t xml:space="preserve">2.8 </w:t>
      </w:r>
      <w:r>
        <w:rPr>
          <w:rFonts w:ascii="Times New Roman" w:cs="Times New Roman" w:eastAsia="Times New Roman" w:hAnsi="Times New Roman"/>
          <w:sz w:val="22"/>
          <w:szCs w:val="22"/>
          <w:color w:val="000000"/>
        </w:rPr>
        <w:t>On, or before, the Sublease Commencement Date, Sublandlord shall construct a demising wall on the 4</w:t>
      </w:r>
      <w:r>
        <w:rPr>
          <w:rFonts w:ascii="Times New Roman" w:cs="Times New Roman" w:eastAsia="Times New Roman" w:hAnsi="Times New Roman"/>
          <w:sz w:val="28"/>
          <w:szCs w:val="28"/>
          <w:color w:val="000000"/>
          <w:vertAlign w:val="superscript"/>
        </w:rPr>
        <w:t>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Floor, 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Sublandlord’s sole cost. Such demising wall shall divide the Subleased Premises, from the balance of the Premise leased by Sublandlord from Master Landlord.</w:t>
      </w:r>
    </w:p>
    <w:p>
      <w:pPr>
        <w:spacing w:after="0" w:line="187"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Obligations under Master Lease</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color w:val="000000"/>
        </w:rPr>
        <w:t>Subtenant acknowledges that it has received and reviewed the terms, covenants and conditions of the redacted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Master Lease which is attached hereto as </w:t>
      </w:r>
      <w:r>
        <w:rPr>
          <w:rFonts w:ascii="Times New Roman" w:cs="Times New Roman" w:eastAsia="Times New Roman" w:hAnsi="Times New Roman"/>
          <w:sz w:val="22"/>
          <w:szCs w:val="22"/>
          <w:b w:val="1"/>
          <w:bCs w:val="1"/>
          <w:u w:val="single" w:color="auto"/>
          <w:color w:val="000000"/>
        </w:rPr>
        <w:t>Exhibit C</w:t>
      </w:r>
      <w:r>
        <w:rPr>
          <w:rFonts w:ascii="Times New Roman" w:cs="Times New Roman" w:eastAsia="Times New Roman" w:hAnsi="Times New Roman"/>
          <w:sz w:val="22"/>
          <w:szCs w:val="22"/>
          <w:color w:val="000000"/>
        </w:rPr>
        <w:t>. All non-redacted terms, covenants and conditions of the Master Lease are incorporated herein and made a part hereof as if fully set forth herein with respect to the Subleased Premises and any related use of the Common Areas (all such non-redacted terms, collectively, the “</w:t>
      </w:r>
      <w:r>
        <w:rPr>
          <w:rFonts w:ascii="Times New Roman" w:cs="Times New Roman" w:eastAsia="Times New Roman" w:hAnsi="Times New Roman"/>
          <w:sz w:val="22"/>
          <w:szCs w:val="22"/>
          <w:b w:val="1"/>
          <w:bCs w:val="1"/>
          <w:color w:val="000000"/>
        </w:rPr>
        <w:t>Master Lease Terms</w:t>
      </w:r>
      <w:r>
        <w:rPr>
          <w:rFonts w:ascii="Times New Roman" w:cs="Times New Roman" w:eastAsia="Times New Roman" w:hAnsi="Times New Roman"/>
          <w:sz w:val="22"/>
          <w:szCs w:val="22"/>
          <w:color w:val="000000"/>
        </w:rPr>
        <w:t>”). Subject to the terms and conditions of this Sublease, Subtenant hereby agrees that this Sublease is subject to all of the Master Lease Terms and, in this regard, Subtenant hereby assumes all of such Master Lease Terms to be performed by Sublandlord, as tenant, contained in the Master Lease with respect to the Subleased Premises, except as such Master Lease Terms are specifically modified by this Sublease. In the event of any conflicts between the terms of the Sublease and the Master Lease Terms, the terms of this Sublease shall control. Except as set forth herein, the terms and conditions of this Sublease shall include all of the Master Lease Terms. All of such Master Lease Terms are incorporated into this Sublease as if fully set forth herein, except that each reference in such incorporated sections to “Lease”, “Premises”, “Landlord” and “Tenant” or like terms shall be deemed a reference to “Sublease”, “Subleased Premises”, “Sublandlord” and “Subtenant”, respectively. Sublandlord shall have the right to direct Subtenant to satisfy certain obligations of the Master Lease, directly to Master Landlord. Notwithstanding anything to the contrary contained herein, Subtenant shall have no obligation to comply with any of the redacted terms, covenants or conditions contained in the Master Lease.</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color w:val="000000"/>
        </w:rPr>
        <w:t>This Sublease is expressly made subject to the Master Lease Terms. Subtenant shall not have any rights greater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than the Sublandlord’s rights under the Master Lease relative to the Subleased Premises.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color w:val="000000"/>
        </w:rPr>
        <w:t>Notwithstanding anything to the contrary in this Sublease, Sections 1.3, 1.4, 1.5, 1.6, and 1.7 of the Master Lease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Sections 4, 5, 6, 7 and 8 of the First Amendment shall </w:t>
      </w:r>
      <w:r>
        <w:rPr>
          <w:rFonts w:ascii="Times New Roman" w:cs="Times New Roman" w:eastAsia="Times New Roman" w:hAnsi="Times New Roman"/>
          <w:sz w:val="22"/>
          <w:szCs w:val="22"/>
          <w:u w:val="single" w:color="auto"/>
          <w:color w:val="000000"/>
        </w:rPr>
        <w:t>not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be incorporated into this Sublease and the rights of the Tenant under such sections of the Master Lease shall not inure to the benefit of Subtenant herein.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color w:val="000000"/>
        </w:rPr>
        <w:t>Subtenant shall not take any action, or fail to take any action, in connection with the Subleased Premises, which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would result in Sublandlord being in violation of any of the provisions of the Master Lease; provided, however, that as provided in Section 3.1 above, Subtenant shall have no obligation to comply with any of the redacted terms, covenants or conditions contained in the Master Lease.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color w:val="000000"/>
        </w:rPr>
        <w:t>Except with respect to the ROFO (as defined in Section 20 hereof), Subtenant shall have no right to exercise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option to extend, option to expand, right of first offer, right of first negotiation, right of first refusal or any other similar right, if any, granted to Sublandlord under the Master Lease.</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color w:val="000000"/>
        </w:rPr>
        <w:t>Sublandlord shall have no obligation to perform any obligations of Master Landlord under the Master Lease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Subtenant expressly acknowledges and agrees that under no circumstances shall Sublandlord be responsible for, or liable to, Subtenant for any default, failure or delay on the part of the Master Landlord in the performance or observance of any of the Master Lease Terms.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color w:val="000000"/>
        </w:rPr>
        <w:t>Without limiting the generality of Subtenant’s obligation to comply with all of the Master Lease Terms,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Subtenant hereby confirms that it is responsible for the Environmental Assessment (as defined in the Master Lease) set forth in Section 15.3 of the Master Lease, at its sole cost. In addition, Subtenant shall deliver to Master Landlord an environmental questionnaire in the form of Exhibit E to the Master Lease which questionnaire may, to the extent permitted by the Master Lease, be qualified to Subtenant’s knowledge. Notwithstanding anything to the contrary contained in this Sublease, Sublandlord remains liable for any remediation or Clean-up required under any Environmental Laws from the Environmental Assessment due to activities that occurred prior to the Sublease Commencement Date.</w:t>
      </w:r>
    </w:p>
    <w:p>
      <w:pPr>
        <w:spacing w:after="0" w:line="17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010000"/>
        </w:rPr>
        <w:t xml:space="preserve">3.8 </w:t>
      </w:r>
      <w:r>
        <w:rPr>
          <w:rFonts w:ascii="Times New Roman" w:cs="Times New Roman" w:eastAsia="Times New Roman" w:hAnsi="Times New Roman"/>
          <w:sz w:val="21"/>
          <w:szCs w:val="21"/>
          <w:color w:val="000000"/>
        </w:rPr>
        <w:t>Without limiting the generality of Subtenant’s obligation to comply with all of the Master Lease Terms, Subtenant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hereby confirms its obligations under Sections 5.3.1.5 and 5.3.2 of the Master Lease, relative to its compliance with all applicable laws, including Environmental Laws. Such evidence of compliance shall be provided by virtue of a narrative as contemplated by Section 5.3.1.5 of the Master Lease, together with reasonable back up information evidencing such compliance, together with such other matters as by requested by each of Sublandlord or Landlord (</w:t>
      </w:r>
      <w:r>
        <w:rPr>
          <w:rFonts w:ascii="Times New Roman" w:cs="Times New Roman" w:eastAsia="Times New Roman" w:hAnsi="Times New Roman"/>
          <w:sz w:val="21"/>
          <w:szCs w:val="21"/>
          <w:b w:val="1"/>
          <w:bCs w:val="1"/>
          <w:color w:val="000000"/>
        </w:rPr>
        <w:t>“Compliance Report</w:t>
      </w:r>
      <w:r>
        <w:rPr>
          <w:rFonts w:ascii="Times New Roman" w:cs="Times New Roman" w:eastAsia="Times New Roman" w:hAnsi="Times New Roman"/>
          <w:sz w:val="21"/>
          <w:szCs w:val="21"/>
          <w:color w:val="000000"/>
        </w:rPr>
        <w:t>”). Such Compliance Report shall be provided by Subtenant every six (6) months during the Sublease Term, to both Sublandlord and Master Landlord.</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color w:val="000000"/>
        </w:rPr>
        <w:t>Without limiting the generality of Subtenant’s obligation to comply with all of the Master Lease Terms, Subtenant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acknowledges that the building is equipped with a landfill gas mitigation system (</w:t>
      </w:r>
      <w:r>
        <w:rPr>
          <w:rFonts w:ascii="Times New Roman" w:cs="Times New Roman" w:eastAsia="Times New Roman" w:hAnsi="Times New Roman"/>
          <w:sz w:val="22"/>
          <w:szCs w:val="22"/>
          <w:b w:val="1"/>
          <w:bCs w:val="1"/>
          <w:color w:val="000000"/>
        </w:rPr>
        <w:t>“LGMS</w:t>
      </w:r>
      <w:r>
        <w:rPr>
          <w:rFonts w:ascii="Times New Roman" w:cs="Times New Roman" w:eastAsia="Times New Roman" w:hAnsi="Times New Roman"/>
          <w:sz w:val="22"/>
          <w:szCs w:val="22"/>
          <w:color w:val="000000"/>
        </w:rPr>
        <w:t>”) as further described in Schedule 4 of Exhibit B of the Master Lease. Subtenant must comply with all requirements set forth in Exhibit “B” of the Master Lease, and any other legal, operational, maintenance or financial requirements that may be imposed or assessed by applicable law, consent decrees, Master Landlord, San Mateo County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Environmental Health or any other governmental agency with regulatory authority or jurisdiction over the LGMS, or the landfill underlying the Subleased Premises.</w:t>
      </w:r>
    </w:p>
    <w:p>
      <w:pPr>
        <w:spacing w:after="0" w:line="154" w:lineRule="exact"/>
        <w:rPr>
          <w:sz w:val="20"/>
          <w:szCs w:val="20"/>
          <w:color w:val="auto"/>
        </w:rPr>
      </w:pPr>
    </w:p>
    <w:p>
      <w:pPr>
        <w:ind w:left="660" w:right="3680" w:hanging="4"/>
        <w:spacing w:after="0" w:line="454" w:lineRule="auto"/>
        <w:tabs>
          <w:tab w:leader="none" w:pos="1308" w:val="left"/>
        </w:tabs>
        <w:numPr>
          <w:ilvl w:val="0"/>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Effective Date; Commencement Date; Sublease Term; Early Access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color w:val="000000"/>
        </w:rPr>
        <w:t>This Sublease shall become effective on the Effective Date.</w:t>
      </w:r>
    </w:p>
    <w:p>
      <w:pPr>
        <w:spacing w:after="0" w:line="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4.2 </w:t>
      </w:r>
      <w:r>
        <w:rPr>
          <w:rFonts w:ascii="Times New Roman" w:cs="Times New Roman" w:eastAsia="Times New Roman" w:hAnsi="Times New Roman"/>
          <w:sz w:val="22"/>
          <w:szCs w:val="22"/>
          <w:color w:val="000000"/>
        </w:rPr>
        <w:t>The Sublease Term shall commence on September 1, 2025 (the “</w:t>
      </w:r>
      <w:r>
        <w:rPr>
          <w:rFonts w:ascii="Times New Roman" w:cs="Times New Roman" w:eastAsia="Times New Roman" w:hAnsi="Times New Roman"/>
          <w:sz w:val="22"/>
          <w:szCs w:val="22"/>
          <w:b w:val="1"/>
          <w:bCs w:val="1"/>
          <w:color w:val="000000"/>
        </w:rPr>
        <w:t>Sublease Commencement Date</w:t>
      </w:r>
      <w:r>
        <w:rPr>
          <w:rFonts w:ascii="Times New Roman" w:cs="Times New Roman" w:eastAsia="Times New Roman" w:hAnsi="Times New Roman"/>
          <w:sz w:val="22"/>
          <w:szCs w:val="22"/>
          <w:color w:val="000000"/>
        </w:rPr>
        <w:t>”) and shall end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on September 30, 2031 (the </w:t>
      </w:r>
      <w:r>
        <w:rPr>
          <w:rFonts w:ascii="Times New Roman" w:cs="Times New Roman" w:eastAsia="Times New Roman" w:hAnsi="Times New Roman"/>
          <w:sz w:val="22"/>
          <w:szCs w:val="22"/>
          <w:b w:val="1"/>
          <w:bCs w:val="1"/>
          <w:color w:val="000000"/>
        </w:rPr>
        <w:t>“Sublease Term</w:t>
      </w:r>
      <w:r>
        <w:rPr>
          <w:rFonts w:ascii="Times New Roman" w:cs="Times New Roman" w:eastAsia="Times New Roman" w:hAnsi="Times New Roman"/>
          <w:sz w:val="22"/>
          <w:szCs w:val="22"/>
          <w:color w:val="000000"/>
        </w:rPr>
        <w:t>”), unless sooner terminated as provided in the Master Lease or this Sublease. Notwithstanding the foregoing, if prior to the expiration of the Sublease Term, Master Landlord and Subtenant have entered into a direct lease between them for the Subleased Premises, to be effective as of January 1, 2032, then Subtenant shall have the option to deliver written notice to Subtenant on or prior to September 30, 2031, extending the Sublease Term to December 31, 2031. Under no circumstances shall this Sublease extend beyond the end of the term of the Master Lease, including any renewals or extensions exercised by Sublandlord (in its sole discretion) or earlier termination of the Master Lease as provided therein. The Master Lease is currently set to expire on December 31, 2031. In the event the Master Lease is extended, this Sublease may be extended with the express prior written consent of Subtenant through September 30, 2036 (“</w:t>
      </w:r>
      <w:r>
        <w:rPr>
          <w:rFonts w:ascii="Times New Roman" w:cs="Times New Roman" w:eastAsia="Times New Roman" w:hAnsi="Times New Roman"/>
          <w:sz w:val="22"/>
          <w:szCs w:val="22"/>
          <w:b w:val="1"/>
          <w:bCs w:val="1"/>
          <w:color w:val="000000"/>
        </w:rPr>
        <w:t>Extended Sublease Term</w:t>
      </w:r>
      <w:r>
        <w:rPr>
          <w:rFonts w:ascii="Times New Roman" w:cs="Times New Roman" w:eastAsia="Times New Roman" w:hAnsi="Times New Roman"/>
          <w:sz w:val="22"/>
          <w:szCs w:val="22"/>
          <w:color w:val="000000"/>
        </w:rPr>
        <w:t>”) and no further.</w:t>
      </w:r>
    </w:p>
    <w:p>
      <w:pPr>
        <w:spacing w:after="0" w:line="19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b w:val="1"/>
          <w:bCs w:val="1"/>
          <w:color w:val="000000"/>
        </w:rPr>
        <w:t>Early Access</w:t>
      </w:r>
      <w:r>
        <w:rPr>
          <w:rFonts w:ascii="Times New Roman" w:cs="Times New Roman" w:eastAsia="Times New Roman" w:hAnsi="Times New Roman"/>
          <w:sz w:val="22"/>
          <w:szCs w:val="22"/>
          <w:color w:val="000000"/>
        </w:rPr>
        <w:t>. No later than thirty (30) days following the Effective Date, Subtenant shall be provided access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Subleased Premises to construct its improvements (including, without limitation, the Subtenant Improvements (defined below)) and its furniture, fixtures, equipment and telecommunications cabling and wiring, and otherwise for purposes of preparing the Subleased Premises subject to the terms and conditions of this Sublease. Subtenant shall not be obligated to pay Base Rent or Additional Rent until the Sublease Commencement Date. If Sublandlord fails to deliver such early access to Subtenant within the thirty (30) day period set forth above, this Sublease may be terminated by Subtenant by written notice to Sublandlord, and if so terminated by Subtenant: (a) the Security Deposit shall be returned to Subtenant, and (b) neither Sublandlord nor Subtenant shall have any further rights, duties or obligations under this Sublease.</w:t>
      </w:r>
    </w:p>
    <w:p>
      <w:pPr>
        <w:spacing w:after="0" w:line="182"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Base Rent; Additional Rent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b w:val="1"/>
          <w:bCs w:val="1"/>
          <w:color w:val="000000"/>
        </w:rPr>
        <w:t>Base Rent</w:t>
      </w:r>
      <w:r>
        <w:rPr>
          <w:rFonts w:ascii="Times New Roman" w:cs="Times New Roman" w:eastAsia="Times New Roman" w:hAnsi="Times New Roman"/>
          <w:sz w:val="22"/>
          <w:szCs w:val="22"/>
          <w:color w:val="000000"/>
        </w:rPr>
        <w:t>. Upon the Sublease Commencement Date and monthly thereafter, without any prior demand therefor,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Subtenant agrees to pay to Sublandlord on or before the first (1st) day of each calendar month by ACH or wire transfer pursuant to written wire instructions provided to Subtenant which may be periodically updated by Sublandlord upon written notice to Subtenant, base rent for the Subleased Premises (the “</w:t>
      </w:r>
      <w:r>
        <w:rPr>
          <w:rFonts w:ascii="Times New Roman" w:cs="Times New Roman" w:eastAsia="Times New Roman" w:hAnsi="Times New Roman"/>
          <w:sz w:val="22"/>
          <w:szCs w:val="22"/>
          <w:b w:val="1"/>
          <w:bCs w:val="1"/>
          <w:color w:val="000000"/>
        </w:rPr>
        <w:t>Base Rent</w:t>
      </w:r>
      <w:r>
        <w:rPr>
          <w:rFonts w:ascii="Times New Roman" w:cs="Times New Roman" w:eastAsia="Times New Roman" w:hAnsi="Times New Roman"/>
          <w:sz w:val="22"/>
          <w:szCs w:val="22"/>
          <w:color w:val="000000"/>
        </w:rPr>
        <w:t>”) in the amounts set forth in the schedule below for the corresponding periods of the Sublease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499"/>
        </w:trPr>
        <w:tc>
          <w:tcPr>
            <w:tcW w:w="2840" w:type="dxa"/>
            <w:vAlign w:val="bottom"/>
            <w:tcBorders>
              <w:top w:val="single" w:sz="8" w:color="auto"/>
              <w:left w:val="single" w:sz="8" w:color="auto"/>
              <w:right w:val="single" w:sz="8" w:color="auto"/>
            </w:tcBorders>
            <w:shd w:val="clear" w:color="auto" w:fill="F2F2F2"/>
          </w:tcPr>
          <w:p>
            <w:pPr>
              <w:ind w:left="80"/>
              <w:spacing w:after="0"/>
              <w:rPr>
                <w:sz w:val="20"/>
                <w:szCs w:val="20"/>
                <w:color w:val="auto"/>
              </w:rPr>
            </w:pPr>
            <w:r>
              <w:rPr>
                <w:rFonts w:ascii="Times New Roman" w:cs="Times New Roman" w:eastAsia="Times New Roman" w:hAnsi="Times New Roman"/>
                <w:sz w:val="22"/>
                <w:szCs w:val="22"/>
                <w:color w:val="auto"/>
              </w:rPr>
              <w:t>Lease Year</w:t>
            </w:r>
          </w:p>
        </w:tc>
        <w:tc>
          <w:tcPr>
            <w:tcW w:w="1820" w:type="dxa"/>
            <w:vAlign w:val="bottom"/>
            <w:tcBorders>
              <w:top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Base   Rent   per</w:t>
            </w:r>
          </w:p>
        </w:tc>
        <w:tc>
          <w:tcPr>
            <w:tcW w:w="980" w:type="dxa"/>
            <w:vAlign w:val="bottom"/>
            <w:tcBorders>
              <w:top w:val="single" w:sz="8" w:color="auto"/>
              <w:right w:val="single" w:sz="8" w:color="auto"/>
            </w:tcBorders>
            <w:shd w:val="clear" w:color="auto" w:fill="F2F2F2"/>
          </w:tcPr>
          <w:p>
            <w:pPr>
              <w:ind w:left="120"/>
              <w:spacing w:after="0"/>
              <w:rPr>
                <w:sz w:val="20"/>
                <w:szCs w:val="20"/>
                <w:color w:val="auto"/>
              </w:rPr>
            </w:pPr>
            <w:r>
              <w:rPr>
                <w:rFonts w:ascii="Times New Roman" w:cs="Times New Roman" w:eastAsia="Times New Roman" w:hAnsi="Times New Roman"/>
                <w:sz w:val="22"/>
                <w:szCs w:val="22"/>
                <w:color w:val="auto"/>
              </w:rPr>
              <w:t>Rentable</w:t>
            </w:r>
          </w:p>
        </w:tc>
        <w:tc>
          <w:tcPr>
            <w:tcW w:w="2820" w:type="dxa"/>
            <w:vAlign w:val="bottom"/>
            <w:tcBorders>
              <w:top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Annual Base Rent</w:t>
            </w:r>
          </w:p>
        </w:tc>
        <w:tc>
          <w:tcPr>
            <w:tcW w:w="2800" w:type="dxa"/>
            <w:vAlign w:val="bottom"/>
            <w:tcBorders>
              <w:top w:val="single" w:sz="8" w:color="auto"/>
              <w:right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Monthly Base Rent</w:t>
            </w:r>
          </w:p>
        </w:tc>
        <w:tc>
          <w:tcPr>
            <w:tcW w:w="0" w:type="dxa"/>
            <w:vAlign w:val="bottom"/>
          </w:tcPr>
          <w:p>
            <w:pPr>
              <w:spacing w:after="0"/>
              <w:rPr>
                <w:sz w:val="1"/>
                <w:szCs w:val="1"/>
                <w:color w:val="auto"/>
              </w:rPr>
            </w:pPr>
          </w:p>
        </w:tc>
      </w:tr>
      <w:tr>
        <w:trPr>
          <w:trHeight w:val="291"/>
        </w:trPr>
        <w:tc>
          <w:tcPr>
            <w:tcW w:w="2840" w:type="dxa"/>
            <w:vAlign w:val="bottom"/>
            <w:tcBorders>
              <w:left w:val="single" w:sz="8" w:color="auto"/>
              <w:bottom w:val="single" w:sz="8" w:color="auto"/>
              <w:right w:val="single" w:sz="8" w:color="auto"/>
            </w:tcBorders>
            <w:shd w:val="clear" w:color="auto" w:fill="F2F2F2"/>
          </w:tcPr>
          <w:p>
            <w:pPr>
              <w:spacing w:after="0"/>
              <w:rPr>
                <w:sz w:val="24"/>
                <w:szCs w:val="24"/>
                <w:color w:val="auto"/>
              </w:rPr>
            </w:pPr>
          </w:p>
        </w:tc>
        <w:tc>
          <w:tcPr>
            <w:tcW w:w="1820" w:type="dxa"/>
            <w:vAlign w:val="bottom"/>
            <w:tcBorders>
              <w:bottom w:val="single" w:sz="8" w:color="auto"/>
            </w:tcBorders>
            <w:shd w:val="clear" w:color="auto" w:fill="F2F2F2"/>
          </w:tcPr>
          <w:p>
            <w:pPr>
              <w:ind w:left="60"/>
              <w:spacing w:after="0"/>
              <w:rPr>
                <w:sz w:val="20"/>
                <w:szCs w:val="20"/>
                <w:color w:val="auto"/>
              </w:rPr>
            </w:pPr>
            <w:r>
              <w:rPr>
                <w:rFonts w:ascii="Times New Roman" w:cs="Times New Roman" w:eastAsia="Times New Roman" w:hAnsi="Times New Roman"/>
                <w:sz w:val="22"/>
                <w:szCs w:val="22"/>
                <w:color w:val="auto"/>
              </w:rPr>
              <w:t>Square Foot (RSF)</w:t>
            </w:r>
          </w:p>
        </w:tc>
        <w:tc>
          <w:tcPr>
            <w:tcW w:w="980" w:type="dxa"/>
            <w:vAlign w:val="bottom"/>
            <w:tcBorders>
              <w:bottom w:val="single" w:sz="8" w:color="auto"/>
              <w:right w:val="single" w:sz="8" w:color="auto"/>
            </w:tcBorders>
            <w:shd w:val="clear" w:color="auto" w:fill="F2F2F2"/>
          </w:tcPr>
          <w:p>
            <w:pPr>
              <w:spacing w:after="0"/>
              <w:rPr>
                <w:sz w:val="24"/>
                <w:szCs w:val="24"/>
                <w:color w:val="auto"/>
              </w:rPr>
            </w:pPr>
          </w:p>
        </w:tc>
        <w:tc>
          <w:tcPr>
            <w:tcW w:w="2820" w:type="dxa"/>
            <w:vAlign w:val="bottom"/>
            <w:tcBorders>
              <w:bottom w:val="single" w:sz="8" w:color="auto"/>
              <w:right w:val="single" w:sz="8" w:color="auto"/>
            </w:tcBorders>
            <w:shd w:val="clear" w:color="auto" w:fill="F2F2F2"/>
          </w:tcPr>
          <w:p>
            <w:pPr>
              <w:spacing w:after="0"/>
              <w:rPr>
                <w:sz w:val="24"/>
                <w:szCs w:val="24"/>
                <w:color w:val="auto"/>
              </w:rPr>
            </w:pPr>
          </w:p>
        </w:tc>
        <w:tc>
          <w:tcPr>
            <w:tcW w:w="2800" w:type="dxa"/>
            <w:vAlign w:val="bottom"/>
            <w:tcBorders>
              <w:bottom w:val="single" w:sz="8" w:color="auto"/>
              <w:right w:val="single" w:sz="8" w:color="auto"/>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1 (Sept. 1, 2025 – Aug.</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31, 2026)</w:t>
            </w:r>
          </w:p>
        </w:tc>
        <w:tc>
          <w:tcPr>
            <w:tcW w:w="182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2 (Sept. 1, 2026 – Aug.</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31, 2027)</w:t>
            </w:r>
          </w:p>
        </w:tc>
        <w:tc>
          <w:tcPr>
            <w:tcW w:w="182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3 (Sept. 1, 2027 – Aug.</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31, 2028)</w:t>
            </w:r>
          </w:p>
        </w:tc>
        <w:tc>
          <w:tcPr>
            <w:tcW w:w="182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4 (Sept. 1, 2028 – Aug.</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31, 2029)</w:t>
            </w:r>
          </w:p>
        </w:tc>
        <w:tc>
          <w:tcPr>
            <w:tcW w:w="182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5 (Sept. 1, 2029 – Aug.</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31, 2030)</w:t>
            </w:r>
          </w:p>
        </w:tc>
        <w:tc>
          <w:tcPr>
            <w:tcW w:w="182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6 (Sept. 1, 2030 – Aug.</w:t>
            </w:r>
          </w:p>
        </w:tc>
        <w:tc>
          <w:tcPr>
            <w:tcW w:w="18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31, 2031)</w:t>
            </w:r>
          </w:p>
        </w:tc>
        <w:tc>
          <w:tcPr>
            <w:tcW w:w="1820" w:type="dxa"/>
            <w:vAlign w:val="bottom"/>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20" w:type="dxa"/>
            <w:vAlign w:val="bottom"/>
            <w:tcBorders>
              <w:right w:val="single" w:sz="8" w:color="auto"/>
            </w:tcBorders>
            <w:vMerge w:val="continue"/>
          </w:tcPr>
          <w:p>
            <w:pPr>
              <w:spacing w:after="0"/>
              <w:rPr>
                <w:sz w:val="12"/>
                <w:szCs w:val="12"/>
                <w:color w:val="auto"/>
              </w:rPr>
            </w:pPr>
          </w:p>
        </w:tc>
        <w:tc>
          <w:tcPr>
            <w:tcW w:w="28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Borders>
              <w:left w:val="single" w:sz="8" w:color="auto"/>
              <w:bottom w:val="single" w:sz="8" w:color="auto"/>
              <w:right w:val="single" w:sz="8" w:color="auto"/>
            </w:tcBorders>
            <w:vMerge w:val="continue"/>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20"/>
        </w:trPr>
        <w:tc>
          <w:tcPr>
            <w:tcW w:w="2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Year 7 (Sept. 1, 2031)</w:t>
            </w:r>
          </w:p>
        </w:tc>
        <w:tc>
          <w:tcPr>
            <w:tcW w:w="1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98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right="20"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b w:val="1"/>
          <w:bCs w:val="1"/>
          <w:color w:val="000000"/>
        </w:rPr>
        <w:t>Additional Rent</w:t>
      </w:r>
      <w:r>
        <w:rPr>
          <w:rFonts w:ascii="Times New Roman" w:cs="Times New Roman" w:eastAsia="Times New Roman" w:hAnsi="Times New Roman"/>
          <w:sz w:val="22"/>
          <w:szCs w:val="22"/>
          <w:color w:val="000000"/>
        </w:rPr>
        <w:t>. Upon the Sublease Commencement Date, in addition to Base Rent, Sublandlord shall invoice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Subtenant, and Subtenant shall pay, on a monthly basis, [*] (“</w:t>
      </w:r>
      <w:r>
        <w:rPr>
          <w:rFonts w:ascii="Times New Roman" w:cs="Times New Roman" w:eastAsia="Times New Roman" w:hAnsi="Times New Roman"/>
          <w:sz w:val="22"/>
          <w:szCs w:val="22"/>
          <w:b w:val="1"/>
          <w:bCs w:val="1"/>
          <w:color w:val="000000"/>
        </w:rPr>
        <w:t>Subtenant’s Share</w:t>
      </w:r>
      <w:r>
        <w:rPr>
          <w:rFonts w:ascii="Times New Roman" w:cs="Times New Roman" w:eastAsia="Times New Roman" w:hAnsi="Times New Roman"/>
          <w:sz w:val="22"/>
          <w:szCs w:val="22"/>
          <w:color w:val="000000"/>
        </w:rPr>
        <w:t>”) of the Direct Expenses (as defined in the Master Lease to include Operating Expenses and Tax Expenses) paid by Sublandlord to Master Landlord pursuant to the terms of the Master Lease (“</w:t>
      </w:r>
      <w:r>
        <w:rPr>
          <w:rFonts w:ascii="Times New Roman" w:cs="Times New Roman" w:eastAsia="Times New Roman" w:hAnsi="Times New Roman"/>
          <w:sz w:val="22"/>
          <w:szCs w:val="22"/>
          <w:b w:val="1"/>
          <w:bCs w:val="1"/>
          <w:color w:val="000000"/>
        </w:rPr>
        <w:t>Additional Rent</w:t>
      </w:r>
      <w:r>
        <w:rPr>
          <w:rFonts w:ascii="Times New Roman" w:cs="Times New Roman" w:eastAsia="Times New Roman" w:hAnsi="Times New Roman"/>
          <w:sz w:val="22"/>
          <w:szCs w:val="22"/>
          <w:color w:val="000000"/>
        </w:rPr>
        <w:t>”). Additional Rent shall be remitted with Base Rent. The term “</w:t>
      </w:r>
      <w:r>
        <w:rPr>
          <w:rFonts w:ascii="Times New Roman" w:cs="Times New Roman" w:eastAsia="Times New Roman" w:hAnsi="Times New Roman"/>
          <w:sz w:val="22"/>
          <w:szCs w:val="22"/>
          <w:b w:val="1"/>
          <w:bCs w:val="1"/>
          <w:color w:val="000000"/>
        </w:rPr>
        <w:t>Rent</w:t>
      </w:r>
      <w:r>
        <w:rPr>
          <w:rFonts w:ascii="Times New Roman" w:cs="Times New Roman" w:eastAsia="Times New Roman" w:hAnsi="Times New Roman"/>
          <w:sz w:val="22"/>
          <w:szCs w:val="22"/>
          <w:color w:val="000000"/>
        </w:rPr>
        <w:t>” shall mean Base Rent and Additional Rent. Should Master Landlord continue its practice of sending a separate invoice for each of Building B and Building C, Subtenant will be responsible for [*] of the Additional Rent attributable to Building B.</w:t>
      </w:r>
    </w:p>
    <w:p>
      <w:pPr>
        <w:spacing w:after="0" w:line="1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Within a reasonable time after receipt, Sublandlord shall provide Subtenant with copies of each Statement (as defined in the Master Lease) Sublandlord receives from Master Lessor pursuant to Section 4.4.1 of the Master Lease. With respect to the audit right set forth in Section 4.6 of the Master Lease (the “</w:t>
      </w:r>
      <w:r>
        <w:rPr>
          <w:rFonts w:ascii="Times New Roman" w:cs="Times New Roman" w:eastAsia="Times New Roman" w:hAnsi="Times New Roman"/>
          <w:sz w:val="21"/>
          <w:szCs w:val="21"/>
          <w:b w:val="1"/>
          <w:bCs w:val="1"/>
          <w:color w:val="auto"/>
        </w:rPr>
        <w:t>Audit Right</w:t>
      </w:r>
      <w:r>
        <w:rPr>
          <w:rFonts w:ascii="Times New Roman" w:cs="Times New Roman" w:eastAsia="Times New Roman" w:hAnsi="Times New Roman"/>
          <w:sz w:val="21"/>
          <w:szCs w:val="21"/>
          <w:color w:val="auto"/>
        </w:rPr>
        <w:t>”), if Subtenant reasonably believes, after review of a Statement, that the Statement is incorrect, then Subtenant shall so notify Sublandlord within thirty (30) days after receipt of the Statement, and Sublandlord shall exercise the Audit Right on Subtenant’s behalf, but at Subtenant’s sole cost and expense. Subtenant shall reimburse Sublandlord for Sublandlord’s actual costs incurred in exercising the Audit Right, if any, within thirty</w:t>
      </w:r>
    </w:p>
    <w:p>
      <w:pPr>
        <w:spacing w:after="0" w:line="1" w:lineRule="exact"/>
        <w:rPr>
          <w:sz w:val="20"/>
          <w:szCs w:val="20"/>
          <w:color w:val="auto"/>
        </w:rPr>
      </w:pPr>
    </w:p>
    <w:p>
      <w:pPr>
        <w:jc w:val="both"/>
        <w:ind w:right="20" w:firstLine="8"/>
        <w:spacing w:after="0" w:line="245" w:lineRule="auto"/>
        <w:tabs>
          <w:tab w:leader="none" w:pos="47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of Sublandlord’s invoice therefor (including reasonable documentation). Sublandlord shall not be responsible for the result of any audit undertaken at Subtenant’s request. Subtenant acknowledges that Master Landlord has historically invoiced Additional Rent by Building (i.e., one invoice for Building B and another invoice for Building C).</w:t>
      </w: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60"/>
          </w:cols>
          <w:pgMar w:left="320" w:top="1440" w:right="319" w:bottom="1440" w:gutter="0" w:footer="0" w:header="0"/>
        </w:sectPr>
      </w:pPr>
    </w:p>
    <w:bookmarkStart w:id="109" w:name="page110"/>
    <w:bookmarkEnd w:id="109"/>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5.3 </w:t>
      </w:r>
      <w:r>
        <w:rPr>
          <w:rFonts w:ascii="Times New Roman" w:cs="Times New Roman" w:eastAsia="Times New Roman" w:hAnsi="Times New Roman"/>
          <w:sz w:val="22"/>
          <w:szCs w:val="22"/>
          <w:b w:val="1"/>
          <w:bCs w:val="1"/>
          <w:color w:val="000000"/>
        </w:rPr>
        <w:t>Abatement of Base Rent</w:t>
      </w:r>
      <w:r>
        <w:rPr>
          <w:rFonts w:ascii="Times New Roman" w:cs="Times New Roman" w:eastAsia="Times New Roman" w:hAnsi="Times New Roman"/>
          <w:sz w:val="22"/>
          <w:szCs w:val="22"/>
          <w:color w:val="000000"/>
        </w:rPr>
        <w:t>. Provided that Subtenant is not in default under the Sublease beyond any applicable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notice and cure period, Subtenant shall receive a credit against the Base Rent, as follows:</w:t>
      </w:r>
    </w:p>
    <w:p>
      <w:pPr>
        <w:spacing w:after="0" w:line="149" w:lineRule="exact"/>
        <w:rPr>
          <w:sz w:val="20"/>
          <w:szCs w:val="20"/>
          <w:color w:val="auto"/>
        </w:rPr>
      </w:pPr>
    </w:p>
    <w:p>
      <w:pPr>
        <w:ind w:left="1300" w:hanging="644"/>
        <w:spacing w:after="0" w:line="265" w:lineRule="auto"/>
        <w:tabs>
          <w:tab w:leader="none" w:pos="113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September 1, 2025 – December 31, 2025. </w:t>
      </w:r>
      <w:r>
        <w:rPr>
          <w:rFonts w:ascii="Times New Roman" w:cs="Times New Roman" w:eastAsia="Times New Roman" w:hAnsi="Times New Roman"/>
          <w:sz w:val="22"/>
          <w:szCs w:val="22"/>
          <w:color w:val="auto"/>
        </w:rPr>
        <w:t>For the period of time from September 1, 2025 through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Subtenant’s Base Rent shall be completely abated for Floors 1, 2, 3 &amp; 4 in the amount of [*] divided in equal monthly installments over 4 months.</w:t>
      </w:r>
    </w:p>
    <w:p>
      <w:pPr>
        <w:spacing w:after="0" w:line="161" w:lineRule="exact"/>
        <w:rPr>
          <w:rFonts w:ascii="Times New Roman" w:cs="Times New Roman" w:eastAsia="Times New Roman" w:hAnsi="Times New Roman"/>
          <w:sz w:val="22"/>
          <w:szCs w:val="22"/>
          <w:color w:val="auto"/>
        </w:rPr>
      </w:pPr>
    </w:p>
    <w:p>
      <w:pPr>
        <w:ind w:left="1300" w:hanging="644"/>
        <w:spacing w:after="0" w:line="275" w:lineRule="auto"/>
        <w:tabs>
          <w:tab w:leader="none" w:pos="110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January 1, 2026, - December 31, 2026. </w:t>
      </w:r>
      <w:r>
        <w:rPr>
          <w:rFonts w:ascii="Times New Roman" w:cs="Times New Roman" w:eastAsia="Times New Roman" w:hAnsi="Times New Roman"/>
          <w:sz w:val="22"/>
          <w:szCs w:val="22"/>
          <w:color w:val="auto"/>
        </w:rPr>
        <w:t>For the period of time from January 1, 2026 through December 31,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Subtenant’s Base Rent shall be abated in the total amount of [*], Following the schedule below;</w:t>
      </w:r>
    </w:p>
    <w:p>
      <w:pPr>
        <w:spacing w:after="0" w:line="14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 xml:space="preserve">[*], divided equally over eight (8) months, between January 1, 2026 through August 31, 2026 (attributable to </w:t>
      </w:r>
      <w:r>
        <w:rPr>
          <w:rFonts w:ascii="Times New Roman" w:cs="Times New Roman" w:eastAsia="Times New Roman" w:hAnsi="Times New Roman"/>
          <w:sz w:val="21"/>
          <w:szCs w:val="21"/>
          <w:b w:val="1"/>
          <w:bCs w:val="1"/>
          <w:color w:val="auto"/>
        </w:rPr>
        <w:t>Floor 1)</w:t>
      </w:r>
    </w:p>
    <w:p>
      <w:pPr>
        <w:spacing w:after="0" w:line="249" w:lineRule="exact"/>
        <w:rPr>
          <w:sz w:val="20"/>
          <w:szCs w:val="20"/>
          <w:color w:val="auto"/>
        </w:rPr>
      </w:pPr>
    </w:p>
    <w:p>
      <w:pPr>
        <w:ind w:left="1300" w:right="20"/>
        <w:spacing w:after="0" w:line="271" w:lineRule="auto"/>
        <w:rPr>
          <w:sz w:val="20"/>
          <w:szCs w:val="20"/>
          <w:color w:val="auto"/>
        </w:rPr>
      </w:pPr>
      <w:r>
        <w:rPr>
          <w:rFonts w:ascii="Times New Roman" w:cs="Times New Roman" w:eastAsia="Times New Roman" w:hAnsi="Times New Roman"/>
          <w:sz w:val="22"/>
          <w:szCs w:val="22"/>
          <w:color w:val="auto"/>
        </w:rPr>
        <w:t xml:space="preserve">[*], divided equally over three (3) months, between January 1, 2026 through March 31, 2026 (attributable to </w:t>
      </w:r>
      <w:r>
        <w:rPr>
          <w:rFonts w:ascii="Times New Roman" w:cs="Times New Roman" w:eastAsia="Times New Roman" w:hAnsi="Times New Roman"/>
          <w:sz w:val="22"/>
          <w:szCs w:val="22"/>
          <w:b w:val="1"/>
          <w:bCs w:val="1"/>
          <w:color w:val="auto"/>
        </w:rPr>
        <w:t>Floors 2 &amp; 3)</w:t>
      </w:r>
    </w:p>
    <w:p>
      <w:pPr>
        <w:spacing w:after="0" w:line="158" w:lineRule="exact"/>
        <w:rPr>
          <w:sz w:val="20"/>
          <w:szCs w:val="20"/>
          <w:color w:val="auto"/>
        </w:rPr>
      </w:pPr>
    </w:p>
    <w:p>
      <w:pPr>
        <w:ind w:left="1300"/>
        <w:spacing w:after="0" w:line="271" w:lineRule="auto"/>
        <w:rPr>
          <w:sz w:val="20"/>
          <w:szCs w:val="20"/>
          <w:color w:val="auto"/>
        </w:rPr>
      </w:pPr>
      <w:r>
        <w:rPr>
          <w:rFonts w:ascii="Times New Roman" w:cs="Times New Roman" w:eastAsia="Times New Roman" w:hAnsi="Times New Roman"/>
          <w:sz w:val="22"/>
          <w:szCs w:val="22"/>
          <w:color w:val="auto"/>
        </w:rPr>
        <w:t xml:space="preserve">[*], divided equally over twelve (12) months, between January 1, 2026 through December 31, 2026 (attributable to </w:t>
      </w:r>
      <w:r>
        <w:rPr>
          <w:rFonts w:ascii="Times New Roman" w:cs="Times New Roman" w:eastAsia="Times New Roman" w:hAnsi="Times New Roman"/>
          <w:sz w:val="22"/>
          <w:szCs w:val="22"/>
          <w:b w:val="1"/>
          <w:bCs w:val="1"/>
          <w:color w:val="auto"/>
        </w:rPr>
        <w:t>Floor 4</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1300" w:hanging="644"/>
        <w:spacing w:after="0" w:line="235" w:lineRule="auto"/>
        <w:tabs>
          <w:tab w:leader="none" w:pos="110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January 1, 2027 – December 31, 2027. </w:t>
      </w:r>
      <w:r>
        <w:rPr>
          <w:rFonts w:ascii="Times New Roman" w:cs="Times New Roman" w:eastAsia="Times New Roman" w:hAnsi="Times New Roman"/>
          <w:sz w:val="22"/>
          <w:szCs w:val="22"/>
          <w:color w:val="auto"/>
        </w:rPr>
        <w:t>For the period of time from January 1, 2027 through December 31, 2027,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Subtenant’s Base Rent shall be abated for the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xml:space="preserve"> in the amount of [*] divided in equal monthly installments over 12 months.</w:t>
      </w:r>
    </w:p>
    <w:p>
      <w:pPr>
        <w:spacing w:after="0" w:line="188" w:lineRule="exact"/>
        <w:rPr>
          <w:rFonts w:ascii="Times New Roman" w:cs="Times New Roman" w:eastAsia="Times New Roman" w:hAnsi="Times New Roman"/>
          <w:sz w:val="22"/>
          <w:szCs w:val="22"/>
          <w:color w:val="auto"/>
        </w:rPr>
      </w:pPr>
    </w:p>
    <w:p>
      <w:pPr>
        <w:ind w:left="1300" w:hanging="644"/>
        <w:spacing w:after="0" w:line="253" w:lineRule="auto"/>
        <w:tabs>
          <w:tab w:leader="none" w:pos="11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January 1, 2028 – September 30, 2031</w:t>
      </w:r>
      <w:r>
        <w:rPr>
          <w:rFonts w:ascii="Times New Roman" w:cs="Times New Roman" w:eastAsia="Times New Roman" w:hAnsi="Times New Roman"/>
          <w:sz w:val="22"/>
          <w:szCs w:val="22"/>
          <w:color w:val="auto"/>
        </w:rPr>
        <w:t>. For the period of time from January 1, 2028 through September 30, 2031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Subtenant will pay rent on all floors, in full, pursuant to base rent for the Subleased Premises (the “</w:t>
      </w:r>
      <w:r>
        <w:rPr>
          <w:rFonts w:ascii="Times New Roman" w:cs="Times New Roman" w:eastAsia="Times New Roman" w:hAnsi="Times New Roman"/>
          <w:sz w:val="22"/>
          <w:szCs w:val="22"/>
          <w:b w:val="1"/>
          <w:bCs w:val="1"/>
          <w:color w:val="auto"/>
        </w:rPr>
        <w:t>Base Rent</w:t>
      </w:r>
      <w:r>
        <w:rPr>
          <w:rFonts w:ascii="Times New Roman" w:cs="Times New Roman" w:eastAsia="Times New Roman" w:hAnsi="Times New Roman"/>
          <w:sz w:val="22"/>
          <w:szCs w:val="22"/>
          <w:color w:val="auto"/>
        </w:rPr>
        <w:t>”) in the amounts set forth in the schedule above for the corresponding periods of the Sublease Term, without any additional abatement. Base Rent is divided into equal monthly installments.</w:t>
      </w:r>
    </w:p>
    <w:p>
      <w:pPr>
        <w:spacing w:after="0" w:line="18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b w:val="1"/>
          <w:bCs w:val="1"/>
          <w:color w:val="000000"/>
        </w:rPr>
        <w:t>Abatement of Additional Rent</w:t>
      </w:r>
      <w:r>
        <w:rPr>
          <w:rFonts w:ascii="Times New Roman" w:cs="Times New Roman" w:eastAsia="Times New Roman" w:hAnsi="Times New Roman"/>
          <w:sz w:val="22"/>
          <w:szCs w:val="22"/>
          <w:color w:val="000000"/>
        </w:rPr>
        <w:t>. Provided that Subtenant is not in default under the Sublease beyond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applicable notice and cure period, Subtenant shall receive a credit against the Additional Rent, as follows:</w:t>
      </w:r>
    </w:p>
    <w:p>
      <w:pPr>
        <w:spacing w:after="0" w:line="149" w:lineRule="exact"/>
        <w:rPr>
          <w:sz w:val="20"/>
          <w:szCs w:val="20"/>
          <w:color w:val="auto"/>
        </w:rPr>
      </w:pPr>
    </w:p>
    <w:p>
      <w:pPr>
        <w:ind w:left="1300" w:right="20" w:hanging="644"/>
        <w:spacing w:after="0" w:line="275" w:lineRule="auto"/>
        <w:tabs>
          <w:tab w:leader="none" w:pos="113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September 1, 2025 – December 31, 2025. </w:t>
      </w:r>
      <w:r>
        <w:rPr>
          <w:rFonts w:ascii="Times New Roman" w:cs="Times New Roman" w:eastAsia="Times New Roman" w:hAnsi="Times New Roman"/>
          <w:sz w:val="22"/>
          <w:szCs w:val="22"/>
          <w:color w:val="auto"/>
        </w:rPr>
        <w:t>For the period of time from September 1, 2025 through December 31,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2025, [*] of the Additional Rent attributable to Direct Expenses and Tax Expenses shall be abated.</w:t>
      </w:r>
    </w:p>
    <w:p>
      <w:pPr>
        <w:spacing w:after="0" w:line="149" w:lineRule="exact"/>
        <w:rPr>
          <w:rFonts w:ascii="Times New Roman" w:cs="Times New Roman" w:eastAsia="Times New Roman" w:hAnsi="Times New Roman"/>
          <w:sz w:val="22"/>
          <w:szCs w:val="22"/>
          <w:color w:val="auto"/>
        </w:rPr>
      </w:pPr>
    </w:p>
    <w:p>
      <w:pPr>
        <w:ind w:left="1300" w:hanging="644"/>
        <w:spacing w:after="0" w:line="265" w:lineRule="auto"/>
        <w:tabs>
          <w:tab w:leader="none" w:pos="110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January 1, 2026, - December 31, 2026. </w:t>
      </w:r>
      <w:r>
        <w:rPr>
          <w:rFonts w:ascii="Times New Roman" w:cs="Times New Roman" w:eastAsia="Times New Roman" w:hAnsi="Times New Roman"/>
          <w:sz w:val="22"/>
          <w:szCs w:val="22"/>
          <w:color w:val="auto"/>
        </w:rPr>
        <w:t>For the period of time from January 1, 2026 through December 31,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Subtenant’s Additional Rent attributable to Direct Expenses and Tax Expenses shall be abated. Such abated amount shall be applied against each Additional Rent invoice from Sublandlord as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8" w:lineRule="exact"/>
        <w:rPr>
          <w:sz w:val="20"/>
          <w:szCs w:val="20"/>
          <w:color w:val="auto"/>
        </w:rPr>
      </w:pPr>
    </w:p>
    <w:p>
      <w:pPr>
        <w:ind w:left="1300" w:right="20" w:hanging="388"/>
        <w:spacing w:after="0" w:line="271" w:lineRule="auto"/>
        <w:tabs>
          <w:tab w:leader="none" w:pos="121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Total Monthly Additional Rent Expenses between January 1, 2026 through August 31, 2026 (attributable to </w:t>
      </w:r>
      <w:r>
        <w:rPr>
          <w:rFonts w:ascii="Times New Roman" w:cs="Times New Roman" w:eastAsia="Times New Roman" w:hAnsi="Times New Roman"/>
          <w:sz w:val="22"/>
          <w:szCs w:val="22"/>
          <w:b w:val="1"/>
          <w:bCs w:val="1"/>
          <w:color w:val="auto"/>
        </w:rPr>
        <w:t>Floor 1</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300" w:right="20" w:firstLine="4"/>
        <w:spacing w:after="0" w:line="284" w:lineRule="auto"/>
        <w:tabs>
          <w:tab w:leader="none" w:pos="1609"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Total Monthly Additional Rent Expenses between January 1, 2026 through March 31, 2026 (attributable to </w:t>
      </w:r>
      <w:r>
        <w:rPr>
          <w:rFonts w:ascii="Times New Roman" w:cs="Times New Roman" w:eastAsia="Times New Roman" w:hAnsi="Times New Roman"/>
          <w:sz w:val="22"/>
          <w:szCs w:val="22"/>
          <w:b w:val="1"/>
          <w:bCs w:val="1"/>
          <w:color w:val="auto"/>
        </w:rPr>
        <w:t>Floors 2 &amp; 3)</w:t>
      </w:r>
    </w:p>
    <w:p>
      <w:pPr>
        <w:spacing w:after="0" w:line="143" w:lineRule="exact"/>
        <w:rPr>
          <w:rFonts w:ascii="Times New Roman" w:cs="Times New Roman" w:eastAsia="Times New Roman" w:hAnsi="Times New Roman"/>
          <w:sz w:val="22"/>
          <w:szCs w:val="22"/>
          <w:color w:val="auto"/>
        </w:rPr>
      </w:pPr>
    </w:p>
    <w:p>
      <w:pPr>
        <w:ind w:left="1300" w:firstLine="4"/>
        <w:spacing w:after="0" w:line="271" w:lineRule="auto"/>
        <w:tabs>
          <w:tab w:leader="none" w:pos="1660" w:val="left"/>
        </w:tabs>
        <w:numPr>
          <w:ilvl w:val="2"/>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of the Total Monthly Additional Rent Expenses between January 1, 2026 through December 31, 2026 (attributable to </w:t>
      </w:r>
      <w:r>
        <w:rPr>
          <w:rFonts w:ascii="Times New Roman" w:cs="Times New Roman" w:eastAsia="Times New Roman" w:hAnsi="Times New Roman"/>
          <w:sz w:val="22"/>
          <w:szCs w:val="22"/>
          <w:b w:val="1"/>
          <w:bCs w:val="1"/>
          <w:color w:val="auto"/>
        </w:rPr>
        <w:t>Floor 4)</w:t>
      </w:r>
    </w:p>
    <w:p>
      <w:pPr>
        <w:spacing w:after="0" w:line="153" w:lineRule="exact"/>
        <w:rPr>
          <w:rFonts w:ascii="Times New Roman" w:cs="Times New Roman" w:eastAsia="Times New Roman" w:hAnsi="Times New Roman"/>
          <w:sz w:val="22"/>
          <w:szCs w:val="22"/>
          <w:color w:val="auto"/>
        </w:rPr>
      </w:pPr>
    </w:p>
    <w:p>
      <w:pPr>
        <w:ind w:left="1300" w:hanging="644"/>
        <w:spacing w:after="0" w:line="235" w:lineRule="auto"/>
        <w:tabs>
          <w:tab w:leader="none" w:pos="1078"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January 1, 2027 – December 31, 2027. </w:t>
      </w:r>
      <w:r>
        <w:rPr>
          <w:rFonts w:ascii="Times New Roman" w:cs="Times New Roman" w:eastAsia="Times New Roman" w:hAnsi="Times New Roman"/>
          <w:sz w:val="22"/>
          <w:szCs w:val="22"/>
          <w:color w:val="auto"/>
        </w:rPr>
        <w:t>For the period of time from January 1, 2027 through December 31 2027,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floor’s Additional Rent attributable to Direct Expenses and Tax Expenses shall be abated. Such abated amount shall be applied against each Additional Rent invoice from Sublandlord as follows:</w:t>
      </w:r>
    </w:p>
    <w:p>
      <w:pPr>
        <w:spacing w:after="0" w:line="188" w:lineRule="exact"/>
        <w:rPr>
          <w:sz w:val="20"/>
          <w:szCs w:val="20"/>
          <w:color w:val="auto"/>
        </w:rPr>
      </w:pPr>
    </w:p>
    <w:p>
      <w:pPr>
        <w:ind w:left="1300"/>
        <w:spacing w:after="0" w:line="275" w:lineRule="auto"/>
        <w:rPr>
          <w:sz w:val="20"/>
          <w:szCs w:val="20"/>
          <w:color w:val="auto"/>
        </w:rPr>
      </w:pPr>
      <w:r>
        <w:rPr>
          <w:rFonts w:ascii="Times New Roman" w:cs="Times New Roman" w:eastAsia="Times New Roman" w:hAnsi="Times New Roman"/>
          <w:sz w:val="22"/>
          <w:szCs w:val="22"/>
          <w:color w:val="auto"/>
        </w:rPr>
        <w:t xml:space="preserve">[*], divided equally over twelve (12) between January 1, 2027 through December 31, 2027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attributable to </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b w:val="1"/>
          <w:bCs w:val="1"/>
          <w:color w:val="000000"/>
        </w:rPr>
        <w:t>Security Deposit</w:t>
      </w:r>
      <w:r>
        <w:rPr>
          <w:rFonts w:ascii="Times New Roman" w:cs="Times New Roman" w:eastAsia="Times New Roman" w:hAnsi="Times New Roman"/>
          <w:sz w:val="22"/>
          <w:szCs w:val="22"/>
          <w:color w:val="000000"/>
        </w:rPr>
        <w:t>. No later than three (3) business days following the Effective Date, Subtenant shall deposit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Sublandlord the sum of $2,420,179.67, which is an amount equal to [*] of Base Rent (the “</w:t>
      </w:r>
      <w:r>
        <w:rPr>
          <w:rFonts w:ascii="Times New Roman" w:cs="Times New Roman" w:eastAsia="Times New Roman" w:hAnsi="Times New Roman"/>
          <w:sz w:val="22"/>
          <w:szCs w:val="22"/>
          <w:b w:val="1"/>
          <w:bCs w:val="1"/>
          <w:color w:val="000000"/>
        </w:rPr>
        <w:t>Security Deposit</w:t>
      </w:r>
      <w:r>
        <w:rPr>
          <w:rFonts w:ascii="Times New Roman" w:cs="Times New Roman" w:eastAsia="Times New Roman" w:hAnsi="Times New Roman"/>
          <w:sz w:val="22"/>
          <w:szCs w:val="22"/>
          <w:color w:val="000000"/>
        </w:rPr>
        <w:t>”), to be held by Sublandlord as security for the performance of Subtenant’s full and complete obligations under this Sublease. Sublandlord shall not be required to keep this Security Deposit separate from its general funds, and Subtenant shall not be entitled to interest on the Security Deposit. No portion of the Security Deposit shall be utilized for payment of any rental amount due under this Sublease. Any unapplied balance of the Security Deposit shall be returned to Subtenant within thirty (30) days following termination of this Sublease and Subtenant’s vacation of the Subleased Premises.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5.6 </w:t>
      </w:r>
      <w:r>
        <w:rPr>
          <w:rFonts w:ascii="Times New Roman" w:cs="Times New Roman" w:eastAsia="Times New Roman" w:hAnsi="Times New Roman"/>
          <w:sz w:val="22"/>
          <w:szCs w:val="22"/>
          <w:b w:val="1"/>
          <w:bCs w:val="1"/>
          <w:color w:val="000000"/>
        </w:rPr>
        <w:t>Late Payments</w:t>
      </w:r>
      <w:r>
        <w:rPr>
          <w:rFonts w:ascii="Times New Roman" w:cs="Times New Roman" w:eastAsia="Times New Roman" w:hAnsi="Times New Roman"/>
          <w:sz w:val="22"/>
          <w:szCs w:val="22"/>
          <w:color w:val="000000"/>
        </w:rPr>
        <w:t>. Without limiting Sublandlord’s other rights or remedies, if Subtenant fails to pay Sublandlord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amount due hereunder on or before the date that such payment is due, Subtenant shall pay to Sublandlord upon demand a late charge equal to five percent (5%) of the delinquent amount. In addition, any such sum unpaid amount shall accrue interest at the rate of eight percent (8%) per annum, until paid.</w:t>
      </w:r>
    </w:p>
    <w:p>
      <w:pPr>
        <w:spacing w:after="0" w:line="195"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Delivery Condition, As-Is Condition of Premises</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Sublandlord shall deliver the Subleased Premises to Subtenant in broom clean condition with the heating, ventilation and air conditioning systems and the electrical, mechanical, plumbing systems serving the Subleased Premises being in good working condition. Also remaining in the Subleased Premises will be the FF&amp;E (defined below) that Subtenant intends to purchase from Sublandlord pursuant to Section 8 below. Sublandlord hereby represents and warrants to Subtenant that (i) the Subleased Premises are in conformance with all applicable building codes, permits, laws and regulations (including without limitation the Americans With Disabilities Act) and (ii) all operating and mechanical building systems are in good working condition and repair.</w:t>
      </w:r>
    </w:p>
    <w:p>
      <w:pPr>
        <w:spacing w:after="0" w:line="22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Subtenant acknowledges that Subtenant has conducted its own investigation and inspection of the Subleased Premises and is thoroughly familiar with the Subleased Premises, including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63" w:lineRule="auto"/>
        <w:rPr>
          <w:sz w:val="20"/>
          <w:szCs w:val="20"/>
          <w:color w:val="auto"/>
        </w:rPr>
      </w:pPr>
      <w:r>
        <w:rPr>
          <w:rFonts w:ascii="Times New Roman" w:cs="Times New Roman" w:eastAsia="Times New Roman" w:hAnsi="Times New Roman"/>
          <w:sz w:val="21"/>
          <w:szCs w:val="21"/>
          <w:color w:val="auto"/>
        </w:rPr>
        <w:t>without limitation, the physical condition thereof, compliance of the Subleased Premises with all laws and regulations, accessibility and location of utilities, and such other matters which in Subtenant’s judgment may affect or influence Subtenant’s use or suitability of the Subleased Premises. Except as expressly set forth above, Subtenant agrees to take the Subleased Premises</w:t>
      </w:r>
    </w:p>
    <w:p>
      <w:pPr>
        <w:spacing w:after="0" w:line="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“AS-IS, WHERE-IS” AND WITHOUT WARRANTY OR REPRESENTATIONS, EXPRESS OR IMPLIED, REGARDING ITS CONDITION, SUITABILITY, HABITABILITY OR FITNESS FOR THE PURPOSE OR ITS COMPLIANCE WITH ANY LAWS, REGULATIONS OR ORDINANCES and Subtenant acknowledges that Sublandlord shall not be obligated to perform any work, supply any materials, incur any expense, or make any alterations, or improvements to the Subleased Premises.</w:t>
      </w:r>
    </w:p>
    <w:p>
      <w:pPr>
        <w:spacing w:after="0" w:line="190"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Utilities and Operations</w:t>
      </w:r>
      <w:r>
        <w:rPr>
          <w:rFonts w:ascii="Times New Roman" w:cs="Times New Roman" w:eastAsia="Times New Roman" w:hAnsi="Times New Roman"/>
          <w:sz w:val="22"/>
          <w:szCs w:val="22"/>
          <w:color w:val="auto"/>
        </w:rPr>
        <w:t>.</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b w:val="1"/>
          <w:bCs w:val="1"/>
          <w:color w:val="000000"/>
        </w:rPr>
        <w:t>Utilities.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Prior to the Sublease Commencement Date, (i) all accounts with respect to the utilities serving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Subleased Premises shall be in the name of Master Landlord or Sublandlord and Sublandlord shall maintain and keep in continuous service all utility connections to the Subleased Premises, (ii) Sublandlord shall have the right to deliver to Subtenant a monthly invoice for all utilities consumed by Subtenant, which shall be calculated based upon the proportionate use of such utilities by Subtenant (calculated by dividing the square footage of the Premises occupied by Subtenant, by the total square footage of the Premises included in such utility bill), and (iii) Subtenant shall pay to Sublandlord the cost of all such utilities consumed by Subtenant within fifteen (15) days or receipt of an invoice from Sublandlord.</w:t>
      </w:r>
    </w:p>
    <w:p>
      <w:pPr>
        <w:spacing w:after="0" w:line="18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Beginning on the Sublease Commencement Date, (a) all accounts with respect to the utilities serving the Subleased Premises shall be transferred into the name of Subtenant, (b) other than any utilities identified as Operating Expenses, Subtenant shall be responsible for all utilities and services at the Subleased Premises, (c) Sublandlord shall not be responsible for supplying utilities and services to the Subleased Premises, (d) Subtenant agrees to pay any costs, expenses or charges for such utilities and services within fifteen (15) days receipt of invoice from Sublandlord and (e) Sublandlord shall not be responsible for any interruption of utility services.</w:t>
      </w:r>
    </w:p>
    <w:p>
      <w:pPr>
        <w:spacing w:after="0" w:line="20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7.2 </w:t>
      </w:r>
      <w:r>
        <w:rPr>
          <w:rFonts w:ascii="Times New Roman" w:cs="Times New Roman" w:eastAsia="Times New Roman" w:hAnsi="Times New Roman"/>
          <w:sz w:val="22"/>
          <w:szCs w:val="22"/>
          <w:b w:val="1"/>
          <w:bCs w:val="1"/>
          <w:color w:val="000000"/>
        </w:rPr>
        <w:t>Operations.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 operations matrix is attached hereto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b w:val="1"/>
          <w:bCs w:val="1"/>
          <w:color w:val="000000"/>
        </w:rPr>
        <w:t>Exhibit 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is incorporated herein by this reference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00"/>
        </w:rPr>
        <w:t>“Operations Matrix</w:t>
      </w:r>
      <w:r>
        <w:rPr>
          <w:rFonts w:ascii="Times New Roman" w:cs="Times New Roman" w:eastAsia="Times New Roman" w:hAnsi="Times New Roman"/>
          <w:sz w:val="22"/>
          <w:szCs w:val="22"/>
          <w:color w:val="000000"/>
        </w:rPr>
        <w:t xml:space="preserve">”). The Operations Matrix identifies (i) the vendors that, as of the Effective Date, have service contracts (collectively, </w:t>
      </w:r>
      <w:r>
        <w:rPr>
          <w:rFonts w:ascii="Times New Roman" w:cs="Times New Roman" w:eastAsia="Times New Roman" w:hAnsi="Times New Roman"/>
          <w:sz w:val="22"/>
          <w:szCs w:val="22"/>
          <w:b w:val="1"/>
          <w:bCs w:val="1"/>
          <w:color w:val="000000"/>
        </w:rPr>
        <w:t>“Service Contracts</w:t>
      </w:r>
      <w:r>
        <w:rPr>
          <w:rFonts w:ascii="Times New Roman" w:cs="Times New Roman" w:eastAsia="Times New Roman" w:hAnsi="Times New Roman"/>
          <w:sz w:val="22"/>
          <w:szCs w:val="22"/>
          <w:color w:val="000000"/>
        </w:rPr>
        <w:t xml:space="preserve">”) with Sublandlord and/or Master Landlord with respect to the maintenance, operation, building systems, tenant services and lab systems of the building and Subleased Premises (collectively, </w:t>
      </w:r>
      <w:r>
        <w:rPr>
          <w:rFonts w:ascii="Times New Roman" w:cs="Times New Roman" w:eastAsia="Times New Roman" w:hAnsi="Times New Roman"/>
          <w:sz w:val="22"/>
          <w:szCs w:val="22"/>
          <w:b w:val="1"/>
          <w:bCs w:val="1"/>
          <w:color w:val="000000"/>
        </w:rPr>
        <w:t>“Operations</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00"/>
        </w:rPr>
        <w:t>Requirements</w:t>
      </w:r>
      <w:r>
        <w:rPr>
          <w:rFonts w:ascii="Times New Roman" w:cs="Times New Roman" w:eastAsia="Times New Roman" w:hAnsi="Times New Roman"/>
          <w:sz w:val="22"/>
          <w:szCs w:val="22"/>
          <w:color w:val="000000"/>
        </w:rPr>
        <w:t>”), and (ii) the date on which Subtenant shall assume financial responsibility and/or direct contracting</w:t>
      </w:r>
      <w:r>
        <w:rPr>
          <w:rFonts w:ascii="Times New Roman" w:cs="Times New Roman" w:eastAsia="Times New Roman" w:hAnsi="Times New Roman"/>
          <w:sz w:val="22"/>
          <w:szCs w:val="22"/>
          <w:b w:val="1"/>
          <w:bCs w:val="1"/>
          <w:color w:val="000000"/>
        </w:rPr>
        <w:t xml:space="preserve"> </w:t>
      </w:r>
      <w:r>
        <w:rPr>
          <w:rFonts w:ascii="Times New Roman" w:cs="Times New Roman" w:eastAsia="Times New Roman" w:hAnsi="Times New Roman"/>
          <w:sz w:val="22"/>
          <w:szCs w:val="22"/>
          <w:color w:val="000000"/>
        </w:rPr>
        <w:t>responsibility (if any) for each vendor and Service Contracts. Pursuant to the Master Landlord Consent, Master Landlord is taking over and performing the items referenced as “Building Core” on Exhibit D; the cost of which shall be added to the Operating Expenses and invoiced as Operating Expenses. Accordingly, Subtenant will not be required to contract directly with the vendors identified under Building Core. Notwithstanding the foregoing, Exhibit D may be modified after the Effective Date with the written consent of Subtenant and Sublandlord.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12" w:name="page113"/>
    <w:bookmarkEnd w:id="112"/>
    <w:p>
      <w:pPr>
        <w:spacing w:after="0" w:line="221"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Furniture, Fixtures and Equipment</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Sublandlord has elected to transfer ownership of the furniture, fixtures and equipment (“</w:t>
      </w:r>
      <w:r>
        <w:rPr>
          <w:rFonts w:ascii="Times New Roman" w:cs="Times New Roman" w:eastAsia="Times New Roman" w:hAnsi="Times New Roman"/>
          <w:sz w:val="21"/>
          <w:szCs w:val="21"/>
          <w:b w:val="1"/>
          <w:bCs w:val="1"/>
          <w:color w:val="auto"/>
        </w:rPr>
        <w:t>FF&amp;E</w:t>
      </w:r>
      <w:r>
        <w:rPr>
          <w:rFonts w:ascii="Times New Roman" w:cs="Times New Roman" w:eastAsia="Times New Roman" w:hAnsi="Times New Roman"/>
          <w:sz w:val="21"/>
          <w:szCs w:val="21"/>
          <w:color w:val="auto"/>
        </w:rPr>
        <w:t xml:space="preserve">”) to Subtenant via Bill of Sale in substantially the form attached hereto as </w:t>
      </w:r>
      <w:r>
        <w:rPr>
          <w:rFonts w:ascii="Times New Roman" w:cs="Times New Roman" w:eastAsia="Times New Roman" w:hAnsi="Times New Roman"/>
          <w:sz w:val="21"/>
          <w:szCs w:val="21"/>
          <w:b w:val="1"/>
          <w:bCs w:val="1"/>
          <w:color w:val="auto"/>
        </w:rPr>
        <w:t>Exhibit E</w:t>
      </w:r>
      <w:r>
        <w:rPr>
          <w:rFonts w:ascii="Times New Roman" w:cs="Times New Roman" w:eastAsia="Times New Roman" w:hAnsi="Times New Roman"/>
          <w:sz w:val="21"/>
          <w:szCs w:val="21"/>
          <w:color w:val="auto"/>
        </w:rPr>
        <w:t xml:space="preserve">. The inventory of the FF&amp;E to be transferred is described on a schedule that is identified in the Bill of Sale attached as </w:t>
      </w:r>
      <w:r>
        <w:rPr>
          <w:rFonts w:ascii="Times New Roman" w:cs="Times New Roman" w:eastAsia="Times New Roman" w:hAnsi="Times New Roman"/>
          <w:sz w:val="21"/>
          <w:szCs w:val="21"/>
          <w:b w:val="1"/>
          <w:bCs w:val="1"/>
          <w:color w:val="auto"/>
        </w:rPr>
        <w:t>Exhibit F</w:t>
      </w:r>
      <w:r>
        <w:rPr>
          <w:rFonts w:ascii="Times New Roman" w:cs="Times New Roman" w:eastAsia="Times New Roman" w:hAnsi="Times New Roman"/>
          <w:sz w:val="21"/>
          <w:szCs w:val="21"/>
          <w:color w:val="auto"/>
        </w:rPr>
        <w:t>. Notwithstanding the conveyance of such FF&amp;E pursuant to the Bill of Sale, any FF&amp;E remaining in the Subleased Premises on the Effective Date shall be transferred to Subtenant even if any such item is not listed on Exhibit F. Such transfer shall be at no cost to Subtenant and on an “AS IS” basis without any representation or warranties, express, implied, or statutory and shall take place on the Sublease Commencement Date. Subtenant shall be solely responsible for removing upon request the FF&amp;E upon expiration or the earlier termination of this Sublease or, in the alternative, the termination of any direct lease entered into between Subtenant and Master Landlord, if applicable.</w:t>
      </w:r>
    </w:p>
    <w:p>
      <w:pPr>
        <w:spacing w:after="0" w:line="162"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Insurance; Waiver of Subrogation</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9.1 </w:t>
      </w:r>
      <w:r>
        <w:rPr>
          <w:rFonts w:ascii="Times New Roman" w:cs="Times New Roman" w:eastAsia="Times New Roman" w:hAnsi="Times New Roman"/>
          <w:sz w:val="22"/>
          <w:szCs w:val="22"/>
          <w:color w:val="000000"/>
        </w:rPr>
        <w:t>Subtenant shall procure and maintain, at its own cost and expense, such insurance as is required to be carried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Sublandlord as tenant under the Master Lease, naming Sublandlord and Master Landlord as additional insureds. Subtenant shall furnish to Sublandlord a certificate of Subtenant’s insurance required hereunder prior to Subtenant’s taking possession of the Subleased Premises. Such insurance shall provide that coverage will not be canceled or materially altered without at least thirty (30) days prior written notice to Sublandlord.</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010000"/>
        </w:rPr>
        <w:t xml:space="preserve">9.2 </w:t>
      </w:r>
      <w:r>
        <w:rPr>
          <w:rFonts w:ascii="Times New Roman" w:cs="Times New Roman" w:eastAsia="Times New Roman" w:hAnsi="Times New Roman"/>
          <w:sz w:val="22"/>
          <w:szCs w:val="22"/>
          <w:color w:val="000000"/>
        </w:rPr>
        <w:t>Notwithstanding anything to the contrary in this Sublease, Subtenant and Sublandlord each waive their respective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rights to recover from the other for any and all loss of or damage to their respective property if such loss or damage is covered, or required by this Sublease to be covered, by insurance. Subtenant agrees that its insurance policies do now or shall contain the waiver of subrogation.</w:t>
      </w:r>
    </w:p>
    <w:p>
      <w:pPr>
        <w:spacing w:after="0" w:line="189" w:lineRule="exact"/>
        <w:rPr>
          <w:sz w:val="20"/>
          <w:szCs w:val="20"/>
          <w:color w:val="auto"/>
        </w:rPr>
      </w:pPr>
    </w:p>
    <w:p>
      <w:pPr>
        <w:jc w:val="both"/>
        <w:ind w:firstLine="656"/>
        <w:spacing w:after="0" w:line="247" w:lineRule="auto"/>
        <w:tabs>
          <w:tab w:leader="none" w:pos="1296"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Improvements; Maintenance</w:t>
      </w:r>
      <w:r>
        <w:rPr>
          <w:rFonts w:ascii="Times New Roman" w:cs="Times New Roman" w:eastAsia="Times New Roman" w:hAnsi="Times New Roman"/>
          <w:sz w:val="22"/>
          <w:szCs w:val="22"/>
          <w:color w:val="auto"/>
        </w:rPr>
        <w:t>. Subtenant shall not make any alterations, modifications or improvements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Alterations</w:t>
      </w:r>
      <w:r>
        <w:rPr>
          <w:rFonts w:ascii="Times New Roman" w:cs="Times New Roman" w:eastAsia="Times New Roman" w:hAnsi="Times New Roman"/>
          <w:sz w:val="22"/>
          <w:szCs w:val="22"/>
          <w:color w:val="auto"/>
        </w:rPr>
        <w:t>”) to the Subleased Premises without Sublandlord’s and Master Landlord’s prior written consent. Any such approved Alterations shall be in accordance with Section 8 of the Master Lease Terms and made in a good, workmanlike manner, free of any liens and in substantial compliance with applicable laws. Notwithstanding the foregoing, following completion of the Subtenant Improvements (defined below), Subtenant may construct nonstructural Alterations in the Subleased Premises without Sublandlord’s prior approval if the aggregate cost of all such work in any 12 month period does not exceed $50,000 (a “</w:t>
      </w:r>
      <w:r>
        <w:rPr>
          <w:rFonts w:ascii="Times New Roman" w:cs="Times New Roman" w:eastAsia="Times New Roman" w:hAnsi="Times New Roman"/>
          <w:sz w:val="22"/>
          <w:szCs w:val="22"/>
          <w:b w:val="1"/>
          <w:bCs w:val="1"/>
          <w:color w:val="auto"/>
        </w:rPr>
        <w:t>Notice-Only Alteration</w:t>
      </w:r>
      <w:r>
        <w:rPr>
          <w:rFonts w:ascii="Times New Roman" w:cs="Times New Roman" w:eastAsia="Times New Roman" w:hAnsi="Times New Roman"/>
          <w:sz w:val="22"/>
          <w:szCs w:val="22"/>
          <w:color w:val="auto"/>
        </w:rPr>
        <w:t>”), provided Subtenant notifies Sublandlord in writing of such intended Notice-Only Alteration, and such notice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accompanied by plans, specifications, work contracts and such other information concerning the nature and cost of the Notice-Only Alteration as may be reasonably requested by Sublandlord, which notice and accompanying materials shall be delivered to Sublandlord not less than 15 business days in advance of any proposed construction. Notwithstanding the foregoing, any such Notice-Only Alteration shall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only be permitted to the extent it is permitted under the Master Lease and, if permitted, constructed in compliance with the Master Lease.</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 the event that Subtenant desires to undertake Alterations (other than the Subtenant Improvements or any Notice-Only Alterations), Subtenant shall provide a request to Sublandlord, together with all supporting documentation that would be required under the Master Lease for a request to construct Alterations (</w:t>
      </w:r>
      <w:r>
        <w:rPr>
          <w:rFonts w:ascii="Times New Roman" w:cs="Times New Roman" w:eastAsia="Times New Roman" w:hAnsi="Times New Roman"/>
          <w:sz w:val="22"/>
          <w:szCs w:val="22"/>
          <w:b w:val="1"/>
          <w:bCs w:val="1"/>
          <w:color w:val="auto"/>
        </w:rPr>
        <w:t>“Alterations Request</w:t>
      </w:r>
      <w:r>
        <w:rPr>
          <w:rFonts w:ascii="Times New Roman" w:cs="Times New Roman" w:eastAsia="Times New Roman" w:hAnsi="Times New Roman"/>
          <w:sz w:val="22"/>
          <w:szCs w:val="22"/>
          <w:color w:val="auto"/>
        </w:rPr>
        <w:t>”). Sublandlord shall have reasonable approval rights with respect to any such Alterations Request. If Sublandlord approves of such Alterations Request, Sublandlord shall seek approval from Master Landlord for such Alterations Request. If approved by Sublandlord and Master Lease Terms, the Alterations contemplated by such Alterations Request shall be undertaken in the manner contemplated herein and by the Master Landlord, and subject to such reasonable terms and conditions as may be imposed by Master Landlord or Sublandlord. Subtenant makes no representation or warranty with respect to whether any such Alterations Request may be approved by Master Landlord. In the event that Master Landlord approves of an Alterations Request, Subtenant shall be deemed to have also approved of such Alterations Request. No Alterations shall be undertaken without Sublandlord’s express written consent (other than the Subtenant Improvements governed by the provisions below or any Notice-Only Alterations).</w:t>
      </w:r>
    </w:p>
    <w:p>
      <w:pPr>
        <w:spacing w:after="0" w:line="18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Upon expiration of the Sublease Term or the earlier termination of this Sublease, Subtenant shall, upon the written request of Master Landlord or Sublandlord, remove the Subtenant Improvements (defined below). To the extent requested by Master Landlord, or required by the Master Lease, Subtenant shall also remove the Alterations.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Subtenant shall be entitled to a one-time Subtenant improvement allowance from Sublandlord (the “</w:t>
      </w:r>
      <w:r>
        <w:rPr>
          <w:rFonts w:ascii="Times New Roman" w:cs="Times New Roman" w:eastAsia="Times New Roman" w:hAnsi="Times New Roman"/>
          <w:sz w:val="21"/>
          <w:szCs w:val="21"/>
          <w:b w:val="1"/>
          <w:bCs w:val="1"/>
          <w:color w:val="auto"/>
        </w:rPr>
        <w:t>Subtenant Improvement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Allowance</w:t>
      </w:r>
      <w:r>
        <w:rPr>
          <w:rFonts w:ascii="Times New Roman" w:cs="Times New Roman" w:eastAsia="Times New Roman" w:hAnsi="Times New Roman"/>
          <w:sz w:val="21"/>
          <w:szCs w:val="21"/>
          <w:color w:val="auto"/>
        </w:rPr>
        <w:t>”), subject to the terms outlined below, in the amount of up to, but not exceeding, [*] per RSF of the Subleased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Premises ([*]), for the costs of the space planning, design, permitting and construction of Subtenant’s initial improvements which are permanently affixed to the Subleased Premises, including, without limitation, walls, electrical, mechanical, telecommunications wiring, fire protection, plumbing, flooring, equipment necessary to support laboratory operations (including but not limited to nitrogen generators), carpet, wall coverings and millwork (collectively, the “</w:t>
      </w:r>
      <w:r>
        <w:rPr>
          <w:rFonts w:ascii="Times New Roman" w:cs="Times New Roman" w:eastAsia="Times New Roman" w:hAnsi="Times New Roman"/>
          <w:sz w:val="21"/>
          <w:szCs w:val="21"/>
          <w:b w:val="1"/>
          <w:bCs w:val="1"/>
          <w:color w:val="auto"/>
        </w:rPr>
        <w:t>Subtenant Improvements</w:t>
      </w:r>
      <w:r>
        <w:rPr>
          <w:rFonts w:ascii="Times New Roman" w:cs="Times New Roman" w:eastAsia="Times New Roman" w:hAnsi="Times New Roman"/>
          <w:sz w:val="21"/>
          <w:szCs w:val="21"/>
          <w:color w:val="auto"/>
        </w:rPr>
        <w:t>”). In no event shall Sublandlord be obligated to make disbursements pursuant to this Sublease in a total amount which exceeds the Subtenant Improvement Allowance. Subtenant shall not be entitled to receive any cash payment or credit against Rent or otherwise for any portion of the Subtenant Improvement Allowance which is not used to pay for Subtenant Improvements. Sublandlord shall be entitled to a construction management fee in an amount equal to [*], which shall be invoiced to Subtenant at the completion of all Subtenant Improvements and may be paid from the Subtenant Improvement Allowance.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Subtenant shall submit to Sublandlord and Master Landlord detailed plans for the Subtenant Improvements for Sublandlord’s and Master Landlord’s reasonable written approval of said work prior to any work commencing. Subtenant and Sublandlord acknowledge and agree that (i) the preliminary plans are attached hereto as </w:t>
      </w:r>
      <w:r>
        <w:rPr>
          <w:rFonts w:ascii="Times New Roman" w:cs="Times New Roman" w:eastAsia="Times New Roman" w:hAnsi="Times New Roman"/>
          <w:sz w:val="22"/>
          <w:szCs w:val="22"/>
          <w:b w:val="1"/>
          <w:bCs w:val="1"/>
          <w:color w:val="auto"/>
        </w:rPr>
        <w:t>Exhibit G</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Preliminary Plans</w:t>
      </w:r>
      <w:r>
        <w:rPr>
          <w:rFonts w:ascii="Times New Roman" w:cs="Times New Roman" w:eastAsia="Times New Roman" w:hAnsi="Times New Roman"/>
          <w:sz w:val="22"/>
          <w:szCs w:val="22"/>
          <w:color w:val="auto"/>
        </w:rPr>
        <w:t>”), (ii) Sublandlord hereby approves the Preliminary Plans, (iii) the approved architect for the Subtenant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2"/>
          <w:szCs w:val="22"/>
          <w:color w:val="auto"/>
        </w:rPr>
        <w:t>Improvements is Stantec Inc. (provided, that, Subtenant shall have a right to change such architect with the prior written consent of Sublandlord), and (iv) the approved general contractor for the Subtenant Improvements is MAI Construction Inc. (provided, that, Subtenant shall have a right to change such general contractor with the prior written consent of Sublandlord). Subtenant may make material modifications and material amendments to the Preliminary Plans with the prior written consent of Sublandlord and Master Landlord, provided, that, immaterial or ministerial amendments shall not require the approval of Sublandlord and Master Landlord. Sublandlord shall provide such written approval or disapproval within ten (10) business days of Subtenant’s written submission thereof to Sublandlord and Master Landlord. Sublandlord shall exercise commercially reasonable efforts to obtain Sublandlord’s written approval or disapproval, as required by the Master Lease.</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On, or before, June 30, 2027, Subtenant shall submit to Sublandlord one (1) package of invoices for the Subtenant Improvements, which shall include receipts, invoices, unconditional lien waivers, and any other documentation reasonably requested by Sublandlord to evidence the payment by Subtenant for the Subtenant Improvements (“</w:t>
      </w:r>
      <w:r>
        <w:rPr>
          <w:rFonts w:ascii="Times New Roman" w:cs="Times New Roman" w:eastAsia="Times New Roman" w:hAnsi="Times New Roman"/>
          <w:sz w:val="22"/>
          <w:szCs w:val="22"/>
          <w:b w:val="1"/>
          <w:bCs w:val="1"/>
          <w:color w:val="auto"/>
        </w:rPr>
        <w:t>Cost Information</w:t>
      </w:r>
      <w:r>
        <w:rPr>
          <w:rFonts w:ascii="Times New Roman" w:cs="Times New Roman" w:eastAsia="Times New Roman" w:hAnsi="Times New Roman"/>
          <w:sz w:val="22"/>
          <w:szCs w:val="22"/>
          <w:color w:val="auto"/>
        </w:rPr>
        <w:t>”). Within thirty (30) days of receiving all of the Cost Information for either a scope of work or all of the Subtenant Improvements, Sublandlord shall reimburse Subtenant for the amount reflected therein, not to exceed the Subtenant Improvement Allowance. Notwithstanding anything to the contrary contained herein, Sublandlord and Subtenant acknowledge and agree that Sublandlord shall have no obligation to disburse Subtenant Improvement Allowance funds for any costs that are not supported by Cost Information. Further, Sublandlord shall have no obligation to pay the Subtenant Improvement Allowance, if Subtenant fails to provide the Cost Information to Sublandlord by June 30, 2027.</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Sublandlord designates: (i) Henry Flores, and (ii) another representative to be designated after the Effective Date by Sublandlord’s Real Estate Department (such individuals collectively being the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as the only person authorized to act for Sublandlord with respect to the Subtenant Improvements. Subtenant shall not be obligated to respond to or act upon any request, approval, inquiry or other communication from or on behalf of Sublandlord in connection with completion of the Subtenant Improvements unless such communication is in writing from Representative. Sublandlord may change the Representative at any time upon not less than 5 business days advance written notice to Subtenant.</w:t>
      </w:r>
    </w:p>
    <w:p>
      <w:pPr>
        <w:spacing w:after="0" w:line="177" w:lineRule="exact"/>
        <w:rPr>
          <w:sz w:val="20"/>
          <w:szCs w:val="20"/>
          <w:color w:val="auto"/>
        </w:rPr>
      </w:pPr>
    </w:p>
    <w:p>
      <w:pPr>
        <w:ind w:firstLine="656"/>
        <w:spacing w:after="0" w:line="287" w:lineRule="auto"/>
        <w:tabs>
          <w:tab w:leader="none" w:pos="1288"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Surrender of the Subleased Premises</w:t>
      </w:r>
      <w:r>
        <w:rPr>
          <w:rFonts w:ascii="Times New Roman" w:cs="Times New Roman" w:eastAsia="Times New Roman" w:hAnsi="Times New Roman"/>
          <w:sz w:val="22"/>
          <w:szCs w:val="22"/>
          <w:color w:val="auto"/>
        </w:rPr>
        <w:t>. Upon the expiration or earlier termination of this Sublease, Subtenant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surrender and deliver the Subleased Premises to Sublandlord in accordance with the terms of the Master Lease.</w:t>
      </w:r>
    </w:p>
    <w:p>
      <w:pPr>
        <w:spacing w:after="0" w:line="137" w:lineRule="exact"/>
        <w:rPr>
          <w:rFonts w:ascii="Times New Roman" w:cs="Times New Roman" w:eastAsia="Times New Roman" w:hAnsi="Times New Roman"/>
          <w:sz w:val="22"/>
          <w:szCs w:val="22"/>
          <w:color w:val="010000"/>
        </w:rPr>
      </w:pPr>
    </w:p>
    <w:p>
      <w:pPr>
        <w:jc w:val="both"/>
        <w:ind w:firstLine="656"/>
        <w:spacing w:after="0" w:line="253" w:lineRule="auto"/>
        <w:tabs>
          <w:tab w:leader="none" w:pos="1296"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Access by Sublandlord</w:t>
      </w:r>
      <w:r>
        <w:rPr>
          <w:rFonts w:ascii="Times New Roman" w:cs="Times New Roman" w:eastAsia="Times New Roman" w:hAnsi="Times New Roman"/>
          <w:sz w:val="22"/>
          <w:szCs w:val="22"/>
          <w:color w:val="auto"/>
        </w:rPr>
        <w:t>. Sublandlord and its agents and representatives shall have access to the Subleased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Premises during regular business hours upon at least two (2) business days’ prior written notice (except for emergencies) to examine the Subleased Premises for reasonable compliance with the Sublease or the Master Lease. Subtenant may send a representative of Subtenant to accompany Sublandlord during such entry into the Subleased Premises.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15" w:name="page116"/>
    <w:bookmarkEnd w:id="115"/>
    <w:p>
      <w:pPr>
        <w:spacing w:after="0" w:line="194"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Assignment and Subletting</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13.1 </w:t>
      </w:r>
      <w:r>
        <w:rPr>
          <w:rFonts w:ascii="Times New Roman" w:cs="Times New Roman" w:eastAsia="Times New Roman" w:hAnsi="Times New Roman"/>
          <w:sz w:val="22"/>
          <w:szCs w:val="22"/>
          <w:color w:val="000000"/>
        </w:rPr>
        <w:t>Subtenant shall have no right to mortgage, hypothecate or otherwise encumber its leasehold estate in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Subleased Premises or its rights under this Sublease, and Sublandlord and Subtenant specifically agree that any such mortgage, hypothecation or encumbrance by Subtenant is strictly and absolutely prohibited</w:t>
      </w:r>
    </w:p>
    <w:p>
      <w:pPr>
        <w:spacing w:after="0" w:line="16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13.2 </w:t>
      </w:r>
      <w:r>
        <w:rPr>
          <w:rFonts w:ascii="Times New Roman" w:cs="Times New Roman" w:eastAsia="Times New Roman" w:hAnsi="Times New Roman"/>
          <w:sz w:val="22"/>
          <w:szCs w:val="22"/>
          <w:color w:val="000000"/>
        </w:rPr>
        <w:t>Subtenant expressly agrees that it shall not assign, sublease or otherwise transfer this Sublease, or Subtenant’s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interest in and to the Subleased Premises (in part or in whole), nor enter into any other occupancy agreement with respect to the Subleased Premises (any of the foregoing collectively referred to herein as an “</w:t>
      </w:r>
      <w:r>
        <w:rPr>
          <w:rFonts w:ascii="Times New Roman" w:cs="Times New Roman" w:eastAsia="Times New Roman" w:hAnsi="Times New Roman"/>
          <w:sz w:val="22"/>
          <w:szCs w:val="22"/>
          <w:b w:val="1"/>
          <w:bCs w:val="1"/>
          <w:color w:val="000000"/>
        </w:rPr>
        <w:t>Assignment</w:t>
      </w:r>
      <w:r>
        <w:rPr>
          <w:rFonts w:ascii="Times New Roman" w:cs="Times New Roman" w:eastAsia="Times New Roman" w:hAnsi="Times New Roman"/>
          <w:sz w:val="22"/>
          <w:szCs w:val="22"/>
          <w:color w:val="000000"/>
        </w:rPr>
        <w:t>”) without the prior written consent of Sublandlord and Master Landlord, in their sole and absolute discretion. Any such Assignment, without Sublandlord’s and Master Landlord’s prior written consent shall be void and of no force or effect, and in connection with any Assignment, Subtenant shall not be relieved from any of its obligations under this Sublease.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13.3 </w:t>
      </w:r>
      <w:r>
        <w:rPr>
          <w:rFonts w:ascii="Times New Roman" w:cs="Times New Roman" w:eastAsia="Times New Roman" w:hAnsi="Times New Roman"/>
          <w:sz w:val="22"/>
          <w:szCs w:val="22"/>
          <w:color w:val="000000"/>
        </w:rPr>
        <w:t>In connection with any Assignment, Subtenant shall pay to Sublandlord [*] of all sums or other consideration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received by Subtenant as a result of any Assignment in excess of the Base Rent and Additional Rent payable under this Sublease, after deducting therefrom the costs of any tenant improvements for a transferee pursuant to such Assignment amortized over the remaining term of the Master Lease and all broker commissions and legal fees incurred in connection therewith. If such consideration is received by Subtenant in installments, the portion of each installment to be paid to Sublandlord shall be determined by subtracting from the installment an amount equal to the total amount of the foregoing permitted deductions divided by the total number of installments.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010000"/>
        </w:rPr>
        <w:t>13.4</w:t>
      </w:r>
      <w:r>
        <w:rPr>
          <w:sz w:val="20"/>
          <w:szCs w:val="20"/>
          <w:color w:val="auto"/>
        </w:rPr>
        <w:tab/>
      </w:r>
      <w:r>
        <w:rPr>
          <w:rFonts w:ascii="Times New Roman" w:cs="Times New Roman" w:eastAsia="Times New Roman" w:hAnsi="Times New Roman"/>
          <w:sz w:val="21"/>
          <w:szCs w:val="21"/>
          <w:color w:val="auto"/>
        </w:rPr>
        <w:t>Subtenant shall not request consent to an Assignment until after the Abatement Period has ended.</w:t>
      </w:r>
    </w:p>
    <w:p>
      <w:pPr>
        <w:spacing w:after="0" w:line="24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010000"/>
        </w:rPr>
        <w:t xml:space="preserve">13.5 </w:t>
      </w:r>
      <w:r>
        <w:rPr>
          <w:rFonts w:ascii="Times New Roman" w:cs="Times New Roman" w:eastAsia="Times New Roman" w:hAnsi="Times New Roman"/>
          <w:sz w:val="22"/>
          <w:szCs w:val="22"/>
          <w:color w:val="000000"/>
        </w:rPr>
        <w:t>Sublandlord shall have no right to assign, sublease or otherwise transfer this Sublease or the Master Lease,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Sublandlord’s interest in and to the Subleased Premises (in part or in whole) without the prior written consent of Subtenant. Notwithstanding the foregoing Sublandlord shall have the right to assign this Sublease, without Subtenant’s consent, to an Affiliate (as hereinafter defined). An “Affiliate” for purposes of this Section 13.5 shall mean a person, association, partnership, corporation or joint-stock company, trust or other business entity, however organized, which controls, is controlled by, or is in common control with Tenant’s parent company, Johnson &amp; Johnson.</w:t>
      </w:r>
    </w:p>
    <w:p>
      <w:pPr>
        <w:spacing w:after="0" w:line="191" w:lineRule="exact"/>
        <w:rPr>
          <w:sz w:val="20"/>
          <w:szCs w:val="20"/>
          <w:color w:val="auto"/>
        </w:rPr>
      </w:pPr>
    </w:p>
    <w:p>
      <w:pPr>
        <w:jc w:val="both"/>
        <w:ind w:firstLine="656"/>
        <w:spacing w:after="0" w:line="253" w:lineRule="auto"/>
        <w:tabs>
          <w:tab w:leader="none" w:pos="1296" w:val="left"/>
        </w:tabs>
        <w:numPr>
          <w:ilvl w:val="0"/>
          <w:numId w:val="6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Default and Remedies</w:t>
      </w:r>
      <w:r>
        <w:rPr>
          <w:rFonts w:ascii="Times New Roman" w:cs="Times New Roman" w:eastAsia="Times New Roman" w:hAnsi="Times New Roman"/>
          <w:sz w:val="22"/>
          <w:szCs w:val="22"/>
          <w:color w:val="auto"/>
        </w:rPr>
        <w:t>. If Subtenant fails to perform or fulfill any of the terms, covenants, obligations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set forth in this Sublease, Sublandlord shall have and may exercise any of the rights and remedies of Master Landlord set forth in the Master Lease, and Subtenant shall be and remain liable to Sublandlord to the extent provided therein, in addition to all other rights and remedies available at law or in equity.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Sublandlord shall have the same obligations to Subtenant and rights against Subtenant with respect to this Sublease, as the “Landlord” has with respect to and against the “Tenant” pursuant to the Master Lease.</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anything to the contrary contained herein or in the Master Lease, Sublandlord shall promptly after receiving any notice of default of the Master Lease from Master Landlord (to the extent Master Landlord did not send the same to Subtenant, as evidenced by the notice of default) deliver to Subtenant a copy of such notice. Upon at least two (2) business days’ advance notice to Sublandlord of Subtenant’s intention to cure the default identified in such notice from Master Landlord, Subtenant shall have a right to cure such default at a time no earlier than two (2) business days prior to the end of the cure period set forth in the Master Lease applicable to such default.</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14.1 </w:t>
      </w:r>
      <w:r>
        <w:rPr>
          <w:rFonts w:ascii="Times New Roman" w:cs="Times New Roman" w:eastAsia="Times New Roman" w:hAnsi="Times New Roman"/>
          <w:sz w:val="22"/>
          <w:szCs w:val="22"/>
          <w:b w:val="1"/>
          <w:bCs w:val="1"/>
          <w:color w:val="000000"/>
        </w:rPr>
        <w:t>Consequential Damages</w:t>
      </w:r>
      <w:r>
        <w:rPr>
          <w:rFonts w:ascii="Times New Roman" w:cs="Times New Roman" w:eastAsia="Times New Roman" w:hAnsi="Times New Roman"/>
          <w:sz w:val="22"/>
          <w:szCs w:val="22"/>
          <w:color w:val="000000"/>
        </w:rPr>
        <w:t>. In no event shall any party hereto, on behalf of themselves and all other related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have any liability for, any indirect, consequential, or punitive damages, including loss of profits or business opportunity, arising under or in connection with this Sublease.</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14.2 </w:t>
      </w:r>
      <w:r>
        <w:rPr>
          <w:rFonts w:ascii="Times New Roman" w:cs="Times New Roman" w:eastAsia="Times New Roman" w:hAnsi="Times New Roman"/>
          <w:sz w:val="22"/>
          <w:szCs w:val="22"/>
          <w:b w:val="1"/>
          <w:bCs w:val="1"/>
          <w:color w:val="000000"/>
        </w:rPr>
        <w:t>No Waiver</w:t>
      </w:r>
      <w:r>
        <w:rPr>
          <w:rFonts w:ascii="Times New Roman" w:cs="Times New Roman" w:eastAsia="Times New Roman" w:hAnsi="Times New Roman"/>
          <w:sz w:val="22"/>
          <w:szCs w:val="22"/>
          <w:color w:val="000000"/>
        </w:rPr>
        <w:t>. No delay or omission by either Sublandlord or Subtenant to exercise any right it has under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Sublease shall impair or be construed as a waiver of such right. A party waives only those rights specified in writing and signed by the party waiving its rights. Any waiver by either Sublandlord or Subtenant of any breach or obligation shall not be construed to be a waiver of any succeeding breach or any other obligation under this Sublease.</w:t>
      </w:r>
    </w:p>
    <w:p>
      <w:pPr>
        <w:spacing w:after="0" w:line="168" w:lineRule="exact"/>
        <w:rPr>
          <w:sz w:val="20"/>
          <w:szCs w:val="20"/>
          <w:color w:val="auto"/>
        </w:rPr>
      </w:pPr>
    </w:p>
    <w:p>
      <w:pPr>
        <w:jc w:val="both"/>
        <w:ind w:firstLine="656"/>
        <w:spacing w:after="0" w:line="250" w:lineRule="auto"/>
        <w:tabs>
          <w:tab w:leader="none" w:pos="1296"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Bankruptcy</w:t>
      </w:r>
      <w:r>
        <w:rPr>
          <w:rFonts w:ascii="Times New Roman" w:cs="Times New Roman" w:eastAsia="Times New Roman" w:hAnsi="Times New Roman"/>
          <w:sz w:val="22"/>
          <w:szCs w:val="22"/>
          <w:color w:val="auto"/>
        </w:rPr>
        <w:t>. In the event that Subtenant or any guarantor of this Sublease makes a general assignment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creditors, files a voluntary petition of bankruptcy or reorganization, is the subject of an involuntary petition of bankruptcy or reorganization, or is subject to a receivership, attachment of judicial seizure of the Subleased Premises or substantially all of Subtenant’s assets on the Subleased Premises, Sublandlord may require that Subtenant (or any applicable bankruptcy administrators or trustees), no more than twenty (20) days after Sublandlord’s request therefor, deposit security with Sublandlord for future rent payments. To the extent that no such security is furnished to Sublandlord, Sublandlord shall have the right to terminate this Sublease with immediate effect.</w:t>
      </w:r>
    </w:p>
    <w:p>
      <w:pPr>
        <w:spacing w:after="0" w:line="180" w:lineRule="exact"/>
        <w:rPr>
          <w:rFonts w:ascii="Times New Roman" w:cs="Times New Roman" w:eastAsia="Times New Roman" w:hAnsi="Times New Roman"/>
          <w:sz w:val="22"/>
          <w:szCs w:val="22"/>
          <w:color w:val="010000"/>
        </w:rPr>
      </w:pPr>
    </w:p>
    <w:p>
      <w:pPr>
        <w:ind w:right="20" w:firstLine="656"/>
        <w:spacing w:after="0" w:line="275" w:lineRule="auto"/>
        <w:tabs>
          <w:tab w:leader="none" w:pos="1296"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Hazardous Materials and Environmental Provisions</w:t>
      </w:r>
      <w:r>
        <w:rPr>
          <w:rFonts w:ascii="Times New Roman" w:cs="Times New Roman" w:eastAsia="Times New Roman" w:hAnsi="Times New Roman"/>
          <w:sz w:val="22"/>
          <w:szCs w:val="22"/>
          <w:color w:val="auto"/>
        </w:rPr>
        <w:t>. Subtenant shall be bound by and comply with all laws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provisions of Section 5.3 of the Master Lease.</w:t>
      </w:r>
    </w:p>
    <w:p>
      <w:pPr>
        <w:spacing w:after="0" w:line="16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Estoppel Certificates</w:t>
      </w:r>
      <w:r>
        <w:rPr>
          <w:rFonts w:ascii="Times New Roman" w:cs="Times New Roman" w:eastAsia="Times New Roman" w:hAnsi="Times New Roman"/>
          <w:sz w:val="21"/>
          <w:szCs w:val="21"/>
          <w:color w:val="auto"/>
        </w:rPr>
        <w:t>. Subtenant shall, at any time and from time to time during the Sublease Term within seven</w:t>
      </w:r>
    </w:p>
    <w:p>
      <w:pPr>
        <w:spacing w:after="0" w:line="43" w:lineRule="exact"/>
        <w:rPr>
          <w:rFonts w:ascii="Times New Roman" w:cs="Times New Roman" w:eastAsia="Times New Roman" w:hAnsi="Times New Roman"/>
          <w:sz w:val="21"/>
          <w:szCs w:val="21"/>
          <w:color w:val="010000"/>
        </w:rPr>
      </w:pPr>
    </w:p>
    <w:p>
      <w:pPr>
        <w:ind w:firstLine="8"/>
        <w:spacing w:after="0" w:line="248" w:lineRule="auto"/>
        <w:tabs>
          <w:tab w:leader="none" w:pos="33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prior written notice from Sublandlord, execute, acknowledge and deliver to Sublandlord a written estoppel certificate substantially in the form of </w:t>
      </w:r>
      <w:r>
        <w:rPr>
          <w:rFonts w:ascii="Times New Roman" w:cs="Times New Roman" w:eastAsia="Times New Roman" w:hAnsi="Times New Roman"/>
          <w:sz w:val="22"/>
          <w:szCs w:val="22"/>
          <w:b w:val="1"/>
          <w:bCs w:val="1"/>
          <w:color w:val="auto"/>
        </w:rPr>
        <w:t>Exhibit H</w:t>
      </w:r>
      <w:r>
        <w:rPr>
          <w:rFonts w:ascii="Times New Roman" w:cs="Times New Roman" w:eastAsia="Times New Roman" w:hAnsi="Times New Roman"/>
          <w:sz w:val="22"/>
          <w:szCs w:val="22"/>
          <w:color w:val="auto"/>
        </w:rPr>
        <w:t xml:space="preserve"> hereto if requested by Master Landlord or Sublandlord.</w:t>
      </w:r>
    </w:p>
    <w:p>
      <w:pPr>
        <w:spacing w:after="0" w:line="178"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1"/>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Holding Over</w:t>
      </w:r>
      <w:r>
        <w:rPr>
          <w:rFonts w:ascii="Times New Roman" w:cs="Times New Roman" w:eastAsia="Times New Roman" w:hAnsi="Times New Roman"/>
          <w:sz w:val="22"/>
          <w:szCs w:val="22"/>
          <w:color w:val="auto"/>
        </w:rPr>
        <w:t>. If Subtenant remains in possession of the Subleased Premises after the expiration or earlier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termination of the Sublease Term Subtenant shall not acquire any right, title, or interest in or to the Subleased Premises. In such event, Subtenant shall occupy the Subleased Premises as a tenant at sufferance, but shall otherwise be subject to all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conditions, provisions and obligations of this Sublease, except the Base Rent shall be equal to [*] of the Base Rent hereunder for the last full calendar month of the Sublease Term, and Subtenant shall be liable for damages sustained by Master Landlord for which the Sublandlord is responsible pursuant to Section 16 of the Master Lease as a result of such holding over. The parties acknowledge that the foregoing holdover percentage constitutes a contractual penalty.</w:t>
      </w:r>
    </w:p>
    <w:p>
      <w:pPr>
        <w:spacing w:after="0" w:line="172"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Indemnity.</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19.1 </w:t>
      </w:r>
      <w:r>
        <w:rPr>
          <w:rFonts w:ascii="Times New Roman" w:cs="Times New Roman" w:eastAsia="Times New Roman" w:hAnsi="Times New Roman"/>
          <w:sz w:val="22"/>
          <w:szCs w:val="22"/>
          <w:color w:val="000000"/>
        </w:rPr>
        <w:t>To the fullest extent permitted by applicable law, Subtenant agrees to indemnify, defend, hold harmless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Sublandlord and its officers, directors and employees (collectively with Sublandlord, “</w:t>
      </w:r>
      <w:r>
        <w:rPr>
          <w:rFonts w:ascii="Times New Roman" w:cs="Times New Roman" w:eastAsia="Times New Roman" w:hAnsi="Times New Roman"/>
          <w:sz w:val="22"/>
          <w:szCs w:val="22"/>
          <w:b w:val="1"/>
          <w:bCs w:val="1"/>
          <w:color w:val="000000"/>
        </w:rPr>
        <w:t>Sublandlord Representatives</w:t>
      </w:r>
      <w:r>
        <w:rPr>
          <w:rFonts w:ascii="Times New Roman" w:cs="Times New Roman" w:eastAsia="Times New Roman" w:hAnsi="Times New Roman"/>
          <w:sz w:val="22"/>
          <w:szCs w:val="22"/>
          <w:color w:val="000000"/>
        </w:rPr>
        <w:t>”) from, and against any and all claims, losses, costs, attorneys’ fees, liabilities, expenses or damages (collectively, “</w:t>
      </w:r>
      <w:r>
        <w:rPr>
          <w:rFonts w:ascii="Times New Roman" w:cs="Times New Roman" w:eastAsia="Times New Roman" w:hAnsi="Times New Roman"/>
          <w:sz w:val="22"/>
          <w:szCs w:val="22"/>
          <w:b w:val="1"/>
          <w:bCs w:val="1"/>
          <w:color w:val="000000"/>
        </w:rPr>
        <w:t>Losses</w:t>
      </w:r>
      <w:r>
        <w:rPr>
          <w:rFonts w:ascii="Times New Roman" w:cs="Times New Roman" w:eastAsia="Times New Roman" w:hAnsi="Times New Roman"/>
          <w:sz w:val="22"/>
          <w:szCs w:val="22"/>
          <w:color w:val="000000"/>
        </w:rPr>
        <w:t>”) occurring in or about the Subleased Premises during the Sublease Term or during Subtenant’s occupancy of the Subleased Premises, in each case, caused by or arising from: (i) Subtenant’s installation, placement and removal of alterations, improvements, fixtures and/or equipment in, on or about the Subleased Premises), or (ii) any acts, omissions, negligence or willful misconduct of Subtenant or of any person claiming by, through or under Subtenant or its employees, contractors, agents or invitees, except to the extent that any such Losses are caused by Sublandlord’s negligence or willful misconduct.</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010000"/>
        </w:rPr>
        <w:t xml:space="preserve">19.2 </w:t>
      </w:r>
      <w:r>
        <w:rPr>
          <w:rFonts w:ascii="Times New Roman" w:cs="Times New Roman" w:eastAsia="Times New Roman" w:hAnsi="Times New Roman"/>
          <w:sz w:val="22"/>
          <w:szCs w:val="22"/>
          <w:color w:val="000000"/>
        </w:rPr>
        <w:t>Sublandlord shall not be liable or responsible for, and Subtenant waives all claims against Sublandlord, its agents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employees, arising from any loss of or damage to property on the Subleased Premises or injury or death to Subtenant, or other person, except to the extent caused by the gross negligence or willful misconduct of Sublandlord Representatives.</w:t>
      </w:r>
    </w:p>
    <w:p>
      <w:pPr>
        <w:spacing w:after="0" w:line="163" w:lineRule="exact"/>
        <w:rPr>
          <w:sz w:val="20"/>
          <w:szCs w:val="20"/>
          <w:color w:val="auto"/>
        </w:rPr>
      </w:pPr>
    </w:p>
    <w:p>
      <w:pPr>
        <w:jc w:val="both"/>
        <w:ind w:firstLine="656"/>
        <w:spacing w:after="0" w:line="250" w:lineRule="auto"/>
        <w:tabs>
          <w:tab w:leader="none" w:pos="1296"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 xml:space="preserve">ROFO. </w:t>
      </w:r>
      <w:r>
        <w:rPr>
          <w:rFonts w:ascii="Times New Roman" w:cs="Times New Roman" w:eastAsia="Times New Roman" w:hAnsi="Times New Roman"/>
          <w:sz w:val="22"/>
          <w:szCs w:val="22"/>
          <w:color w:val="auto"/>
        </w:rPr>
        <w:t>For the first twelve (12) months following the Effective Date, Subtenant shall a right of first offer to 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space that becomes available on the fourth floor of Building C (the “</w:t>
      </w:r>
      <w:r>
        <w:rPr>
          <w:rFonts w:ascii="Times New Roman" w:cs="Times New Roman" w:eastAsia="Times New Roman" w:hAnsi="Times New Roman"/>
          <w:sz w:val="22"/>
          <w:szCs w:val="22"/>
          <w:b w:val="1"/>
          <w:bCs w:val="1"/>
          <w:color w:val="auto"/>
        </w:rPr>
        <w:t>ROFO Space</w:t>
      </w:r>
      <w:r>
        <w:rPr>
          <w:rFonts w:ascii="Times New Roman" w:cs="Times New Roman" w:eastAsia="Times New Roman" w:hAnsi="Times New Roman"/>
          <w:sz w:val="22"/>
          <w:szCs w:val="22"/>
          <w:color w:val="auto"/>
        </w:rPr>
        <w:t>”) located at 1400 Sierra Point Parkway throughout the Sublease Term (the “</w:t>
      </w:r>
      <w:r>
        <w:rPr>
          <w:rFonts w:ascii="Times New Roman" w:cs="Times New Roman" w:eastAsia="Times New Roman" w:hAnsi="Times New Roman"/>
          <w:sz w:val="22"/>
          <w:szCs w:val="22"/>
          <w:b w:val="1"/>
          <w:bCs w:val="1"/>
          <w:color w:val="auto"/>
        </w:rPr>
        <w:t>ROFO</w:t>
      </w:r>
      <w:r>
        <w:rPr>
          <w:rFonts w:ascii="Times New Roman" w:cs="Times New Roman" w:eastAsia="Times New Roman" w:hAnsi="Times New Roman"/>
          <w:sz w:val="22"/>
          <w:szCs w:val="22"/>
          <w:color w:val="auto"/>
        </w:rPr>
        <w:t>”). This right will not be personal to Subtenant and may be exercised by a permitted assignee of Subtenant (but not sub-subtenant) then in possessions of the Subleased Premises. Sublandlord shall notify Subtenant prior to entering into any sublease with a third party for the ROFO Space, which notice shall include the base rent, tenant improvement allowance amount and the length of the term for which Sublandlord is willing to lease the ROFO Space to Subtenant. Upon Subtenant’s delivery of notice that it intends to accept any such portion of the ROFO Space pursuant to the ROFO, Sublandlord and Subtenant shall use reasonable efforts to enter to a mutually acceptable amendment to this Sublease with respect to the addition of the ROFO Space.</w:t>
      </w:r>
    </w:p>
    <w:p>
      <w:pPr>
        <w:spacing w:after="0" w:line="18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If Subtenant does not elect to sublease the ROFO Space, then Sublandlord shall be free to negotiate and enter into a sublease for the ROFO Space to anyone whom it desires on terms that,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a net effective basis, are not more than [*] more favorable to the tenant than the terms offered to Subtenant.</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Subtenant’s ROFO shall terminate [*] after the Effective Date.</w:t>
      </w:r>
    </w:p>
    <w:p>
      <w:pPr>
        <w:spacing w:after="0" w:line="216" w:lineRule="exact"/>
        <w:rPr>
          <w:sz w:val="20"/>
          <w:szCs w:val="20"/>
          <w:color w:val="auto"/>
        </w:rPr>
      </w:pPr>
    </w:p>
    <w:p>
      <w:pPr>
        <w:ind w:firstLine="656"/>
        <w:spacing w:after="0" w:line="287" w:lineRule="auto"/>
        <w:tabs>
          <w:tab w:leader="none" w:pos="12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Warranty</w:t>
      </w:r>
      <w:r>
        <w:rPr>
          <w:rFonts w:ascii="Times New Roman" w:cs="Times New Roman" w:eastAsia="Times New Roman" w:hAnsi="Times New Roman"/>
          <w:sz w:val="22"/>
          <w:szCs w:val="22"/>
          <w:color w:val="auto"/>
        </w:rPr>
        <w:t>. Sublandlord shall warrant all Premises Systems (as defined in Section 7.1(4) of the Master Lease)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first [*] months of the Sublease Term.</w:t>
      </w:r>
    </w:p>
    <w:p>
      <w:pPr>
        <w:spacing w:after="0" w:line="137" w:lineRule="exact"/>
        <w:rPr>
          <w:rFonts w:ascii="Times New Roman" w:cs="Times New Roman" w:eastAsia="Times New Roman" w:hAnsi="Times New Roman"/>
          <w:sz w:val="22"/>
          <w:szCs w:val="22"/>
          <w:color w:val="010000"/>
        </w:rPr>
      </w:pPr>
    </w:p>
    <w:p>
      <w:pPr>
        <w:jc w:val="both"/>
        <w:ind w:firstLine="656"/>
        <w:spacing w:after="0" w:line="254" w:lineRule="auto"/>
        <w:tabs>
          <w:tab w:leader="none" w:pos="1296"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Generator</w:t>
      </w:r>
      <w:r>
        <w:rPr>
          <w:rFonts w:ascii="Times New Roman" w:cs="Times New Roman" w:eastAsia="Times New Roman" w:hAnsi="Times New Roman"/>
          <w:sz w:val="22"/>
          <w:szCs w:val="22"/>
          <w:color w:val="auto"/>
        </w:rPr>
        <w:t>. Subtenant shall have access to the existing 1000 KW emergency Generator (as defined in the Master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Lease) located in Room B-006, at no cost to Subtenant throughout the Sublease Term and any extensions thereof, except for Subtenant’s share of Operating Expenses attributable to the Generator. If Subtenant reasonably determines that the capacity of the Generator is not sufficient to meet Subtenant's needs in the Subleased Premises, Subtenant shall, with Sublandlord’s and Master Landlord’s prior written consent, have the right to install an additional standby generator at its sole cost and expense.</w:t>
      </w:r>
    </w:p>
    <w:p>
      <w:pPr>
        <w:spacing w:after="0" w:line="173"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b w:val="1"/>
          <w:bCs w:val="1"/>
          <w:color w:val="auto"/>
        </w:rPr>
        <w:t>General Provisions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23.1 </w:t>
      </w:r>
      <w:r>
        <w:rPr>
          <w:rFonts w:ascii="Times New Roman" w:cs="Times New Roman" w:eastAsia="Times New Roman" w:hAnsi="Times New Roman"/>
          <w:sz w:val="22"/>
          <w:szCs w:val="22"/>
          <w:b w:val="1"/>
          <w:bCs w:val="1"/>
          <w:color w:val="000000"/>
        </w:rPr>
        <w:t>General Interpretation</w:t>
      </w:r>
      <w:r>
        <w:rPr>
          <w:rFonts w:ascii="Times New Roman" w:cs="Times New Roman" w:eastAsia="Times New Roman" w:hAnsi="Times New Roman"/>
          <w:sz w:val="22"/>
          <w:szCs w:val="22"/>
          <w:color w:val="000000"/>
        </w:rPr>
        <w:t>. The headings or captions of Sections in this Sublease are for convenience and reference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only, and they in no way define, limit or describe the scope or intent of this Sublease or the provisions of such Sections. The language in all parts of this Sublease shall be in all cases construed as a whole according to its fair meaning, and not strictly for nor against either Sublandlord or Subtenant. In case any one or more of the provisions contained in this Sublease shall be held to be invalid, illegal, or unenforceable in any respect, then the remainder of this Sublease, or the application of such provision to persons or circumstances other than those as to which it is invalid or unenforceable, shall not be affected thereby, and each provision of this Sublease shall be valid and shall be enforceable to the extent permitted by appliable law.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010000"/>
        </w:rPr>
        <w:t xml:space="preserve">23.2 </w:t>
      </w:r>
      <w:r>
        <w:rPr>
          <w:rFonts w:ascii="Times New Roman" w:cs="Times New Roman" w:eastAsia="Times New Roman" w:hAnsi="Times New Roman"/>
          <w:sz w:val="22"/>
          <w:szCs w:val="22"/>
          <w:b w:val="1"/>
          <w:bCs w:val="1"/>
          <w:color w:val="000000"/>
        </w:rPr>
        <w:t>Entire Agreement</w:t>
      </w:r>
      <w:r>
        <w:rPr>
          <w:rFonts w:ascii="Times New Roman" w:cs="Times New Roman" w:eastAsia="Times New Roman" w:hAnsi="Times New Roman"/>
          <w:sz w:val="22"/>
          <w:szCs w:val="22"/>
          <w:color w:val="000000"/>
        </w:rPr>
        <w:t>. This Sublease and the Master Lease contains all the agreements of the parties hereto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respect to any matter covered or mentioned in this Sublease, and no prior agreement or understanding pertaining to any such matter shall be effective for any purpose. No provision of this Sublease may be amended or added to except by an agreement in writing signed by the parties hereto or their respective successors in interest. Sublandlord may not modify or amend the Master Lease without Subtenant’s prior written consent.</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23.3 </w:t>
      </w:r>
      <w:r>
        <w:rPr>
          <w:rFonts w:ascii="Times New Roman" w:cs="Times New Roman" w:eastAsia="Times New Roman" w:hAnsi="Times New Roman"/>
          <w:sz w:val="22"/>
          <w:szCs w:val="22"/>
          <w:b w:val="1"/>
          <w:bCs w:val="1"/>
          <w:color w:val="000000"/>
        </w:rPr>
        <w:t>Counterparts and Execution</w:t>
      </w:r>
      <w:r>
        <w:rPr>
          <w:rFonts w:ascii="Times New Roman" w:cs="Times New Roman" w:eastAsia="Times New Roman" w:hAnsi="Times New Roman"/>
          <w:sz w:val="22"/>
          <w:szCs w:val="22"/>
          <w:color w:val="000000"/>
        </w:rPr>
        <w:t>. This Sublease may be executed by the parties hereto in one or more counterparts,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which, when taken together shall constitute an original. Any party to this Sublease may deliver an executed copy hereof by electronic signature service or other electronic transmission to the other party and any such delivery shall have the same force and effect as delivery of a manually signed copy of this Sublease.</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23.4 </w:t>
      </w:r>
      <w:r>
        <w:rPr>
          <w:rFonts w:ascii="Times New Roman" w:cs="Times New Roman" w:eastAsia="Times New Roman" w:hAnsi="Times New Roman"/>
          <w:sz w:val="22"/>
          <w:szCs w:val="22"/>
          <w:b w:val="1"/>
          <w:bCs w:val="1"/>
          <w:color w:val="000000"/>
        </w:rPr>
        <w:t>Successors and Assigns</w:t>
      </w:r>
      <w:r>
        <w:rPr>
          <w:rFonts w:ascii="Times New Roman" w:cs="Times New Roman" w:eastAsia="Times New Roman" w:hAnsi="Times New Roman"/>
          <w:sz w:val="22"/>
          <w:szCs w:val="22"/>
          <w:color w:val="000000"/>
        </w:rPr>
        <w:t>. The covenants, conditions and agreements herein contained shall bind and inure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benefit of Sublandlord, its successors and assigns, and Subtenant, its successors and assigns, subject to the provisions of this Sublease.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23.5 </w:t>
      </w:r>
      <w:r>
        <w:rPr>
          <w:rFonts w:ascii="Times New Roman" w:cs="Times New Roman" w:eastAsia="Times New Roman" w:hAnsi="Times New Roman"/>
          <w:sz w:val="22"/>
          <w:szCs w:val="22"/>
          <w:b w:val="1"/>
          <w:bCs w:val="1"/>
          <w:color w:val="000000"/>
        </w:rPr>
        <w:t>Notices</w:t>
      </w:r>
      <w:r>
        <w:rPr>
          <w:rFonts w:ascii="Times New Roman" w:cs="Times New Roman" w:eastAsia="Times New Roman" w:hAnsi="Times New Roman"/>
          <w:sz w:val="22"/>
          <w:szCs w:val="22"/>
          <w:color w:val="000000"/>
        </w:rPr>
        <w:t>. All notices, demands, requests, consents, waivers, approvals and other communications shall be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writing and shall be deemed given (i) upon the hand delivery thereof during business hours provided a receipt is obtained, or (ii) on the next business day following delivery to a recognized overnight delivery service such as Federal Express, freight charges prepaid, or (iii) on the day sent if sent by e-mail on a business day before 5:00 p.m. (Eastern Time) and provided an original is received by the addressee by a nationally recognized overnight courier within one (1) business day after the e-mail, in each case addressed or delivered to the respective parties at their respective addresses as follows or at such other address as either of said parties have theretofore specified by written notice delivered in accordance herewith:</w:t>
      </w:r>
    </w:p>
    <w:p>
      <w:pPr>
        <w:spacing w:after="0" w:line="211"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2"/>
          <w:szCs w:val="22"/>
          <w:color w:val="auto"/>
        </w:rPr>
        <w:t>To Sublandlord:</w:t>
      </w:r>
      <w:r>
        <w:rPr>
          <w:sz w:val="20"/>
          <w:szCs w:val="20"/>
          <w:color w:val="auto"/>
        </w:rPr>
        <w:tab/>
      </w:r>
      <w:r>
        <w:rPr>
          <w:rFonts w:ascii="Times New Roman" w:cs="Times New Roman" w:eastAsia="Times New Roman" w:hAnsi="Times New Roman"/>
          <w:sz w:val="21"/>
          <w:szCs w:val="21"/>
          <w:color w:val="auto"/>
        </w:rPr>
        <w:t>Jannsen Research &amp; Development</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 Johnson &amp; Johnson</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Real Estate Dept (E&amp;PS)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410 George Street</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New Brunswick, NJ 08901</w:t>
      </w:r>
    </w:p>
    <w:p>
      <w:pPr>
        <w:spacing w:after="0" w:line="223"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Jannsen Research &amp; Development</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c/o Johnson &amp; Johnson</w:t>
      </w:r>
    </w:p>
    <w:p>
      <w:pPr>
        <w:spacing w:after="0" w:line="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Attn: Law Department – Real Estate &amp; Leasing</w:t>
      </w:r>
    </w:p>
    <w:p>
      <w:pPr>
        <w:spacing w:after="0" w:line="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One Johnson &amp; Johnson Plaza</w:t>
      </w:r>
    </w:p>
    <w:p>
      <w:pPr>
        <w:spacing w:after="0" w:line="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New Brunswick, NJ 08933</w:t>
      </w:r>
    </w:p>
    <w:p>
      <w:pPr>
        <w:spacing w:after="0" w:line="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Attn: Melissa Spitzner</w:t>
      </w:r>
    </w:p>
    <w:p>
      <w:pPr>
        <w:spacing w:after="0" w:line="223" w:lineRule="exact"/>
        <w:rPr>
          <w:sz w:val="20"/>
          <w:szCs w:val="20"/>
          <w:color w:val="auto"/>
        </w:rPr>
      </w:pPr>
    </w:p>
    <w:tbl>
      <w:tblPr>
        <w:tblLayout w:type="fixed"/>
        <w:tblInd w:w="660" w:type="dxa"/>
        <w:tblCellMar>
          <w:top w:w="0" w:type="dxa"/>
          <w:left w:w="0" w:type="dxa"/>
          <w:bottom w:w="0" w:type="dxa"/>
          <w:right w:w="0" w:type="dxa"/>
        </w:tblCellMar>
      </w:tblPr>
      <w:tr>
        <w:trPr>
          <w:trHeight w:val="270"/>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w w:val="98"/>
              </w:rPr>
              <w:t>To Subtenant (If prior to the</w:t>
            </w: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Nurix Therapeutics, Inc.</w:t>
            </w:r>
          </w:p>
        </w:tc>
        <w:tc>
          <w:tcPr>
            <w:tcW w:w="0" w:type="dxa"/>
            <w:vAlign w:val="bottom"/>
          </w:tcPr>
          <w:p>
            <w:pPr>
              <w:spacing w:after="0"/>
              <w:rPr>
                <w:sz w:val="1"/>
                <w:szCs w:val="1"/>
                <w:color w:val="auto"/>
              </w:rPr>
            </w:pPr>
          </w:p>
        </w:tc>
      </w:tr>
      <w:tr>
        <w:trPr>
          <w:trHeight w:val="256"/>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Sublease Commencement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1700</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Owens Street, Suite 205</w:t>
            </w:r>
          </w:p>
        </w:tc>
        <w:tc>
          <w:tcPr>
            <w:tcW w:w="0" w:type="dxa"/>
            <w:vAlign w:val="bottom"/>
          </w:tcPr>
          <w:p>
            <w:pPr>
              <w:spacing w:after="0"/>
              <w:rPr>
                <w:sz w:val="1"/>
                <w:szCs w:val="1"/>
                <w:color w:val="auto"/>
              </w:rPr>
            </w:pPr>
          </w:p>
        </w:tc>
      </w:tr>
      <w:tr>
        <w:trPr>
          <w:trHeight w:val="282"/>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San Francisco, CA 94158</w:t>
            </w:r>
          </w:p>
        </w:tc>
        <w:tc>
          <w:tcPr>
            <w:tcW w:w="25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Attn: Christine Ring</w:t>
            </w:r>
          </w:p>
        </w:tc>
        <w:tc>
          <w:tcPr>
            <w:tcW w:w="0" w:type="dxa"/>
            <w:vAlign w:val="bottom"/>
          </w:tcPr>
          <w:p>
            <w:pPr>
              <w:spacing w:after="0"/>
              <w:rPr>
                <w:sz w:val="1"/>
                <w:szCs w:val="1"/>
                <w:color w:val="auto"/>
              </w:rPr>
            </w:pPr>
          </w:p>
        </w:tc>
      </w:tr>
      <w:tr>
        <w:trPr>
          <w:trHeight w:val="231"/>
        </w:trPr>
        <w:tc>
          <w:tcPr>
            <w:tcW w:w="2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7"/>
              </w:rPr>
              <w:t>Email: cring@nurixtx.com</w:t>
            </w:r>
          </w:p>
        </w:tc>
        <w:tc>
          <w:tcPr>
            <w:tcW w:w="0" w:type="dxa"/>
            <w:vAlign w:val="bottom"/>
          </w:tcPr>
          <w:p>
            <w:pPr>
              <w:spacing w:after="0"/>
              <w:rPr>
                <w:sz w:val="1"/>
                <w:szCs w:val="1"/>
                <w:color w:val="auto"/>
              </w:rPr>
            </w:pPr>
          </w:p>
        </w:tc>
      </w:tr>
      <w:tr>
        <w:trPr>
          <w:trHeight w:val="460"/>
        </w:trPr>
        <w:tc>
          <w:tcPr>
            <w:tcW w:w="5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To Subtenant (If following the  Nurix Therapeutics, Inc.</w:t>
            </w:r>
          </w:p>
        </w:tc>
        <w:tc>
          <w:tcPr>
            <w:tcW w:w="0" w:type="dxa"/>
            <w:vAlign w:val="bottom"/>
          </w:tcPr>
          <w:p>
            <w:pPr>
              <w:spacing w:after="0"/>
              <w:rPr>
                <w:sz w:val="1"/>
                <w:szCs w:val="1"/>
                <w:color w:val="auto"/>
              </w:rPr>
            </w:pPr>
          </w:p>
        </w:tc>
      </w:tr>
      <w:tr>
        <w:trPr>
          <w:trHeight w:val="281"/>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Sublease Commencement</w:t>
            </w: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1600</w:t>
            </w:r>
          </w:p>
        </w:tc>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Sierra Point Parkway</w:t>
            </w:r>
          </w:p>
        </w:tc>
        <w:tc>
          <w:tcPr>
            <w:tcW w:w="0" w:type="dxa"/>
            <w:vAlign w:val="bottom"/>
          </w:tcPr>
          <w:p>
            <w:pPr>
              <w:spacing w:after="0"/>
              <w:rPr>
                <w:sz w:val="1"/>
                <w:szCs w:val="1"/>
                <w:color w:val="auto"/>
              </w:rPr>
            </w:pPr>
          </w:p>
        </w:tc>
      </w:tr>
    </w:tbl>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Brisbane, CA 94005</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Christine Ring</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cring@nurixtx.com</w:t>
      </w:r>
    </w:p>
    <w:p>
      <w:pPr>
        <w:spacing w:after="0" w:line="200" w:lineRule="exact"/>
        <w:rPr>
          <w:sz w:val="20"/>
          <w:szCs w:val="20"/>
          <w:color w:val="auto"/>
        </w:rPr>
      </w:pPr>
    </w:p>
    <w:p>
      <w:pPr>
        <w:spacing w:after="0" w:line="239" w:lineRule="exact"/>
        <w:rPr>
          <w:sz w:val="20"/>
          <w:szCs w:val="20"/>
          <w:color w:val="auto"/>
        </w:rPr>
      </w:pPr>
    </w:p>
    <w:p>
      <w:pPr>
        <w:ind w:left="660"/>
        <w:spacing w:after="0"/>
        <w:tabs>
          <w:tab w:leader="none" w:pos="2180" w:val="left"/>
        </w:tabs>
        <w:rPr>
          <w:sz w:val="20"/>
          <w:szCs w:val="20"/>
          <w:color w:val="auto"/>
        </w:rPr>
      </w:pPr>
      <w:r>
        <w:rPr>
          <w:rFonts w:ascii="Times New Roman" w:cs="Times New Roman" w:eastAsia="Times New Roman" w:hAnsi="Times New Roman"/>
          <w:sz w:val="22"/>
          <w:szCs w:val="22"/>
          <w:color w:val="auto"/>
        </w:rPr>
        <w:t>With a copy to:</w:t>
      </w:r>
      <w:r>
        <w:rPr>
          <w:sz w:val="20"/>
          <w:szCs w:val="20"/>
          <w:color w:val="auto"/>
        </w:rPr>
        <w:tab/>
      </w:r>
      <w:r>
        <w:rPr>
          <w:rFonts w:ascii="Times New Roman" w:cs="Times New Roman" w:eastAsia="Times New Roman" w:hAnsi="Times New Roman"/>
          <w:sz w:val="21"/>
          <w:szCs w:val="21"/>
          <w:color w:val="auto"/>
        </w:rPr>
        <w:t>Sidley Austin LLP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1999 Avenue of the Stars, 17th Fl</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Los Angeles, CA 90067</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Attn: Diana Ovsepian</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 dovsepian@sidley.com</w:t>
      </w:r>
    </w:p>
    <w:p>
      <w:pPr>
        <w:spacing w:after="0" w:line="200" w:lineRule="exact"/>
        <w:rPr>
          <w:sz w:val="20"/>
          <w:szCs w:val="20"/>
          <w:color w:val="auto"/>
        </w:rPr>
      </w:pPr>
    </w:p>
    <w:p>
      <w:pPr>
        <w:spacing w:after="0" w:line="23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23.6 </w:t>
      </w:r>
      <w:r>
        <w:rPr>
          <w:rFonts w:ascii="Times New Roman" w:cs="Times New Roman" w:eastAsia="Times New Roman" w:hAnsi="Times New Roman"/>
          <w:sz w:val="22"/>
          <w:szCs w:val="22"/>
          <w:b w:val="1"/>
          <w:bCs w:val="1"/>
          <w:color w:val="000000"/>
        </w:rPr>
        <w:t>Brokers</w:t>
      </w:r>
      <w:r>
        <w:rPr>
          <w:rFonts w:ascii="Times New Roman" w:cs="Times New Roman" w:eastAsia="Times New Roman" w:hAnsi="Times New Roman"/>
          <w:sz w:val="22"/>
          <w:szCs w:val="22"/>
          <w:color w:val="000000"/>
        </w:rPr>
        <w:t>. CBRE, Inc. (the “</w:t>
      </w:r>
      <w:r>
        <w:rPr>
          <w:rFonts w:ascii="Times New Roman" w:cs="Times New Roman" w:eastAsia="Times New Roman" w:hAnsi="Times New Roman"/>
          <w:sz w:val="22"/>
          <w:szCs w:val="22"/>
          <w:b w:val="1"/>
          <w:bCs w:val="1"/>
          <w:color w:val="000000"/>
        </w:rPr>
        <w:t>Broker</w:t>
      </w:r>
      <w:r>
        <w:rPr>
          <w:rFonts w:ascii="Times New Roman" w:cs="Times New Roman" w:eastAsia="Times New Roman" w:hAnsi="Times New Roman"/>
          <w:sz w:val="22"/>
          <w:szCs w:val="22"/>
          <w:color w:val="000000"/>
        </w:rPr>
        <w:t>”) has represented both Subtenant and Sublandlord as broker with respect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Sublease. Subtenant and Sublandlord each represent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and warrant to the other that it has no dealings with any real estate broker or agent other than Broker in connection with this Sublease, and that it knows of no other real estate broker, finder or other person that is or might be entitled to a commission in connection with this Sublease in any manner. The Broker shall be compensated by Sublandlord pursuant to a separate written agreement and Subtenant shall not be responsible for any fees payable to Broker.</w:t>
      </w:r>
    </w:p>
    <w:p>
      <w:pPr>
        <w:spacing w:after="0" w:line="19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23.7 </w:t>
      </w:r>
      <w:r>
        <w:rPr>
          <w:rFonts w:ascii="Times New Roman" w:cs="Times New Roman" w:eastAsia="Times New Roman" w:hAnsi="Times New Roman"/>
          <w:sz w:val="22"/>
          <w:szCs w:val="22"/>
          <w:b w:val="1"/>
          <w:bCs w:val="1"/>
          <w:color w:val="000000"/>
        </w:rPr>
        <w:t>Limitation of Liability</w:t>
      </w:r>
      <w:r>
        <w:rPr>
          <w:rFonts w:ascii="Times New Roman" w:cs="Times New Roman" w:eastAsia="Times New Roman" w:hAnsi="Times New Roman"/>
          <w:sz w:val="22"/>
          <w:szCs w:val="22"/>
          <w:color w:val="000000"/>
        </w:rPr>
        <w:t>. Subtenant agrees that the obligations of Sublandlord under this Sublease do not constitute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personal obligations of the individual directors, officers or shareholders of Sublandlord, and Subtenant shall not seek recourse against the individual directors, officers or shareholders of Sublandlord or any of their personal assets for satisfaction of any liability with respect to this Sublease. Sublandlord agrees that the obligations of Subtenant under this Sublease do not constitute personal obligations of the individual directors, officers or shareholders of Subtenant, and Sublandlord shall not seek recourse against the individual directors, officers or shareholders of Subtenant or any of their personal assets for satisfaction of any liability with respect to this Sublease.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010000"/>
        </w:rPr>
        <w:t xml:space="preserve">23.8 </w:t>
      </w:r>
      <w:r>
        <w:rPr>
          <w:rFonts w:ascii="Times New Roman" w:cs="Times New Roman" w:eastAsia="Times New Roman" w:hAnsi="Times New Roman"/>
          <w:sz w:val="22"/>
          <w:szCs w:val="22"/>
          <w:b w:val="1"/>
          <w:bCs w:val="1"/>
          <w:color w:val="000000"/>
        </w:rPr>
        <w:t>Sublease Reviewed</w:t>
      </w:r>
      <w:r>
        <w:rPr>
          <w:rFonts w:ascii="Times New Roman" w:cs="Times New Roman" w:eastAsia="Times New Roman" w:hAnsi="Times New Roman"/>
          <w:sz w:val="22"/>
          <w:szCs w:val="22"/>
          <w:color w:val="000000"/>
        </w:rPr>
        <w:t>. Sublandlord and Subtenant have carefully read and reviewed this Sublease and each term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 contained herein, and each of them has referred this Sublease to its own legal counsel for review and advice as to the legal consequences of this Sublease. Sublandlord and Subtenant acknowledge their informed and voluntary consent thereto. Sublandlord and Subtenant further agree that, at the time this Sublease is executed, the terms of this Sublease are commercially reasonable and effectuate the intent and purpose of Sublandlord and Subtenant with respect to the Subleased Premises.</w:t>
      </w:r>
    </w:p>
    <w:p>
      <w:pPr>
        <w:spacing w:after="0" w:line="17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23.9 </w:t>
      </w:r>
      <w:r>
        <w:rPr>
          <w:rFonts w:ascii="Times New Roman" w:cs="Times New Roman" w:eastAsia="Times New Roman" w:hAnsi="Times New Roman"/>
          <w:sz w:val="22"/>
          <w:szCs w:val="22"/>
          <w:b w:val="1"/>
          <w:bCs w:val="1"/>
          <w:color w:val="000000"/>
        </w:rPr>
        <w:t>Master Landlord Consent</w:t>
      </w:r>
      <w:r>
        <w:rPr>
          <w:rFonts w:ascii="Times New Roman" w:cs="Times New Roman" w:eastAsia="Times New Roman" w:hAnsi="Times New Roman"/>
          <w:sz w:val="22"/>
          <w:szCs w:val="22"/>
          <w:color w:val="000000"/>
        </w:rPr>
        <w:t>. Master Landlord’s consent shall be evidenced by the Master Landlord’s execution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that certain Consent to Sublease dated on or about the date hereof, an executed copy of which is attached hereto as </w:t>
      </w:r>
      <w:r>
        <w:rPr>
          <w:rFonts w:ascii="Times New Roman" w:cs="Times New Roman" w:eastAsia="Times New Roman" w:hAnsi="Times New Roman"/>
          <w:sz w:val="22"/>
          <w:szCs w:val="22"/>
          <w:b w:val="1"/>
          <w:bCs w:val="1"/>
          <w:color w:val="000000"/>
        </w:rPr>
        <w:t>Exhibit B</w:t>
      </w:r>
      <w:r>
        <w:rPr>
          <w:rFonts w:ascii="Times New Roman" w:cs="Times New Roman" w:eastAsia="Times New Roman" w:hAnsi="Times New Roman"/>
          <w:sz w:val="22"/>
          <w:szCs w:val="22"/>
          <w:color w:val="000000"/>
        </w:rPr>
        <w:t>.</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010000"/>
        </w:rPr>
        <w:t xml:space="preserve">23.10  </w:t>
      </w:r>
      <w:r>
        <w:rPr>
          <w:rFonts w:ascii="Times New Roman" w:cs="Times New Roman" w:eastAsia="Times New Roman" w:hAnsi="Times New Roman"/>
          <w:sz w:val="22"/>
          <w:szCs w:val="22"/>
          <w:b w:val="1"/>
          <w:bCs w:val="1"/>
          <w:color w:val="000000"/>
        </w:rPr>
        <w:t>No Recording</w:t>
      </w:r>
      <w:r>
        <w:rPr>
          <w:rFonts w:ascii="Times New Roman" w:cs="Times New Roman" w:eastAsia="Times New Roman" w:hAnsi="Times New Roman"/>
          <w:sz w:val="22"/>
          <w:szCs w:val="22"/>
          <w:color w:val="000000"/>
        </w:rPr>
        <w:t>. Neither party shall record this Sublease or any memorandum or short form of this Sublease.</w:t>
      </w:r>
    </w:p>
    <w:p>
      <w:pPr>
        <w:spacing w:after="0" w:line="23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23.11 </w:t>
      </w:r>
      <w:r>
        <w:rPr>
          <w:rFonts w:ascii="Times New Roman" w:cs="Times New Roman" w:eastAsia="Times New Roman" w:hAnsi="Times New Roman"/>
          <w:sz w:val="22"/>
          <w:szCs w:val="22"/>
          <w:b w:val="1"/>
          <w:bCs w:val="1"/>
          <w:color w:val="000000"/>
        </w:rPr>
        <w:t>Governing Law</w:t>
      </w:r>
      <w:r>
        <w:rPr>
          <w:rFonts w:ascii="Times New Roman" w:cs="Times New Roman" w:eastAsia="Times New Roman" w:hAnsi="Times New Roman"/>
          <w:sz w:val="22"/>
          <w:szCs w:val="22"/>
          <w:color w:val="000000"/>
        </w:rPr>
        <w:t>. This Agreement shall be governed by the laws of the state where the Subleased Premises 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located, excluding any principles of conflicts of laws.</w:t>
      </w:r>
    </w:p>
    <w:p>
      <w:pPr>
        <w:spacing w:after="0" w:line="149"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23.12 </w:t>
      </w:r>
      <w:r>
        <w:rPr>
          <w:rFonts w:ascii="Times New Roman" w:cs="Times New Roman" w:eastAsia="Times New Roman" w:hAnsi="Times New Roman"/>
          <w:sz w:val="22"/>
          <w:szCs w:val="22"/>
          <w:b w:val="1"/>
          <w:bCs w:val="1"/>
          <w:color w:val="000000"/>
        </w:rPr>
        <w:t>Time of Essence</w:t>
      </w:r>
      <w:r>
        <w:rPr>
          <w:rFonts w:ascii="Times New Roman" w:cs="Times New Roman" w:eastAsia="Times New Roman" w:hAnsi="Times New Roman"/>
          <w:sz w:val="22"/>
          <w:szCs w:val="22"/>
          <w:color w:val="000000"/>
        </w:rPr>
        <w:t>. Time is hereby declared to be of the essence of this Sublease and of each and every covenant,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 condition or provision hereof.</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010000"/>
        </w:rPr>
        <w:t xml:space="preserve">23.13 </w:t>
      </w:r>
      <w:r>
        <w:rPr>
          <w:rFonts w:ascii="Times New Roman" w:cs="Times New Roman" w:eastAsia="Times New Roman" w:hAnsi="Times New Roman"/>
          <w:sz w:val="21"/>
          <w:szCs w:val="21"/>
          <w:b w:val="1"/>
          <w:bCs w:val="1"/>
          <w:color w:val="000000"/>
        </w:rPr>
        <w:t>Confidentiality</w:t>
      </w:r>
      <w:r>
        <w:rPr>
          <w:rFonts w:ascii="Times New Roman" w:cs="Times New Roman" w:eastAsia="Times New Roman" w:hAnsi="Times New Roman"/>
          <w:sz w:val="21"/>
          <w:szCs w:val="21"/>
          <w:color w:val="000000"/>
        </w:rPr>
        <w:t>. Subtenant and Sublandlord each acknowledges that the content of this Sublease and any related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documents are confidential information. Sublandlord and Subtenant shall keep such confidential information strictly confidential and shall not disclose such confidential information without the prior written consent of the other party to any person or entity other than (i) to Subtenant’s and/or Sublandlord’s financial, legal, and space planning consultants, (ii) to Subtenant's permitted occupants, (iii) to Subtenant’s and/or Sublandlord’s affiliates, investors, lenders, prospective lenders, or any prospective purchasers, (iv) where disclosure is required in connection with any legal action, regulatory proceeding, or by law, 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8" w:lineRule="exact"/>
        <w:rPr>
          <w:sz w:val="20"/>
          <w:szCs w:val="20"/>
          <w:color w:val="auto"/>
        </w:rPr>
      </w:pPr>
    </w:p>
    <w:p>
      <w:pPr>
        <w:ind w:firstLine="8"/>
        <w:spacing w:after="0" w:line="271" w:lineRule="auto"/>
        <w:tabs>
          <w:tab w:leader="none" w:pos="39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Subtenant’s and/or Sublandlord’s standard public disclosures in earnings calls, required filings or any similar forum.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List of 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A </w:t>
      </w:r>
      <w:r>
        <w:rPr>
          <w:rFonts w:ascii="Times New Roman" w:cs="Times New Roman" w:eastAsia="Times New Roman" w:hAnsi="Times New Roman"/>
          <w:sz w:val="22"/>
          <w:szCs w:val="22"/>
          <w:color w:val="auto"/>
        </w:rPr>
        <w:t>– Subleased Premises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B </w:t>
      </w:r>
      <w:r>
        <w:rPr>
          <w:rFonts w:ascii="Times New Roman" w:cs="Times New Roman" w:eastAsia="Times New Roman" w:hAnsi="Times New Roman"/>
          <w:sz w:val="22"/>
          <w:szCs w:val="22"/>
          <w:color w:val="auto"/>
        </w:rPr>
        <w:t>– Master Landlord’s Consent</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C </w:t>
      </w:r>
      <w:r>
        <w:rPr>
          <w:rFonts w:ascii="Times New Roman" w:cs="Times New Roman" w:eastAsia="Times New Roman" w:hAnsi="Times New Roman"/>
          <w:sz w:val="22"/>
          <w:szCs w:val="22"/>
          <w:color w:val="auto"/>
        </w:rPr>
        <w:t>– Redacted Master Lease</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D </w:t>
      </w:r>
      <w:r>
        <w:rPr>
          <w:rFonts w:ascii="Times New Roman" w:cs="Times New Roman" w:eastAsia="Times New Roman" w:hAnsi="Times New Roman"/>
          <w:sz w:val="22"/>
          <w:szCs w:val="22"/>
          <w:color w:val="auto"/>
        </w:rPr>
        <w:t>– Operations Matrix</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E </w:t>
      </w:r>
      <w:r>
        <w:rPr>
          <w:rFonts w:ascii="Times New Roman" w:cs="Times New Roman" w:eastAsia="Times New Roman" w:hAnsi="Times New Roman"/>
          <w:sz w:val="22"/>
          <w:szCs w:val="22"/>
          <w:color w:val="auto"/>
        </w:rPr>
        <w:t>– Bill of Sale</w:t>
      </w:r>
    </w:p>
    <w:p>
      <w:pPr>
        <w:spacing w:after="0" w:line="2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F </w:t>
      </w:r>
      <w:r>
        <w:rPr>
          <w:rFonts w:ascii="Times New Roman" w:cs="Times New Roman" w:eastAsia="Times New Roman" w:hAnsi="Times New Roman"/>
          <w:sz w:val="22"/>
          <w:szCs w:val="22"/>
          <w:color w:val="auto"/>
        </w:rPr>
        <w:t>– FF&amp;E Inventory</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G </w:t>
      </w:r>
      <w:r>
        <w:rPr>
          <w:rFonts w:ascii="Times New Roman" w:cs="Times New Roman" w:eastAsia="Times New Roman" w:hAnsi="Times New Roman"/>
          <w:sz w:val="22"/>
          <w:szCs w:val="22"/>
          <w:color w:val="auto"/>
        </w:rPr>
        <w:t>– Plans</w:t>
      </w:r>
    </w:p>
    <w:p>
      <w:pPr>
        <w:spacing w:after="0" w:line="2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 xml:space="preserve">Exhibit H </w:t>
      </w:r>
      <w:r>
        <w:rPr>
          <w:rFonts w:ascii="Times New Roman" w:cs="Times New Roman" w:eastAsia="Times New Roman" w:hAnsi="Times New Roman"/>
          <w:sz w:val="22"/>
          <w:szCs w:val="22"/>
          <w:color w:val="auto"/>
        </w:rPr>
        <w:t>– Form Estoppel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Sublease to be effective as of the Effective Date.</w:t>
      </w:r>
    </w:p>
    <w:p>
      <w:pPr>
        <w:sectPr>
          <w:pgSz w:w="11900" w:h="16838" w:orient="portrait"/>
          <w:cols w:equalWidth="0" w:num="1">
            <w:col w:w="9780"/>
          </w:cols>
          <w:pgMar w:left="980" w:top="1440"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SUBTENANT:</w:t>
      </w:r>
    </w:p>
    <w:p>
      <w:pPr>
        <w:spacing w:after="0" w:line="200" w:lineRule="exact"/>
        <w:rPr>
          <w:sz w:val="20"/>
          <w:szCs w:val="20"/>
          <w:color w:val="auto"/>
        </w:rPr>
      </w:pPr>
    </w:p>
    <w:p>
      <w:pPr>
        <w:spacing w:after="0" w:line="26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Nurix Therapeutics, Inc.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207"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Arthur T. Sands____________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-13970</wp:posOffset>
            </wp:positionV>
            <wp:extent cx="10680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68070" cy="8255"/>
                    </a:xfrm>
                    <a:prstGeom prst="rect">
                      <a:avLst/>
                    </a:prstGeom>
                    <a:noFill/>
                  </pic:spPr>
                </pic:pic>
              </a:graphicData>
            </a:graphic>
          </wp:anchor>
        </w:drawing>
      </w:r>
    </w:p>
    <w:p>
      <w:pPr>
        <w:spacing w:after="0" w:line="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 Arthur T. Sands</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SUBLANDLORD:</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Janssen Research &amp; Development, LLC</w:t>
      </w:r>
      <w:r>
        <w:rPr>
          <w:rFonts w:ascii="Times New Roman" w:cs="Times New Roman" w:eastAsia="Times New Roman" w:hAnsi="Times New Roman"/>
          <w:sz w:val="21"/>
          <w:szCs w:val="21"/>
          <w:color w:val="auto"/>
        </w:rPr>
        <w:t>,</w:t>
      </w:r>
    </w:p>
    <w:p>
      <w:pPr>
        <w:spacing w:after="0" w:line="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a New Jersey limited liability company</w:t>
      </w:r>
    </w:p>
    <w:p>
      <w:pPr>
        <w:spacing w:after="0" w:line="196" w:lineRule="exact"/>
        <w:rPr>
          <w:sz w:val="20"/>
          <w:szCs w:val="20"/>
          <w:color w:val="auto"/>
        </w:rPr>
      </w:pPr>
    </w:p>
    <w:p>
      <w:pPr>
        <w:ind w:left="3240"/>
        <w:spacing w:after="0"/>
        <w:tabs>
          <w:tab w:leader="none" w:pos="3800" w:val="left"/>
        </w:tabs>
        <w:rPr>
          <w:sz w:val="20"/>
          <w:szCs w:val="20"/>
          <w:color w:val="auto"/>
        </w:rPr>
      </w:pPr>
      <w:r>
        <w:rPr>
          <w:rFonts w:ascii="Times New Roman" w:cs="Times New Roman" w:eastAsia="Times New Roman" w:hAnsi="Times New Roman"/>
          <w:sz w:val="22"/>
          <w:szCs w:val="22"/>
          <w:color w:val="auto"/>
        </w:rPr>
        <w:t>By:</w:t>
        <w:tab/>
        <w:t>/s/ Ryan Koors________________</w:t>
      </w:r>
    </w:p>
    <w:p>
      <w:pPr>
        <w:spacing w:after="0" w:line="2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Name: Ryan Koors</w:t>
      </w:r>
    </w:p>
    <w:p>
      <w:pPr>
        <w:spacing w:after="0" w:line="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780"/>
          </w:cols>
          <w:pgMar w:left="980" w:top="1440" w:right="1139" w:bottom="1440" w:gutter="0" w:footer="0" w:header="0"/>
          <w:type w:val="continuous"/>
        </w:sectPr>
      </w:pPr>
    </w:p>
    <w:bookmarkStart w:id="123" w:name="page124"/>
    <w:bookmarkEnd w:id="123"/>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Subleased Premises</w:t>
      </w:r>
    </w:p>
    <w:p>
      <w:pPr>
        <w:sectPr>
          <w:pgSz w:w="11900" w:h="16838" w:orient="portrait"/>
          <w:cols w:equalWidth="0" w:num="1">
            <w:col w:w="9019"/>
          </w:cols>
          <w:pgMar w:left="1440" w:top="1440"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Master Landlord’s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019"/>
          </w:cols>
          <w:pgMar w:left="1440" w:top="1418"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Redacted Master Lease</w:t>
      </w:r>
    </w:p>
    <w:p>
      <w:pPr>
        <w:sectPr>
          <w:pgSz w:w="11900" w:h="16838" w:orient="portrait"/>
          <w:cols w:equalWidth="0" w:num="1">
            <w:col w:w="9019"/>
          </w:cols>
          <w:pgMar w:left="1440" w:top="1418"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Operations Matrix</w:t>
      </w:r>
    </w:p>
    <w:p>
      <w:pPr>
        <w:sectPr>
          <w:pgSz w:w="11900" w:h="16838" w:orient="portrait"/>
          <w:cols w:equalWidth="0" w:num="1">
            <w:col w:w="9019"/>
          </w:cols>
          <w:pgMar w:left="1440" w:top="1418" w:right="1440" w:bottom="1440" w:gutter="0" w:footer="0" w:header="0"/>
        </w:sectPr>
      </w:pPr>
    </w:p>
    <w:bookmarkStart w:id="127" w:name="page128"/>
    <w:bookmarkEnd w:id="127"/>
    <w:p>
      <w:pPr>
        <w:ind w:left="4060"/>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3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1"/>
          <w:szCs w:val="21"/>
          <w:b w:val="1"/>
          <w:bCs w:val="1"/>
          <w:color w:val="auto"/>
        </w:rPr>
        <w:t>Bill of Sale</w:t>
      </w:r>
    </w:p>
    <w:p>
      <w:pPr>
        <w:sectPr>
          <w:pgSz w:w="11900" w:h="16838" w:orient="portrait"/>
          <w:cols w:equalWidth="0" w:num="1">
            <w:col w:w="9019"/>
          </w:cols>
          <w:pgMar w:left="1440" w:top="1418" w:right="1440" w:bottom="1440" w:gutter="0" w:footer="0" w:header="0"/>
        </w:sectPr>
      </w:pPr>
    </w:p>
    <w:bookmarkStart w:id="128" w:name="page129"/>
    <w:bookmarkEnd w:id="12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F</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FF&amp;E Inventory</w:t>
      </w:r>
    </w:p>
    <w:p>
      <w:pPr>
        <w:sectPr>
          <w:pgSz w:w="11900" w:h="16838" w:orient="portrait"/>
          <w:cols w:equalWidth="0" w:num="1">
            <w:col w:w="9019"/>
          </w:cols>
          <w:pgMar w:left="1440" w:top="1418"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1"/>
          <w:szCs w:val="21"/>
          <w:b w:val="1"/>
          <w:bCs w:val="1"/>
          <w:color w:val="auto"/>
        </w:rPr>
        <w:t>Exhibit G</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Plans</w:t>
      </w:r>
    </w:p>
    <w:p>
      <w:pPr>
        <w:sectPr>
          <w:pgSz w:w="11900" w:h="16838" w:orient="portrait"/>
          <w:cols w:equalWidth="0" w:num="1">
            <w:col w:w="9019"/>
          </w:cols>
          <w:pgMar w:left="1440" w:top="1418" w:right="1440" w:bottom="1440" w:gutter="0" w:footer="0" w:header="0"/>
        </w:sectPr>
      </w:pPr>
    </w:p>
    <w:bookmarkStart w:id="130" w:name="page131"/>
    <w:bookmarkEnd w:id="13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H</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Estoppel Certificate</w:t>
      </w:r>
    </w:p>
    <w:p>
      <w:pPr>
        <w:sectPr>
          <w:pgSz w:w="11900" w:h="16838" w:orient="portrait"/>
          <w:cols w:equalWidth="0" w:num="1">
            <w:col w:w="9019"/>
          </w:cols>
          <w:pgMar w:left="1440" w:top="1418" w:right="1440"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2025</w:t>
      </w:r>
    </w:p>
    <w:p>
      <w:pPr>
        <w:sectPr>
          <w:pgSz w:w="11900" w:h="16838" w:orient="portrait"/>
          <w:cols w:equalWidth="0" w:num="1">
            <w:col w:w="11240"/>
          </w:cols>
          <w:pgMar w:left="320" w:top="114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2025</w:t>
      </w:r>
    </w:p>
    <w:p>
      <w:pPr>
        <w:sectPr>
          <w:pgSz w:w="11900" w:h="16838" w:orient="portrait"/>
          <w:cols w:equalWidth="0" w:num="1">
            <w:col w:w="11240"/>
          </w:cols>
          <w:pgMar w:left="320" w:top="114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07" w:lineRule="exact"/>
        <w:rPr>
          <w:sz w:val="20"/>
          <w:szCs w:val="20"/>
          <w:color w:val="auto"/>
        </w:rPr>
      </w:pPr>
    </w:p>
    <w:p>
      <w:pPr>
        <w:ind w:left="660" w:right="2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February 28, 2025 (the Quarterly Report), as filed with the Securities and Exchange Commission,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fairly presents, in all material respects, the financial condition and results of operations of the Company.</w:t>
      </w:r>
    </w:p>
    <w:p>
      <w:pPr>
        <w:spacing w:after="0" w:line="202"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4"/>
          <w:szCs w:val="14"/>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4"/>
          <w:szCs w:val="14"/>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8" w:lineRule="exact"/>
        <w:rPr>
          <w:sz w:val="20"/>
          <w:szCs w:val="20"/>
          <w:color w:val="auto"/>
        </w:rPr>
      </w:pPr>
    </w:p>
    <w:p>
      <w:pPr>
        <w:ind w:left="5420"/>
        <w:spacing w:after="0"/>
        <w:tabs>
          <w:tab w:leader="none" w:pos="58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4"/>
          <w:szCs w:val="14"/>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x"/>
      <w:numFmt w:val="bullet"/>
      <w:start w:val="1"/>
    </w:lvl>
  </w:abstractNum>
  <w:abstractNum w:abstractNumId="1">
    <w:nsid w:val="77465F01"/>
    <w:multiLevelType w:val="hybridMultilevel"/>
    <w:lvl w:ilvl="0">
      <w:lvlJc w:val="left"/>
      <w:lvlText w:val="o"/>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lowerRoman"/>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1."/>
      <w:numFmt w:val="upperLetter"/>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1."/>
      <w:numFmt w:val="decimal"/>
      <w:start w:val="3"/>
    </w:lvl>
  </w:abstractNum>
  <w:abstractNum w:abstractNumId="48">
    <w:nsid w:val="D34B6A8"/>
    <w:multiLevelType w:val="hybridMultilevel"/>
    <w:lvl w:ilvl="0">
      <w:lvlJc w:val="left"/>
      <w:lvlText w:val="%1."/>
      <w:numFmt w:val="decimal"/>
      <w:start w:val="4"/>
    </w:lvl>
  </w:abstractNum>
  <w:abstractNum w:abstractNumId="49">
    <w:nsid w:val="10233C99"/>
    <w:multiLevelType w:val="hybridMultilevel"/>
    <w:lvl w:ilvl="0">
      <w:lvlJc w:val="left"/>
      <w:lvlText w:val="%1."/>
      <w:numFmt w:val="decimal"/>
      <w:start w:val="5"/>
    </w:lvl>
  </w:abstractNum>
  <w:abstractNum w:abstractNumId="50">
    <w:nsid w:val="3F6AB60F"/>
    <w:multiLevelType w:val="hybridMultilevel"/>
    <w:lvl w:ilvl="0">
      <w:lvlJc w:val="left"/>
      <w:lvlText w:val="(%1)"/>
      <w:numFmt w:val="decimal"/>
      <w:start w:val="30"/>
    </w:lvl>
  </w:abstractNum>
  <w:abstractNum w:abstractNumId="51">
    <w:nsid w:val="61574095"/>
    <w:multiLevelType w:val="hybridMultilevel"/>
    <w:lvl w:ilvl="0">
      <w:lvlJc w:val="left"/>
      <w:lvlText w:val="%1."/>
      <w:numFmt w:val="upperLetter"/>
      <w:start w:val="1"/>
    </w:lvl>
  </w:abstractNum>
  <w:abstractNum w:abstractNumId="52">
    <w:nsid w:val="7E0C57B1"/>
    <w:multiLevelType w:val="hybridMultilevel"/>
    <w:lvl w:ilvl="0">
      <w:lvlJc w:val="left"/>
      <w:lvlText w:val="%1."/>
      <w:numFmt w:val="upperLetter"/>
      <w:start w:val="3"/>
    </w:lvl>
  </w:abstractNum>
  <w:abstractNum w:abstractNumId="53">
    <w:nsid w:val="77AE35EB"/>
    <w:multiLevelType w:val="hybridMultilevel"/>
    <w:lvl w:ilvl="0">
      <w:lvlJc w:val="left"/>
      <w:lvlText w:val="%1."/>
      <w:numFmt w:val="upperLetter"/>
      <w:start w:val="1"/>
    </w:lvl>
  </w:abstractNum>
  <w:abstractNum w:abstractNumId="54">
    <w:nsid w:val="579BE4F1"/>
    <w:multiLevelType w:val="hybridMultilevel"/>
    <w:lvl w:ilvl="0">
      <w:lvlJc w:val="left"/>
      <w:lvlText w:val="%1."/>
      <w:numFmt w:val="upperLetter"/>
      <w:start w:val="2"/>
    </w:lvl>
    <w:lvl w:ilvl="1">
      <w:lvlJc w:val="left"/>
      <w:lvlText w:val="[*]"/>
      <w:numFmt w:val="bullet"/>
      <w:start w:val="1"/>
    </w:lvl>
    <w:lvl w:ilvl="2">
      <w:lvlJc w:val="left"/>
      <w:lvlText w:val="[*]"/>
      <w:numFmt w:val="bullet"/>
      <w:start w:val="1"/>
    </w:lvl>
  </w:abstractNum>
  <w:abstractNum w:abstractNumId="55">
    <w:nsid w:val="310C50B3"/>
    <w:multiLevelType w:val="hybridMultilevel"/>
    <w:lvl w:ilvl="0">
      <w:lvlJc w:val="left"/>
      <w:lvlText w:val="%1."/>
      <w:numFmt w:val="decimal"/>
      <w:start w:val="6"/>
    </w:lvl>
  </w:abstractNum>
  <w:abstractNum w:abstractNumId="56">
    <w:nsid w:val="5FF87E05"/>
    <w:multiLevelType w:val="hybridMultilevel"/>
    <w:lvl w:ilvl="0">
      <w:lvlJc w:val="left"/>
      <w:lvlText w:val="%1."/>
      <w:numFmt w:val="decimal"/>
      <w:start w:val="7"/>
    </w:lvl>
  </w:abstractNum>
  <w:abstractNum w:abstractNumId="57">
    <w:nsid w:val="2F305DEF"/>
    <w:multiLevelType w:val="hybridMultilevel"/>
    <w:lvl w:ilvl="0">
      <w:lvlJc w:val="left"/>
      <w:lvlText w:val="%1."/>
      <w:numFmt w:val="decimal"/>
      <w:start w:val="8"/>
    </w:lvl>
  </w:abstractNum>
  <w:abstractNum w:abstractNumId="58">
    <w:nsid w:val="25A70BF7"/>
    <w:multiLevelType w:val="hybridMultilevel"/>
    <w:lvl w:ilvl="0">
      <w:lvlJc w:val="left"/>
      <w:lvlText w:val="%1."/>
      <w:numFmt w:val="decimal"/>
      <w:start w:val="9"/>
    </w:lvl>
  </w:abstractNum>
  <w:abstractNum w:abstractNumId="59">
    <w:nsid w:val="1DBABF00"/>
    <w:multiLevelType w:val="hybridMultilevel"/>
    <w:lvl w:ilvl="0">
      <w:lvlJc w:val="left"/>
      <w:lvlText w:val="%1."/>
      <w:numFmt w:val="decimal"/>
      <w:start w:val="10"/>
    </w:lvl>
  </w:abstractNum>
  <w:abstractNum w:abstractNumId="60">
    <w:nsid w:val="4AD084E9"/>
    <w:multiLevelType w:val="hybridMultilevel"/>
    <w:lvl w:ilvl="0">
      <w:lvlJc w:val="left"/>
      <w:lvlText w:val="%1."/>
      <w:numFmt w:val="decimal"/>
      <w:start w:val="11"/>
    </w:lvl>
  </w:abstractNum>
  <w:abstractNum w:abstractNumId="61">
    <w:nsid w:val="1F48EAA1"/>
    <w:multiLevelType w:val="hybridMultilevel"/>
    <w:lvl w:ilvl="0">
      <w:lvlJc w:val="left"/>
      <w:lvlText w:val="%1."/>
      <w:numFmt w:val="decimal"/>
      <w:start w:val="13"/>
    </w:lvl>
  </w:abstractNum>
  <w:abstractNum w:abstractNumId="62">
    <w:nsid w:val="1381823A"/>
    <w:multiLevelType w:val="hybridMultilevel"/>
    <w:lvl w:ilvl="0">
      <w:lvlJc w:val="left"/>
      <w:lvlText w:val="%1."/>
      <w:numFmt w:val="decimal"/>
      <w:start w:val="14"/>
    </w:lvl>
  </w:abstractNum>
  <w:abstractNum w:abstractNumId="63">
    <w:nsid w:val="5DB70AE5"/>
    <w:multiLevelType w:val="hybridMultilevel"/>
    <w:lvl w:ilvl="0">
      <w:lvlJc w:val="left"/>
      <w:lvlText w:val="%1"/>
      <w:numFmt w:val="decimal"/>
      <w:start w:val="1"/>
    </w:lvl>
    <w:lvl w:ilvl="1">
      <w:lvlJc w:val="left"/>
      <w:lvlText w:val="%2."/>
      <w:numFmt w:val="decimal"/>
      <w:start w:val="15"/>
    </w:lvl>
  </w:abstractNum>
  <w:abstractNum w:abstractNumId="64">
    <w:nsid w:val="100F8FCA"/>
    <w:multiLevelType w:val="hybridMultilevel"/>
    <w:lvl w:ilvl="0">
      <w:lvlJc w:val="left"/>
      <w:lvlText w:val="(%1)"/>
      <w:numFmt w:val="decimal"/>
      <w:start w:val="7"/>
    </w:lvl>
    <w:lvl w:ilvl="1">
      <w:lvlJc w:val="left"/>
      <w:lvlText w:val="%2."/>
      <w:numFmt w:val="decimal"/>
      <w:start w:val="18"/>
    </w:lvl>
  </w:abstractNum>
  <w:abstractNum w:abstractNumId="65">
    <w:nsid w:val="6590700B"/>
    <w:multiLevelType w:val="hybridMultilevel"/>
    <w:lvl w:ilvl="0">
      <w:lvlJc w:val="left"/>
      <w:lvlText w:val="%1."/>
      <w:numFmt w:val="decimal"/>
      <w:start w:val="19"/>
    </w:lvl>
  </w:abstractNum>
  <w:abstractNum w:abstractNumId="66">
    <w:nsid w:val="15014ACB"/>
    <w:multiLevelType w:val="hybridMultilevel"/>
    <w:lvl w:ilvl="0">
      <w:lvlJc w:val="left"/>
      <w:lvlText w:val="%1."/>
      <w:numFmt w:val="decimal"/>
      <w:start w:val="20"/>
    </w:lvl>
  </w:abstractNum>
  <w:abstractNum w:abstractNumId="67">
    <w:nsid w:val="5F5E7FD0"/>
    <w:multiLevelType w:val="hybridMultilevel"/>
    <w:lvl w:ilvl="0">
      <w:lvlJc w:val="left"/>
      <w:lvlText w:val="%1."/>
      <w:numFmt w:val="decimal"/>
      <w:start w:val="21"/>
    </w:lvl>
  </w:abstractNum>
  <w:abstractNum w:abstractNumId="68">
    <w:nsid w:val="98A3148"/>
    <w:multiLevelType w:val="hybridMultilevel"/>
    <w:lvl w:ilvl="0">
      <w:lvlJc w:val="left"/>
      <w:lvlText w:val="(%1)"/>
      <w:numFmt w:val="lowerRoman"/>
      <w:start w:val="4"/>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lvl w:ilvl="1">
      <w:lvlJc w:val="left"/>
      <w:lvlText w:val="%2."/>
      <w:numFmt w:val="lowerLetter"/>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2025-04-08T15:18:52Z</dcterms:created>
  <dcterms:modified xsi:type="dcterms:W3CDTF">2025-04-08T15:18:52Z</dcterms:modified>
</cp:coreProperties>
</file>