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475615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500380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20" w:lineRule="auto"/>
        <w:rPr>
          <w:sz w:val="20"/>
          <w:szCs w:val="20"/>
          <w:color w:val="auto"/>
        </w:rPr>
      </w:pPr>
      <w:r>
        <w:rPr>
          <w:rFonts w:ascii="Times New Roman" w:cs="Times New Roman" w:eastAsia="Times New Roman" w:hAnsi="Times New Roman"/>
          <w:sz w:val="21"/>
          <w:szCs w:val="21"/>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0" w:lineRule="exact"/>
        <w:rPr>
          <w:sz w:val="24"/>
          <w:szCs w:val="24"/>
          <w:color w:val="auto"/>
        </w:rPr>
      </w:pPr>
    </w:p>
    <w:p>
      <w:pPr>
        <w:ind w:left="3980" w:right="2920" w:hanging="3849"/>
        <w:spacing w:after="0" w:line="376" w:lineRule="auto"/>
        <w:tabs>
          <w:tab w:leader="none" w:pos="465"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February 29,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7" w:lineRule="exact"/>
        <w:rPr>
          <w:sz w:val="24"/>
          <w:szCs w:val="24"/>
          <w:color w:val="auto"/>
        </w:rPr>
      </w:pPr>
    </w:p>
    <w:p>
      <w:pPr>
        <w:ind w:left="460" w:hanging="314"/>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24" w:lineRule="exact"/>
        <w:rPr>
          <w:sz w:val="24"/>
          <w:szCs w:val="24"/>
          <w:color w:val="auto"/>
        </w:rPr>
      </w:pPr>
    </w:p>
    <w:p>
      <w:pPr>
        <w:ind w:left="39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001-39398</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NURIX THERAPEUTICS,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 w:lineRule="exact"/>
        <w:rPr>
          <w:sz w:val="24"/>
          <w:szCs w:val="24"/>
          <w:color w:val="auto"/>
        </w:rPr>
      </w:pPr>
    </w:p>
    <w:tbl>
      <w:tblPr>
        <w:tblLayout w:type="fixed"/>
        <w:tblInd w:w="1540" w:type="dxa"/>
        <w:tblCellMar>
          <w:top w:w="0" w:type="dxa"/>
          <w:left w:w="0" w:type="dxa"/>
          <w:bottom w:w="0" w:type="dxa"/>
          <w:right w:w="0" w:type="dxa"/>
        </w:tblCellMar>
      </w:tblP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08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83"/>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080" w:type="dxa"/>
            <w:vAlign w:val="bottom"/>
          </w:tcPr>
          <w:p>
            <w:pPr>
              <w:jc w:val="center"/>
              <w:ind w:left="1783"/>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70"/>
        </w:trPr>
        <w:tc>
          <w:tcPr>
            <w:tcW w:w="4420" w:type="dxa"/>
            <w:vAlign w:val="bottom"/>
          </w:tcPr>
          <w:p>
            <w:pPr>
              <w:jc w:val="center"/>
              <w:ind w:right="1803"/>
              <w:spacing w:after="0" w:line="170"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San Francisco, CA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660-5320</w:t>
      </w:r>
    </w:p>
    <w:p>
      <w:pPr>
        <w:spacing w:after="0" w:line="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4400" w:type="dxa"/>
            <w:vAlign w:val="bottom"/>
          </w:tcPr>
          <w:p>
            <w:pPr>
              <w:spacing w:after="0"/>
              <w:rPr>
                <w:sz w:val="16"/>
                <w:szCs w:val="16"/>
                <w:color w:val="auto"/>
              </w:rPr>
            </w:pPr>
          </w:p>
        </w:tc>
      </w:tr>
      <w:tr>
        <w:trPr>
          <w:trHeight w:val="21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Symbol(s)</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32"/>
        </w:trPr>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NRIX</w:t>
            </w:r>
          </w:p>
        </w:tc>
        <w:tc>
          <w:tcPr>
            <w:tcW w:w="4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189" w:lineRule="exact"/>
        <w:rPr>
          <w:sz w:val="24"/>
          <w:szCs w:val="24"/>
          <w:color w:val="auto"/>
        </w:rPr>
      </w:pPr>
    </w:p>
    <w:p>
      <w:pPr>
        <w:jc w:val="both"/>
        <w:ind w:right="200"/>
        <w:spacing w:after="0" w:line="23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440" w:type="dxa"/>
            <w:vAlign w:val="bottom"/>
          </w:tcPr>
          <w:p>
            <w:pPr>
              <w:ind w:left="1280"/>
              <w:spacing w:after="0"/>
              <w:rPr>
                <w:sz w:val="20"/>
                <w:szCs w:val="20"/>
                <w:color w:val="auto"/>
              </w:rPr>
            </w:pPr>
            <w:r>
              <w:rPr>
                <w:rFonts w:ascii="Wingdings" w:cs="Wingdings" w:eastAsia="Wingdings" w:hAnsi="Wingdings"/>
                <w:sz w:val="17"/>
                <w:szCs w:val="17"/>
                <w:b w:val="1"/>
                <w:bCs w:val="1"/>
                <w:color w:val="auto"/>
                <w:w w:val="92"/>
              </w:rPr>
              <w:t>o</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60" w:type="dxa"/>
            <w:vAlign w:val="bottom"/>
          </w:tcPr>
          <w:p>
            <w:pPr>
              <w:ind w:left="126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40" w:type="dxa"/>
            <w:vAlign w:val="bottom"/>
          </w:tcPr>
          <w:p>
            <w:pPr>
              <w:ind w:left="1260"/>
              <w:spacing w:after="0"/>
              <w:rPr>
                <w:sz w:val="20"/>
                <w:szCs w:val="20"/>
                <w:color w:val="auto"/>
              </w:rPr>
            </w:pPr>
            <w:r>
              <w:rPr>
                <w:rFonts w:ascii="Wingdings" w:cs="Wingdings" w:eastAsia="Wingdings" w:hAnsi="Wingdings"/>
                <w:sz w:val="17"/>
                <w:szCs w:val="17"/>
                <w:b w:val="1"/>
                <w:bCs w:val="1"/>
                <w:color w:val="auto"/>
                <w:w w:val="88"/>
              </w:rPr>
              <w:t>x</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89" w:lineRule="exact"/>
        <w:rPr>
          <w:sz w:val="24"/>
          <w:szCs w:val="24"/>
          <w:color w:val="auto"/>
        </w:rPr>
      </w:pPr>
    </w:p>
    <w:p>
      <w:pPr>
        <w:ind w:right="420"/>
        <w:spacing w:after="0" w:line="25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2400"/>
        <w:spacing w:after="0" w:line="382"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As of April 1, 2024, the Registrant had 49,150,794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8"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6" w:lineRule="exact"/>
        <w:rPr>
          <w:sz w:val="20"/>
          <w:szCs w:val="20"/>
          <w:color w:val="auto"/>
        </w:rPr>
      </w:pPr>
    </w:p>
    <w:p>
      <w:pPr>
        <w:ind w:left="940" w:right="180" w:hanging="318"/>
        <w:spacing w:after="0" w:line="26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conduct of our clinical trial programs for our lead drug candidates NX-5948, NX-2127 and NX-1607 and other drug candidates, including statements regarding the timing of data and anticipated announcements, the selection of new development candidates and the initiation of clinical trials;</w:t>
      </w:r>
    </w:p>
    <w:p>
      <w:pPr>
        <w:spacing w:after="0" w:line="55" w:lineRule="exact"/>
        <w:rPr>
          <w:rFonts w:ascii="Times New Roman" w:cs="Times New Roman" w:eastAsia="Times New Roman" w:hAnsi="Times New Roman"/>
          <w:sz w:val="17"/>
          <w:szCs w:val="17"/>
          <w:color w:val="auto"/>
        </w:rPr>
      </w:pPr>
    </w:p>
    <w:p>
      <w:pPr>
        <w:ind w:left="940" w:right="76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marketing approvals for our lead drug candidates NX-5948, NX-2127 and NX-1607 and other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pursue research and development of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investigational new drug application (IND) submissions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advantages of our DELigase platform, our drug candidates and Degrader-Antibody Conjugates (DACs);</w:t>
      </w:r>
    </w:p>
    <w:p>
      <w:pPr>
        <w:spacing w:after="0" w:line="113"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scientific approach, our DELigase platform, protein degradation, antibody-drug conjugation, and DACs may potentially address a broad range of diseases;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our arrangements with Gilead Sciences, Inc., Sanofi S.A. and Seagen Inc. (now a part of Pfizer Inc.);</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receipt of revenue from future sales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drug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the potential market opportunity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distribution capabilities and strategy;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arrangements for the manufacturing of our drug candidates;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impact of global business, political and macroeconomic conditions, including inflation, increasing interest rates and volatile market conditions,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achievement of milestones and receipt of royalty payments under our collaborations;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additional collaborations with third parties;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revenues, capital requirements and needs for additional financing;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 laws and regulations;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10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535305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at-length below. These risks include, among others, the following:</w:t>
      </w:r>
    </w:p>
    <w:p>
      <w:pPr>
        <w:spacing w:after="0" w:line="61" w:lineRule="exact"/>
        <w:rPr>
          <w:sz w:val="20"/>
          <w:szCs w:val="20"/>
          <w:color w:val="auto"/>
        </w:rPr>
      </w:pPr>
    </w:p>
    <w:p>
      <w:pPr>
        <w:ind w:left="940" w:right="50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our inception. We expect to incur losses over at least the next several years and may never achieve or maintain profitability.</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never generated revenue from product sales and may never be profitable.</w:t>
      </w:r>
    </w:p>
    <w:p>
      <w:pPr>
        <w:spacing w:after="0" w:line="113"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8"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legislation may increase the difficulty and cost for us, and any collaborators, to obtain marketing approval of and commercialize our drug candidates and affect the prices we, or they, may obtain.</w:t>
      </w:r>
    </w:p>
    <w:p>
      <w:pPr>
        <w:spacing w:after="0" w:line="35"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may make it difficult to evaluate the success of our business to date and to assess our future viability.</w:t>
      </w:r>
    </w:p>
    <w:p>
      <w:pPr>
        <w:spacing w:after="0" w:line="101"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3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1" w:lineRule="exact"/>
        <w:rPr>
          <w:rFonts w:ascii="Times New Roman" w:cs="Times New Roman" w:eastAsia="Times New Roman" w:hAnsi="Times New Roman"/>
          <w:sz w:val="17"/>
          <w:szCs w:val="17"/>
          <w:color w:val="auto"/>
        </w:rPr>
      </w:pPr>
    </w:p>
    <w:p>
      <w:pPr>
        <w:ind w:left="940" w:right="40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75"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75" w:lineRule="exact"/>
        <w:rPr>
          <w:rFonts w:ascii="Times New Roman" w:cs="Times New Roman" w:eastAsia="Times New Roman" w:hAnsi="Times New Roman"/>
          <w:sz w:val="17"/>
          <w:szCs w:val="17"/>
          <w:color w:val="auto"/>
        </w:rPr>
      </w:pPr>
    </w:p>
    <w:p>
      <w:pPr>
        <w:ind w:left="940" w:right="96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in an environment of rapid technological change, which may result in others discovering, developing or commercializing products before or more successfully than we do.</w:t>
      </w:r>
    </w:p>
    <w:p>
      <w:pPr>
        <w:spacing w:after="0" w:line="48" w:lineRule="exact"/>
        <w:rPr>
          <w:rFonts w:ascii="Times New Roman" w:cs="Times New Roman" w:eastAsia="Times New Roman" w:hAnsi="Times New Roman"/>
          <w:sz w:val="17"/>
          <w:szCs w:val="17"/>
          <w:color w:val="auto"/>
        </w:rPr>
      </w:pPr>
    </w:p>
    <w:p>
      <w:pPr>
        <w:ind w:left="940" w:right="24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35"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1"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524510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global economic conditions could adversely affect our business, financial condition, stock price and results of operations.</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35" w:lineRule="exact"/>
        <w:rPr>
          <w:rFonts w:ascii="Times New Roman" w:cs="Times New Roman" w:eastAsia="Times New Roman" w:hAnsi="Times New Roman"/>
          <w:sz w:val="17"/>
          <w:szCs w:val="17"/>
          <w:color w:val="auto"/>
        </w:rPr>
      </w:pPr>
    </w:p>
    <w:p>
      <w:pPr>
        <w:ind w:left="940" w:right="680" w:hanging="318"/>
        <w:spacing w:after="0" w:line="271"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527685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82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520" w:type="dxa"/>
            <w:vAlign w:val="bottom"/>
            <w:gridSpan w:val="3"/>
            <w:vMerge w:val="continue"/>
          </w:tcPr>
          <w:p>
            <w:pPr>
              <w:spacing w:after="0"/>
              <w:rPr>
                <w:sz w:val="15"/>
                <w:szCs w:val="15"/>
                <w:color w:val="auto"/>
              </w:rPr>
            </w:pPr>
          </w:p>
        </w:tc>
        <w:tc>
          <w:tcPr>
            <w:tcW w:w="8820" w:type="dxa"/>
            <w:vAlign w:val="bottom"/>
            <w:gridSpan w:val="19"/>
            <w:vMerge w:val="continue"/>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602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4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2"/>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120" w:type="dxa"/>
            <w:vAlign w:val="bottom"/>
            <w:gridSpan w:val="1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96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920" w:type="dxa"/>
            <w:vAlign w:val="bottom"/>
            <w:tcBorders>
              <w:top w:val="single" w:sz="8" w:color="0000FF"/>
            </w:tcBorders>
            <w:gridSpan w:val="6"/>
          </w:tcPr>
          <w:p>
            <w:pPr>
              <w:spacing w:after="0"/>
              <w:rPr>
                <w:sz w:val="19"/>
                <w:szCs w:val="19"/>
                <w:color w:val="auto"/>
              </w:rPr>
            </w:pPr>
          </w:p>
        </w:tc>
        <w:tc>
          <w:tcPr>
            <w:tcW w:w="46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20" w:type="dxa"/>
            <w:vAlign w:val="bottom"/>
            <w:tcBorders>
              <w:top w:val="single" w:sz="8" w:color="0000FF"/>
            </w:tcBorders>
            <w:gridSpan w:val="2"/>
          </w:tcPr>
          <w:p>
            <w:pPr>
              <w:spacing w:after="0"/>
              <w:rPr>
                <w:sz w:val="19"/>
                <w:szCs w:val="19"/>
                <w:color w:val="auto"/>
              </w:rPr>
            </w:pPr>
          </w:p>
        </w:tc>
        <w:tc>
          <w:tcPr>
            <w:tcW w:w="714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60" w:type="dxa"/>
            <w:vAlign w:val="bottom"/>
          </w:tcPr>
          <w:p>
            <w:pPr>
              <w:spacing w:after="0"/>
              <w:rPr>
                <w:sz w:val="14"/>
                <w:szCs w:val="14"/>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49,813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54,627</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Marketable securities, 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194,180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7,595</w:t>
            </w:r>
          </w:p>
        </w:tc>
      </w:tr>
      <w:tr>
        <w:trPr>
          <w:trHeight w:val="225"/>
        </w:trPr>
        <w:tc>
          <w:tcPr>
            <w:tcW w:w="7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250,969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295,503</w:t>
            </w:r>
          </w:p>
        </w:tc>
      </w:tr>
      <w:tr>
        <w:trPr>
          <w:trHeight w:val="25"/>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7"/>
                <w:szCs w:val="17"/>
                <w:color w:val="auto"/>
              </w:rPr>
              <w:t>Marketable securities,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31,142</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w:t>
            </w:r>
          </w:p>
        </w:tc>
      </w:tr>
      <w:tr>
        <w:trPr>
          <w:trHeight w:val="251"/>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312,674</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w:t>
            </w:r>
            <w:r>
              <w:rPr>
                <w:rFonts w:ascii="Arial" w:cs="Arial" w:eastAsia="Arial" w:hAnsi="Arial"/>
                <w:sz w:val="17"/>
                <w:szCs w:val="17"/>
                <w:color w:val="auto"/>
                <w:highlight w:val="black"/>
              </w:rPr>
              <w:t>ʼ</w:t>
            </w:r>
            <w:r>
              <w:rPr>
                <w:rFonts w:ascii="Times New Roman" w:cs="Times New Roman" w:eastAsia="Times New Roman" w:hAnsi="Times New Roman"/>
                <w:sz w:val="17"/>
                <w:szCs w:val="17"/>
                <w:b w:val="1"/>
                <w:bCs w:val="1"/>
                <w:color w:val="auto"/>
              </w:rPr>
              <w:t xml:space="preserve">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6,401</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24,970</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7,489</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48,098</w:t>
            </w:r>
          </w:p>
        </w:tc>
      </w:tr>
      <w:tr>
        <w:trPr>
          <w:trHeight w:val="25"/>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86,958</w:t>
            </w:r>
          </w:p>
        </w:tc>
      </w:tr>
      <w:tr>
        <w:trPr>
          <w:trHeight w:val="225"/>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21,846</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23,125</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45,022</w:t>
            </w: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143,926</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155,105</w:t>
            </w:r>
          </w:p>
        </w:tc>
      </w:tr>
      <w:tr>
        <w:trPr>
          <w:trHeight w:val="25"/>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58"/>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$0.001 par value— 10,000,000 shares authorized as of February 29, 2024 and November 30,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2023; no shares issued and outstanding as of February 29, 2024 and November 30, 2023</w:t>
            </w: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$0.001 par value— 500,000,000 shares authorized as of February 29, 2024 and November 30,</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6"/>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2023; 49,136,954 and 48,718,552 shares issued and outstanding as of February 29, 2024 and November 30,</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2023, respectively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755,767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746,299</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(586,718)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(545,200)</w:t>
            </w:r>
          </w:p>
        </w:tc>
      </w:tr>
      <w:tr>
        <w:trPr>
          <w:trHeight w:val="251"/>
        </w:trPr>
        <w:tc>
          <w:tcPr>
            <w:tcW w:w="7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168,748</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200,493</w:t>
            </w:r>
          </w:p>
        </w:tc>
      </w:tr>
      <w:tr>
        <w:trPr>
          <w:trHeight w:val="276"/>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312,674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February 28, 2023</w:t>
            </w: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Collaboration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12,685</w:t>
            </w: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12,685</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45,816</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9,821</w:t>
            </w: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55,637</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(45,219)</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(42,952)</w:t>
            </w: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(41,428)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(40,733)</w:t>
            </w: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outstanding, basic and diluted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54,903,407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54,028,238</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February 28, 2023</w:t>
            </w: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(40,733)</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gain (loss) on available-for-sale marketable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(41,213)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(39,661)</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2" w:lineRule="exact"/>
        <w:rPr>
          <w:sz w:val="20"/>
          <w:szCs w:val="20"/>
          <w:color w:val="auto"/>
        </w:rPr>
      </w:pPr>
    </w:p>
    <w:tbl>
      <w:tblPr>
        <w:tblLayout w:type="fixed"/>
        <w:tblInd w:w="3980" w:type="dxa"/>
        <w:tblCellMar>
          <w:top w:w="0" w:type="dxa"/>
          <w:left w:w="0" w:type="dxa"/>
          <w:bottom w:w="0" w:type="dxa"/>
          <w:right w:w="0" w:type="dxa"/>
        </w:tblCellMar>
      </w:tblPr>
      <w:tr>
        <w:trPr>
          <w:trHeight w:val="142"/>
        </w:trPr>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0" w:type="dxa"/>
            <w:vAlign w:val="bottom"/>
          </w:tcPr>
          <w:p>
            <w:pPr>
              <w:spacing w:after="0"/>
              <w:rPr>
                <w:sz w:val="12"/>
                <w:szCs w:val="12"/>
                <w:color w:val="auto"/>
              </w:rPr>
            </w:pPr>
          </w:p>
        </w:tc>
        <w:tc>
          <w:tcPr>
            <w:tcW w:w="96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200" w:type="dxa"/>
            <w:vAlign w:val="bottom"/>
            <w:vMerge w:val="restart"/>
          </w:tcPr>
          <w:p>
            <w:pPr>
              <w:jc w:val="center"/>
              <w:ind w:left="4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300" w:type="dxa"/>
            <w:vAlign w:val="bottom"/>
            <w:vMerge w:val="restart"/>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0" w:type="dxa"/>
            <w:vAlign w:val="bottom"/>
            <w:vMerge w:val="restart"/>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960" w:type="dxa"/>
            <w:vAlign w:val="bottom"/>
            <w:vMerge w:val="restart"/>
          </w:tcPr>
          <w:p>
            <w:pPr>
              <w:jc w:val="center"/>
              <w:ind w:left="220"/>
              <w:spacing w:after="0" w:line="116"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6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7122160" cy="15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55" w:lineRule="exact"/>
        <w:rPr>
          <w:sz w:val="20"/>
          <w:szCs w:val="20"/>
          <w:color w:val="auto"/>
        </w:rPr>
      </w:pPr>
    </w:p>
    <w:p>
      <w:pPr>
        <w:ind w:left="180" w:right="820" w:hanging="154"/>
        <w:spacing w:after="0" w:line="334" w:lineRule="auto"/>
        <w:rPr>
          <w:sz w:val="20"/>
          <w:szCs w:val="20"/>
          <w:color w:val="auto"/>
        </w:rPr>
      </w:pPr>
      <w:r>
        <w:rPr>
          <w:rFonts w:ascii="Times New Roman" w:cs="Times New Roman" w:eastAsia="Times New Roman" w:hAnsi="Times New Roman"/>
          <w:sz w:val="15"/>
          <w:szCs w:val="15"/>
          <w:color w:val="auto"/>
        </w:rPr>
        <w:t>Balance as of November 30, 2022 Exercise of stock options Vesting of restricted stock units Vesting of early exercised stock options Issuance under employee stock purchase plan Stock-based compensation</w:t>
      </w:r>
    </w:p>
    <w:p>
      <w:pPr>
        <w:spacing w:after="0" w:line="192" w:lineRule="exact"/>
        <w:rPr>
          <w:sz w:val="20"/>
          <w:szCs w:val="20"/>
          <w:color w:val="auto"/>
        </w:rPr>
      </w:pPr>
    </w:p>
    <w:p>
      <w:pPr>
        <w:ind w:left="180"/>
        <w:spacing w:after="0" w:line="349" w:lineRule="auto"/>
        <w:rPr>
          <w:sz w:val="20"/>
          <w:szCs w:val="20"/>
          <w:color w:val="auto"/>
        </w:rPr>
      </w:pPr>
      <w:r>
        <w:rPr>
          <w:rFonts w:ascii="Times New Roman" w:cs="Times New Roman" w:eastAsia="Times New Roman" w:hAnsi="Times New Roman"/>
          <w:sz w:val="15"/>
          <w:szCs w:val="15"/>
          <w:color w:val="auto"/>
        </w:rPr>
        <w:t>Unrealized gain on available-for-sale marketable securities Net loss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Balance as of February 28, 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47,172,299</w:t>
            </w:r>
          </w:p>
        </w:tc>
        <w:tc>
          <w:tcPr>
            <w:tcW w:w="54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709,220</w:t>
            </w: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(4,319)</w:t>
            </w:r>
          </w:p>
        </w:tc>
        <w:tc>
          <w:tcPr>
            <w:tcW w:w="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(401,252)</w:t>
            </w:r>
          </w:p>
        </w:tc>
        <w:tc>
          <w:tcPr>
            <w:tcW w:w="3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303,696</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8,768</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98,571</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165,215</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1,453</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1,453</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8,505</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8,505</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1,072</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1,072</w:t>
            </w:r>
          </w:p>
        </w:tc>
      </w:tr>
      <w:tr>
        <w:trPr>
          <w:trHeight w:val="24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(40,733)</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(40,733)</w:t>
            </w:r>
          </w:p>
        </w:tc>
      </w:tr>
      <w:tr>
        <w:trPr>
          <w:trHeight w:val="225"/>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47,444,853</w:t>
            </w:r>
          </w:p>
        </w:tc>
        <w:tc>
          <w:tcPr>
            <w:tcW w:w="5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47</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719,237</w:t>
            </w:r>
          </w:p>
        </w:tc>
        <w:tc>
          <w:tcPr>
            <w:tcW w:w="4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(3,247)</w:t>
            </w:r>
          </w:p>
        </w:tc>
        <w:tc>
          <w:tcPr>
            <w:tcW w:w="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(441,985)</w:t>
            </w:r>
          </w:p>
        </w:tc>
        <w:tc>
          <w:tcPr>
            <w:tcW w:w="3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274,052</w:t>
            </w:r>
          </w:p>
        </w:tc>
      </w:tr>
      <w:tr>
        <w:trPr>
          <w:trHeight w:val="26"/>
        </w:trPr>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-1071880</wp:posOffset>
            </wp:positionV>
            <wp:extent cx="712216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-777240</wp:posOffset>
            </wp:positionV>
            <wp:extent cx="712216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-482600</wp:posOffset>
            </wp:positionV>
            <wp:extent cx="7122160"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-187960</wp:posOffset>
            </wp:positionV>
            <wp:extent cx="7122160" cy="172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20" w:type="dxa"/>
            <w:vAlign w:val="bottom"/>
          </w:tcPr>
          <w:p>
            <w:pPr>
              <w:spacing w:after="0"/>
              <w:rPr>
                <w:sz w:val="12"/>
                <w:szCs w:val="12"/>
                <w:color w:val="auto"/>
              </w:rPr>
            </w:pP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200" w:type="dxa"/>
            <w:vAlign w:val="bottom"/>
            <w:vMerge w:val="restart"/>
          </w:tcPr>
          <w:p>
            <w:pPr>
              <w:jc w:val="center"/>
              <w:ind w:left="4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300" w:type="dxa"/>
            <w:vAlign w:val="bottom"/>
            <w:vMerge w:val="restart"/>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20" w:type="dxa"/>
            <w:vAlign w:val="bottom"/>
            <w:vMerge w:val="restart"/>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940" w:type="dxa"/>
            <w:vAlign w:val="bottom"/>
            <w:vMerge w:val="restart"/>
          </w:tcPr>
          <w:p>
            <w:pPr>
              <w:jc w:val="center"/>
              <w:ind w:left="200"/>
              <w:spacing w:after="0" w:line="116"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28"/>
        </w:trPr>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40" w:type="dxa"/>
            <w:vAlign w:val="bottom"/>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17780</wp:posOffset>
            </wp:positionV>
            <wp:extent cx="7122160" cy="155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840" w:space="140"/>
            <w:col w:w="7260"/>
          </w:cols>
          <w:pgMar w:left="320" w:top="123" w:right="339" w:bottom="1440" w:gutter="0" w:footer="0" w:header="0"/>
          <w:type w:val="continuous"/>
        </w:sectPr>
      </w:pPr>
    </w:p>
    <w:p>
      <w:pPr>
        <w:ind w:left="180" w:right="820" w:hanging="154"/>
        <w:spacing w:after="0" w:line="331" w:lineRule="auto"/>
        <w:rPr>
          <w:sz w:val="20"/>
          <w:szCs w:val="20"/>
          <w:color w:val="auto"/>
        </w:rPr>
      </w:pPr>
      <w:r>
        <w:rPr>
          <w:rFonts w:ascii="Times New Roman" w:cs="Times New Roman" w:eastAsia="Times New Roman" w:hAnsi="Times New Roman"/>
          <w:sz w:val="15"/>
          <w:szCs w:val="15"/>
          <w:color w:val="auto"/>
        </w:rPr>
        <w:t>Balance as of November 30, 2023 Exercise of stock options Vesting of restricted stock units Vesting of early exercised stock options Repurchase of unvested early exercised stock Issuance under employee stock purchase plan Stock-based compensation</w:t>
      </w:r>
    </w:p>
    <w:p>
      <w:pPr>
        <w:spacing w:after="0" w:line="197" w:lineRule="exact"/>
        <w:rPr>
          <w:sz w:val="20"/>
          <w:szCs w:val="20"/>
          <w:color w:val="auto"/>
        </w:rPr>
      </w:pPr>
    </w:p>
    <w:p>
      <w:pPr>
        <w:ind w:left="180"/>
        <w:spacing w:after="0" w:line="349" w:lineRule="auto"/>
        <w:rPr>
          <w:sz w:val="20"/>
          <w:szCs w:val="20"/>
          <w:color w:val="auto"/>
        </w:rPr>
      </w:pPr>
      <w:r>
        <w:rPr>
          <w:rFonts w:ascii="Times New Roman" w:cs="Times New Roman" w:eastAsia="Times New Roman" w:hAnsi="Times New Roman"/>
          <w:sz w:val="15"/>
          <w:szCs w:val="15"/>
          <w:color w:val="auto"/>
        </w:rPr>
        <w:t>Unrealized gain on available-for-sale marketable securities Net loss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Balance as of February 29,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48,718,552</w:t>
            </w:r>
          </w:p>
        </w:tc>
        <w:tc>
          <w:tcPr>
            <w:tcW w:w="54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746,299</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(545,200)</w:t>
            </w:r>
          </w:p>
        </w:tc>
        <w:tc>
          <w:tcPr>
            <w:tcW w:w="3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200,493</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75,362</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171,030</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173,558</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1,269</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1,269</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7,823</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7,823</w:t>
            </w:r>
          </w:p>
        </w:tc>
      </w:tr>
      <w:tr>
        <w:trPr>
          <w:trHeight w:val="232"/>
        </w:trPr>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w:t>
            </w:r>
          </w:p>
        </w:tc>
        <w:tc>
          <w:tcPr>
            <w:tcW w:w="36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305</w:t>
            </w:r>
          </w:p>
        </w:tc>
      </w:tr>
      <w:tr>
        <w:trPr>
          <w:trHeight w:val="24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(41,518)</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(41,518)</w:t>
            </w:r>
          </w:p>
        </w:tc>
      </w:tr>
      <w:tr>
        <w:trPr>
          <w:trHeight w:val="225"/>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49,136,954</w:t>
            </w:r>
          </w:p>
        </w:tc>
        <w:tc>
          <w:tcPr>
            <w:tcW w:w="5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49</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755,767</w:t>
            </w:r>
          </w:p>
        </w:tc>
        <w:tc>
          <w:tcPr>
            <w:tcW w:w="5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(586,718)</w:t>
            </w:r>
          </w:p>
        </w:tc>
        <w:tc>
          <w:tcPr>
            <w:tcW w:w="3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168,748</w:t>
            </w:r>
          </w:p>
        </w:tc>
      </w:tr>
      <w:tr>
        <w:trPr>
          <w:trHeight w:val="26"/>
        </w:trPr>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-1219200</wp:posOffset>
            </wp:positionV>
            <wp:extent cx="7122160" cy="14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-924560</wp:posOffset>
            </wp:positionV>
            <wp:extent cx="7122160" cy="147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-629920</wp:posOffset>
            </wp:positionV>
            <wp:extent cx="712216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-335280</wp:posOffset>
            </wp:positionV>
            <wp:extent cx="712216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3840" w:space="140"/>
            <w:col w:w="7260"/>
          </w:cols>
          <w:pgMar w:left="320" w:top="1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0" w:type="dxa"/>
            <w:vAlign w:val="bottom"/>
          </w:tcPr>
          <w:p>
            <w:pPr>
              <w:spacing w:after="0"/>
              <w:rPr>
                <w:sz w:val="1"/>
                <w:szCs w:val="1"/>
                <w:color w:val="auto"/>
              </w:rPr>
            </w:pP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(41,518)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(40,733)</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amortization (accretion) of premium (discount) on marketable securities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(9,184)</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(6,905)</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(48,452)</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(22,642)</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40,987</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0" w:type="dxa"/>
            <w:vAlign w:val="bottom"/>
          </w:tcPr>
          <w:p>
            <w:pPr>
              <w:spacing w:after="0"/>
              <w:rPr>
                <w:sz w:val="1"/>
                <w:szCs w:val="1"/>
                <w:color w:val="auto"/>
              </w:rPr>
            </w:pP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35,513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16,068</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under employee stock purchase plan</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0" w:type="dxa"/>
            <w:vAlign w:val="bottom"/>
          </w:tcPr>
          <w:p>
            <w:pPr>
              <w:spacing w:after="0"/>
              <w:rPr>
                <w:sz w:val="1"/>
                <w:szCs w:val="1"/>
                <w:color w:val="auto"/>
              </w:rPr>
            </w:pP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(30,903)</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65,375</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50,714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to property and equipment included in accounts payable and accrued expenses and other current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8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 related to internal-use software development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stock options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unvested early exercised stock options included in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0" w:type="dxa"/>
            <w:vAlign w:val="bottom"/>
          </w:tcPr>
          <w:p>
            <w:pPr>
              <w:spacing w:after="0"/>
              <w:rPr>
                <w:sz w:val="1"/>
                <w:szCs w:val="1"/>
                <w:color w:val="auto"/>
              </w:rPr>
            </w:pP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49,813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33,571</w:t>
            </w:r>
          </w:p>
        </w:tc>
        <w:tc>
          <w:tcPr>
            <w:tcW w:w="0" w:type="dxa"/>
            <w:vAlign w:val="bottom"/>
          </w:tcPr>
          <w:p>
            <w:pPr>
              <w:spacing w:after="0"/>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0" w:type="dxa"/>
            <w:vAlign w:val="bottom"/>
          </w:tcPr>
          <w:p>
            <w:pPr>
              <w:spacing w:after="0"/>
              <w:rPr>
                <w:sz w:val="1"/>
                <w:szCs w:val="1"/>
                <w:color w:val="auto"/>
              </w:rPr>
            </w:pPr>
          </w:p>
        </w:tc>
      </w:tr>
      <w:tr>
        <w:trPr>
          <w:trHeight w:val="232"/>
        </w:trPr>
        <w:tc>
          <w:tcPr>
            <w:tcW w:w="79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50,714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34,472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120"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Distribution Agreement</w:t>
      </w:r>
    </w:p>
    <w:p>
      <w:pPr>
        <w:spacing w:after="0" w:line="120"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In August 2021, the Company filed a shelf registration statement on Form S-3 with the Securities and Exchange Commission (SEC), which was amended in February 2023. This shelf registration statement, which includes a base prospectus, allows the Company at any time to offer and sell up to $450.0 million of the Company’s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8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$19.3 million, after deducting offering commissions and expenses paid by the Company. As of February 29, 2024, the Company had $130.0 million of common stock remaining available for sale under the Equity Distribution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Direct Offerings</w:t>
      </w:r>
    </w:p>
    <w:p>
      <w:pPr>
        <w:spacing w:after="0" w:line="80" w:lineRule="exact"/>
        <w:rPr>
          <w:sz w:val="20"/>
          <w:szCs w:val="20"/>
          <w:color w:val="auto"/>
        </w:rPr>
      </w:pPr>
    </w:p>
    <w:p>
      <w:pPr>
        <w:ind w:firstLine="619"/>
        <w:spacing w:after="0" w:line="214" w:lineRule="exact"/>
        <w:rPr>
          <w:sz w:val="20"/>
          <w:szCs w:val="20"/>
          <w:color w:val="auto"/>
        </w:rPr>
      </w:pPr>
      <w:r>
        <w:rPr>
          <w:rFonts w:ascii="Times New Roman" w:cs="Times New Roman" w:eastAsia="Times New Roman" w:hAnsi="Times New Roman"/>
          <w:sz w:val="17"/>
          <w:szCs w:val="17"/>
          <w:color w:val="auto"/>
        </w:rPr>
        <w:t>In July 2022, the Company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the Company’s common stock in registered direct offerings (RDOs) at a price of $13.939 per pre-funded warrant. Net proceeds from the RDOs were $94.8 million, after deducting offering expenses of $0.2 million. Refer to Note 7 for more information regarding the pre-funded warrants issued in the RDOs.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Management Plans</w:t>
      </w:r>
    </w:p>
    <w:p>
      <w:pPr>
        <w:spacing w:after="0" w:line="120"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assuming that the Company will continue as a going concern. As of February 29, 2024, the Company had cash, cash equivalents and short-term marketable securities of $244.0 million and an accumulated deficit of $586.7 million. 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If the Company is unable to obtain additional funding, management will be required to implement plans that are within the Company’s control, which may include the delay or scaling back of certain research and development programs, to maintain liquidity and operations. Based on the Company’s current forecast of future operating results and management’s plans to improve liquidity, the Company has concluded that its cash, cash equivalents and short-term marketable securities are sufficient to continue operating activities for at least 12 months following the issuance date of these condensed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29, 2024. The condensed consolidated balance sheet as of November 30, 2023,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2023, as filed with the SEC on February 15, 2024. These interim results are not necessarily indicative of results to be expected for the full fiscal year or any future interim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ind w:right="40" w:firstLine="619"/>
        <w:spacing w:after="0" w:line="27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 owned subsidiary.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20"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Risks and Uncertainties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82"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Moreover, the Company is subject to risks and uncertainties as a result of global business, political and macroeconomic events and conditions, including increasing financial market volatility and uncertainty, inflation, increasing interest rates,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82" w:lineRule="exact"/>
        <w:rPr>
          <w:sz w:val="20"/>
          <w:szCs w:val="20"/>
          <w:color w:val="auto"/>
        </w:rPr>
      </w:pPr>
    </w:p>
    <w:p>
      <w:pPr>
        <w:ind w:right="440" w:firstLine="619"/>
        <w:spacing w:after="0" w:line="25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The extent to which the increasing financial market volatility and uncertainty may directly or indirectly impact the Company’s financial statements is highly uncertain and subject to change.</w:t>
      </w:r>
    </w:p>
    <w:p>
      <w:pPr>
        <w:spacing w:after="0" w:line="76" w:lineRule="exact"/>
        <w:rPr>
          <w:sz w:val="20"/>
          <w:szCs w:val="20"/>
          <w:color w:val="auto"/>
        </w:rPr>
      </w:pPr>
    </w:p>
    <w:p>
      <w:pPr>
        <w:ind w:right="100" w:firstLine="619"/>
        <w:spacing w:after="0" w:line="271" w:lineRule="auto"/>
        <w:rPr>
          <w:sz w:val="20"/>
          <w:szCs w:val="20"/>
          <w:color w:val="auto"/>
        </w:rPr>
      </w:pPr>
      <w:r>
        <w:rPr>
          <w:rFonts w:ascii="Times New Roman" w:cs="Times New Roman" w:eastAsia="Times New Roman" w:hAnsi="Times New Roman"/>
          <w:sz w:val="17"/>
          <w:szCs w:val="17"/>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200" w:lineRule="exact"/>
        <w:rPr>
          <w:sz w:val="20"/>
          <w:szCs w:val="20"/>
          <w:color w:val="auto"/>
        </w:rPr>
      </w:pPr>
    </w:p>
    <w:p>
      <w:pPr>
        <w:spacing w:after="0" w:line="3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56" w:lineRule="exact"/>
        <w:rPr>
          <w:sz w:val="20"/>
          <w:szCs w:val="20"/>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13"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01" w:lineRule="exact"/>
        <w:rPr>
          <w:rFonts w:ascii="Times New Roman" w:cs="Times New Roman" w:eastAsia="Times New Roman" w:hAnsi="Times New Roman"/>
          <w:sz w:val="17"/>
          <w:szCs w:val="17"/>
          <w:color w:val="auto"/>
        </w:rPr>
      </w:pPr>
    </w:p>
    <w:p>
      <w:pPr>
        <w:ind w:left="1840" w:hanging="290"/>
        <w:spacing w:after="0"/>
        <w:tabs>
          <w:tab w:leader="none" w:pos="18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Company satisfies a performance obligation.</w:t>
      </w:r>
    </w:p>
    <w:p>
      <w:pPr>
        <w:spacing w:after="0" w:line="114" w:lineRule="exact"/>
        <w:rPr>
          <w:sz w:val="20"/>
          <w:szCs w:val="20"/>
          <w:color w:val="auto"/>
        </w:rPr>
      </w:pPr>
    </w:p>
    <w:p>
      <w:pPr>
        <w:jc w:val="both"/>
        <w:ind w:right="80" w:firstLine="619"/>
        <w:spacing w:after="0" w:line="254" w:lineRule="auto"/>
        <w:rPr>
          <w:sz w:val="20"/>
          <w:szCs w:val="20"/>
          <w:color w:val="auto"/>
        </w:rPr>
      </w:pPr>
      <w:r>
        <w:rPr>
          <w:rFonts w:ascii="Times New Roman" w:cs="Times New Roman" w:eastAsia="Times New Roman" w:hAnsi="Times New Roman"/>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76"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58" w:lineRule="exact"/>
        <w:rPr>
          <w:sz w:val="20"/>
          <w:szCs w:val="20"/>
          <w:color w:val="auto"/>
        </w:rPr>
      </w:pPr>
    </w:p>
    <w:p>
      <w:pPr>
        <w:ind w:right="2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Exclusive license rights</w:t>
      </w:r>
      <w:r>
        <w:rPr>
          <w:rFonts w:ascii="Times New Roman" w:cs="Times New Roman" w:eastAsia="Times New Roman" w:hAnsi="Times New Roman"/>
          <w:sz w:val="17"/>
          <w:szCs w:val="17"/>
          <w:color w:val="auto"/>
        </w:rPr>
        <w:t>: If a license to the Company’s intellectual property is determined to be distinct from the other promises identified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74" w:lineRule="exact"/>
        <w:rPr>
          <w:sz w:val="20"/>
          <w:szCs w:val="20"/>
          <w:color w:val="auto"/>
        </w:rPr>
      </w:pPr>
    </w:p>
    <w:p>
      <w:pPr>
        <w:ind w:right="4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Research and collaboration licenses</w:t>
      </w:r>
      <w:r>
        <w:rPr>
          <w:rFonts w:ascii="Times New Roman" w:cs="Times New Roman" w:eastAsia="Times New Roman" w:hAnsi="Times New Roman"/>
          <w:sz w:val="17"/>
          <w:szCs w:val="17"/>
          <w:color w:val="auto"/>
        </w:rPr>
        <w:t>: Collaboration agreements may include research licenses and research and development services to be performed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61" w:lineRule="exact"/>
        <w:rPr>
          <w:sz w:val="20"/>
          <w:szCs w:val="20"/>
          <w:color w:val="auto"/>
        </w:rPr>
      </w:pPr>
    </w:p>
    <w:p>
      <w:pPr>
        <w:ind w:right="20"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Milestone payments</w:t>
      </w:r>
      <w:r>
        <w:rPr>
          <w:rFonts w:ascii="Times New Roman" w:cs="Times New Roman" w:eastAsia="Times New Roman" w:hAnsi="Times New Roman"/>
          <w:sz w:val="17"/>
          <w:szCs w:val="17"/>
          <w:color w:val="auto"/>
        </w:rPr>
        <w:t>: At the inception of each arrangement that includes research, development or regulatory milestone payments, the Company evaluates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57" w:lineRule="exact"/>
        <w:rPr>
          <w:sz w:val="20"/>
          <w:szCs w:val="20"/>
          <w:color w:val="auto"/>
        </w:rPr>
      </w:pPr>
    </w:p>
    <w:p>
      <w:pPr>
        <w:ind w:right="60"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Sales-based milestones and royalties</w:t>
      </w:r>
      <w:r>
        <w:rPr>
          <w:rFonts w:ascii="Times New Roman" w:cs="Times New Roman" w:eastAsia="Times New Roman" w:hAnsi="Times New Roman"/>
          <w:sz w:val="17"/>
          <w:szCs w:val="17"/>
          <w:color w:val="auto"/>
        </w:rPr>
        <w:t>: For arrangements that include sales-based milestone or royalty payments based on the level of sales, and in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 targets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68"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80" w:lineRule="exact"/>
        <w:rPr>
          <w:sz w:val="20"/>
          <w:szCs w:val="20"/>
          <w:color w:val="auto"/>
        </w:rPr>
      </w:pPr>
    </w:p>
    <w:p>
      <w:pPr>
        <w:ind w:firstLine="619"/>
        <w:spacing w:after="0" w:line="212" w:lineRule="exact"/>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 Update (ASU) No. 2023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is in the process of evaluating the impact of this new guidance on its disclosures.</w:t>
      </w:r>
    </w:p>
    <w:p>
      <w:pPr>
        <w:spacing w:after="0" w:line="7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expects to receive in the second quarter of fiscal year 2024.</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Upon signing the Gilead Agreement, Gilead paid the Company an upfront payment of $45.0 million plus $3.0 million in additional fees. In addition, from the signing of the Gilead Agreement to February 29, 2024, the Company has received payments of $47.0 million for research milestones and additional payments and $20.0 million for a license option exercise payment. As of February 29, 2024, the Company is eligible to receive up to approximately $1.8 billion in total additional payments based on certain additional fees, payments and the successful completion of certain preclinical, clinical, development and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69"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69"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17"/>
          <w:szCs w:val="17"/>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29, 2024. The Company re-evaluates the transaction price in each reporting period and as uncertain events are resolved or other changes in circumstances occur. The Company determined that the transaction price at the inception of the Gilead Agreement consisted of the upfront payment of</w:t>
      </w:r>
    </w:p>
    <w:p>
      <w:pPr>
        <w:spacing w:after="0" w:line="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7"/>
          <w:szCs w:val="17"/>
          <w:color w:val="auto"/>
        </w:rPr>
        <w:t>$45.0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five years. The contract term was determined to be the five-year initial research term which represents the estimated timing of completion of the identified deliverables. Additionally, the Company considered the impact of Gilead terminating the Gilead Agreement prior to the completion of the research services during the initial five-year research term and determined that there were significant economic costs to Gilead for doing so, and as such, did not adjust the contract term. The Gilead Research Term Extension, which has a term of two years and did not represent a material right at the inception of the Gilead Agreement, because it does not contain a significant and incremental discount, will be accounted for as a separate contract commencing in June 2024.</w:t>
      </w:r>
    </w:p>
    <w:p>
      <w:pPr>
        <w:spacing w:after="0" w:line="74"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For the three months ended February 29, 2024, the Company recognized collaboration revenue related to the Gilead Agreement of $4.6 million, all of which was included in deferred revenue as of November 30, 2023. For the three months ended February 28, 2023, the Company recognized collaboration revenue related to the Gilead Agreement of $7.4 million, of which $2.8 million was included in deferred revenue as of November 30, 2022, and $4.1 million was related to activities satisfied in previous periods. As of February 29, 2024, deferred revenue related to the Gilead Agreement was $5.3 million, all of which was current. As of November 30, 2023, deferred revenue related to the Gilead Agreement was $10.0 million, all of which was current.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17"/>
          <w:szCs w:val="17"/>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65"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(signal transducer and activator of transcription 6), a key drug target in type 2 inflammation, by two years (the Sixth Sanofi Amendment), which is expected to increase overall forecasted costs and have an impact on revenue recognition.</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8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73" w:lineRule="exact"/>
        <w:rPr>
          <w:sz w:val="20"/>
          <w:szCs w:val="20"/>
          <w:color w:val="auto"/>
        </w:rPr>
      </w:pPr>
    </w:p>
    <w:p>
      <w:pPr>
        <w:ind w:right="260" w:firstLine="619"/>
        <w:spacing w:after="0" w:line="249" w:lineRule="auto"/>
        <w:rPr>
          <w:sz w:val="20"/>
          <w:szCs w:val="20"/>
          <w:color w:val="auto"/>
        </w:rPr>
      </w:pPr>
      <w:r>
        <w:rPr>
          <w:rFonts w:ascii="Times New Roman" w:cs="Times New Roman" w:eastAsia="Times New Roman" w:hAnsi="Times New Roman"/>
          <w:sz w:val="17"/>
          <w:szCs w:val="17"/>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February 29, 2024, the Company has received payments of $11.0 million for research milestones. Additionally, the Company achieved a research milestone in February 2024 and received a payment of $2.0 million in the second quarter of fiscal year 2024. As of February 29, 2024, the Company is eligible to receive up to approximately $2.4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66"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62"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29, 2024.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$13.0 million in variable consideration was added to the transaction price, which includes $2.0 million added during the three months ended February 29, 2024, and a cumulative effect was recorded as revenue in the period the transaction price increased. Revenue is recognized using the cost-based input method over the research term of</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4.25 years, the revised research period that was agreed to in January 2021 in the First Sanofi Amendment for certain targets, and 5.25 years, the revised research period due to the target substitutions in July 2022, for certain other targets. The research period for STAT6 will be extended as part of the Sixth Sanofi Amendment in the second quarter of fiscal year 2024 and a cumulative effect is expected to be recorded.</w:t>
      </w:r>
    </w:p>
    <w:p>
      <w:pPr>
        <w:spacing w:after="0" w:line="65"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5"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For the three months ended February 29, 2024, the Company recognized collaboration revenue related to the Sanofi Agreement of $8.3 million, of which $6.8 million was included in deferred revenue as of November 30, 2023, and $1.3 million was related to activities satisfied in previous periods. For the three months ended February 28, 2023, the Company recognized collaboration revenue related to the Sanofi Agreement of $5.3 million, of which $4.9 million was included in deferred revenue as of November 30, 2022 and $0.4 million was related to activities satisfied in previous periods. As of February 29, 2024, deferred revenue related to the Sanofi Agreement was $22.5 million, of which $21.5 million was included as deferred revenue, current, and included $2.0 million in contract assets representing the unbilled amount related to the research milestone achieved in February 2024. As of November 30, 2023, deferred revenue related to the Sanofi Agreement was $24.9 million, of which $20.3 million was included as deferred revenue, current, and included $4.0 million in contract assets representing the unbilled amount related to the research milestone achieved in November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2" w:lineRule="exact"/>
        <w:rPr>
          <w:sz w:val="20"/>
          <w:szCs w:val="20"/>
          <w:color w:val="auto"/>
        </w:rPr>
      </w:pPr>
    </w:p>
    <w:p>
      <w:pPr>
        <w:jc w:val="both"/>
        <w:ind w:right="46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62"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Under the terms of the Pfizer Agreement, the Company received an upfront payment of $60.0 million. The Company is eligible to receive up to approximately $3.4 billion in contingent payments based on specified research, development, regulatory and commercial milestones across multiple programs, and is eligible for mid-single to low double digit percentage tiered royalties on future sales.</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619"/>
        <w:spacing w:after="0" w:line="246" w:lineRule="auto"/>
        <w:rPr>
          <w:sz w:val="20"/>
          <w:szCs w:val="20"/>
          <w:color w:val="auto"/>
        </w:rPr>
      </w:pPr>
      <w:r>
        <w:rPr>
          <w:rFonts w:ascii="Times New Roman" w:cs="Times New Roman" w:eastAsia="Times New Roman" w:hAnsi="Times New Roman"/>
          <w:sz w:val="17"/>
          <w:szCs w:val="17"/>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86"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February 29, 2024. The Company re-evaluates the transaction price in each reporting period and as uncertain events are resolved or other changes in circumstances occur. The Company determined that the transaction price at the inception of the Pfizer Agreement consisted of the upfront payment of</w:t>
      </w:r>
    </w:p>
    <w:p>
      <w:pPr>
        <w:spacing w:after="0" w:line="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$60.0 million. The Company has not yet achieved any research milestones and no variable consideration has been added to the transaction price. The transaction price is recognized as collaboration revenue using the cost-based input method over the estimated research term of four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84"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9"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For the three months ended February 29, 2024, the Company recognized collaboration revenue related to the Pfizer Agreement of $3.7 million, all of which was included in deferred revenue as of November 30, 2023. As of February 29, 2024, deferred revenue related to the Pfizer Agreement was $54.7 million, of which $21.2 million was included as deferred revenue, current. As of November 30, 2023, deferred revenue related to the Pfizer Agreement was $58.3 million, of which $17.9 million was included as deferred revenue, current.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Condensed Consolidated Balance Sheet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60" w:type="dxa"/>
            <w:vAlign w:val="bottom"/>
          </w:tcPr>
          <w:p>
            <w:pPr>
              <w:spacing w:after="0"/>
              <w:rPr>
                <w:sz w:val="14"/>
                <w:szCs w:val="14"/>
                <w:color w:val="auto"/>
              </w:rPr>
            </w:pPr>
          </w:p>
        </w:tc>
        <w:tc>
          <w:tcPr>
            <w:tcW w:w="13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3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3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in progress</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3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46,165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6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15,303</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clinical, contract research and lab supplies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51"/>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28,318</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24,970</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118"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2" w:lineRule="exact"/>
        <w:rPr>
          <w:sz w:val="20"/>
          <w:szCs w:val="20"/>
          <w:color w:val="auto"/>
        </w:rPr>
      </w:pPr>
    </w:p>
    <w:p>
      <w:pPr>
        <w:ind w:left="460" w:firstLine="619"/>
        <w:spacing w:after="0" w:line="271" w:lineRule="auto"/>
        <w:rPr>
          <w:sz w:val="20"/>
          <w:szCs w:val="20"/>
          <w:color w:val="auto"/>
        </w:rPr>
      </w:pPr>
      <w:r>
        <w:rPr>
          <w:rFonts w:ascii="Times New Roman" w:cs="Times New Roman" w:eastAsia="Times New Roman" w:hAnsi="Times New Roman"/>
          <w:sz w:val="17"/>
          <w:szCs w:val="17"/>
          <w:color w:val="auto"/>
        </w:rPr>
        <w:t>Level 1—Inputs that reflect unadjusted quoted prices in active markets for identical assets or liabilities that the Company has the ability to access at the measurement date;</w:t>
      </w:r>
    </w:p>
    <w:p>
      <w:pPr>
        <w:spacing w:after="0" w:line="48" w:lineRule="exact"/>
        <w:rPr>
          <w:sz w:val="20"/>
          <w:szCs w:val="20"/>
          <w:color w:val="auto"/>
        </w:rPr>
      </w:pPr>
    </w:p>
    <w:p>
      <w:pPr>
        <w:ind w:left="460" w:right="60" w:firstLine="619"/>
        <w:spacing w:after="0" w:line="287" w:lineRule="auto"/>
        <w:rPr>
          <w:sz w:val="20"/>
          <w:szCs w:val="20"/>
          <w:color w:val="auto"/>
        </w:rPr>
      </w:pPr>
      <w:r>
        <w:rPr>
          <w:rFonts w:ascii="Times New Roman" w:cs="Times New Roman" w:eastAsia="Times New Roman" w:hAnsi="Times New Roman"/>
          <w:sz w:val="17"/>
          <w:szCs w:val="17"/>
          <w:color w:val="auto"/>
        </w:rPr>
        <w:t>Level 2—Inputs other than quoted prices included within Level 1 that are observable for the asset or liability either directly or indirectly, including inputs in markets that are not considered to be active; and</w:t>
      </w:r>
    </w:p>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3—Inputs that are unobservable.</w:t>
      </w:r>
    </w:p>
    <w:p>
      <w:pPr>
        <w:spacing w:after="0" w:line="101" w:lineRule="exact"/>
        <w:rPr>
          <w:sz w:val="20"/>
          <w:szCs w:val="20"/>
          <w:color w:val="auto"/>
        </w:rPr>
      </w:pPr>
    </w:p>
    <w:p>
      <w:pPr>
        <w:ind w:right="480" w:firstLine="619"/>
        <w:spacing w:after="0" w:line="262" w:lineRule="auto"/>
        <w:rPr>
          <w:sz w:val="20"/>
          <w:szCs w:val="20"/>
          <w:color w:val="auto"/>
        </w:rPr>
      </w:pPr>
      <w:r>
        <w:rPr>
          <w:rFonts w:ascii="Times New Roman" w:cs="Times New Roman" w:eastAsia="Times New Roman" w:hAnsi="Times New Roman"/>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56" w:lineRule="exact"/>
        <w:rPr>
          <w:sz w:val="20"/>
          <w:szCs w:val="20"/>
          <w:color w:val="auto"/>
        </w:rPr>
      </w:pPr>
    </w:p>
    <w:p>
      <w:pPr>
        <w:ind w:firstLine="619"/>
        <w:spacing w:after="0" w:line="272" w:lineRule="auto"/>
        <w:rPr>
          <w:sz w:val="20"/>
          <w:szCs w:val="20"/>
          <w:color w:val="auto"/>
        </w:rPr>
      </w:pPr>
      <w:r>
        <w:rPr>
          <w:rFonts w:ascii="Times New Roman" w:cs="Times New Roman" w:eastAsia="Times New Roman" w:hAnsi="Times New Roman"/>
          <w:sz w:val="17"/>
          <w:szCs w:val="17"/>
          <w:color w:val="auto"/>
        </w:rPr>
        <w:t>The following tables present the Company’s investments, which consist of cash equivalents and available-for-sale marketable securities, that are measured at fair value on a recurring basis as of February 29, 2024 and November 30, 2023 (in thousands):</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2"/>
        </w:trPr>
        <w:tc>
          <w:tcPr>
            <w:tcW w:w="20" w:type="dxa"/>
            <w:vAlign w:val="bottom"/>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2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32,152</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144,577</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49,122</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10,292</w:t>
            </w:r>
          </w:p>
        </w:tc>
      </w:tr>
      <w:tr>
        <w:trPr>
          <w:trHeight w:val="25"/>
        </w:trPr>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239,616</w:t>
            </w: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35,144</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35,144</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194,180</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10,350</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10,292</w:t>
            </w:r>
          </w:p>
        </w:tc>
      </w:tr>
      <w:tr>
        <w:trPr>
          <w:trHeight w:val="89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161,023</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68,827</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5"/>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284,889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3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bl>
    <w:p>
      <w:pPr>
        <w:spacing w:after="0" w:line="20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accrued interest receivable related to the Company’s marketable securities was $0.8 million as of both February 29, 2024 and November 30, 2023 and was included in prepaid expenses and other current assets on the condensed consolidated balance sheet. Long-term marketable securities held by the Company generally mature within two years from the balance sheet date.</w:t>
      </w:r>
    </w:p>
    <w:p>
      <w:pPr>
        <w:spacing w:after="0" w:line="76"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The Company classifies its money market funds and U.S. treasury securities, which are valued based on quoted market prices in active markets with no valuation adjustment, as Level 1 assets within the fair value hierarchy.</w:t>
      </w:r>
    </w:p>
    <w:p>
      <w:pPr>
        <w:spacing w:after="0" w:line="48"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months ended February 29, 2024 and February 28, 2023.</w:t>
      </w:r>
    </w:p>
    <w:p>
      <w:pPr>
        <w:spacing w:after="0" w:line="81"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As of February 29, 2024 and November 30, 2023,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February 29, 2024 and November 30, 2023, no allowance for credit losses for the Company’s marketable securities was recorded. During the three months ended February 29, 2024 and February 28, 2023, the Company did not recognize any impairment losses related to marketable securities.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0"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29, 2024, the Company was not a party to any material 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Company leases office and laboratory facilities totaling approximately 57,902 square feet within the same building in San Francisco, California under several lease agreements. The terms of these lease agreements expire in April 2025. The Company has an option to renew these leases for an additional two years, and the renewal term has not been included in the lease term used to calculate the ROU asset and lease liability as it is not reasonably certain that the Company will exercise the option.</w:t>
      </w:r>
    </w:p>
    <w:p>
      <w:pPr>
        <w:spacing w:after="0" w:line="62"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In July 2021, the Company entered into a lease agreement for the lease of approximately 19,320 square feet of office space in a different building in San Francisco, California. The lease commenced in December 2021 and will expire in June 2024, unless terminated earlier.</w:t>
      </w:r>
    </w:p>
    <w:p>
      <w:pPr>
        <w:spacing w:after="0" w:line="35"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82"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$1.5 million and $1.2 million for the three months ended February 29, 2024 and February 28, 2023, respectively.</w:t>
      </w:r>
    </w:p>
    <w:p>
      <w:pPr>
        <w:spacing w:after="0" w:line="76"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Operating lease expenses, excluding variable lease payments, were $2.3 million and $1.5 million for the three months ended February 29, 2024 and February 28, 2023, respectively. Short-term lease expense was not material for the periods presented.</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information related to leases were as follows (in thousands):</w:t>
      </w:r>
    </w:p>
    <w:p>
      <w:pPr>
        <w:spacing w:after="0" w:line="54"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36195</wp:posOffset>
            </wp:positionV>
            <wp:extent cx="2046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51" w:lineRule="exact"/>
        <w:rPr>
          <w:sz w:val="20"/>
          <w:szCs w:val="20"/>
          <w:color w:val="auto"/>
        </w:rPr>
      </w:pPr>
    </w:p>
    <w:p>
      <w:pPr>
        <w:ind w:left="824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February 29, 2024</w:t>
      </w:r>
      <w:r>
        <w:rPr>
          <w:sz w:val="20"/>
          <w:szCs w:val="20"/>
          <w:color w:val="auto"/>
        </w:rPr>
        <w:tab/>
      </w:r>
      <w:r>
        <w:rPr>
          <w:rFonts w:ascii="Times New Roman" w:cs="Times New Roman" w:eastAsia="Times New Roman" w:hAnsi="Times New Roman"/>
          <w:sz w:val="13"/>
          <w:szCs w:val="13"/>
          <w:b w:val="1"/>
          <w:bCs w:val="1"/>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36195</wp:posOffset>
            </wp:positionV>
            <wp:extent cx="7105650" cy="163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16383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62" w:lineRule="exact"/>
        <w:rPr>
          <w:sz w:val="20"/>
          <w:szCs w:val="20"/>
          <w:color w:val="auto"/>
        </w:rPr>
      </w:pPr>
    </w:p>
    <w:p>
      <w:pPr>
        <w:ind w:left="200"/>
        <w:spacing w:after="0"/>
        <w:tabs>
          <w:tab w:leader="none" w:pos="8000" w:val="left"/>
          <w:tab w:leader="none" w:pos="9080" w:val="left"/>
          <w:tab w:leader="none" w:pos="9640" w:val="left"/>
          <w:tab w:leader="none" w:pos="10740" w:val="left"/>
        </w:tabs>
        <w:rPr>
          <w:sz w:val="20"/>
          <w:szCs w:val="20"/>
          <w:color w:val="auto"/>
        </w:rPr>
      </w:pPr>
      <w:r>
        <w:rPr>
          <w:rFonts w:ascii="Times New Roman" w:cs="Times New Roman" w:eastAsia="Times New Roman" w:hAnsi="Times New Roman"/>
          <w:sz w:val="17"/>
          <w:szCs w:val="17"/>
          <w:color w:val="auto"/>
        </w:rPr>
        <w:t>Cash flows from operating leases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1,918</w:t>
        <w:tab/>
        <w:t>$</w:t>
      </w:r>
      <w:r>
        <w:rPr>
          <w:sz w:val="20"/>
          <w:szCs w:val="20"/>
          <w:color w:val="auto"/>
        </w:rPr>
        <w:tab/>
      </w:r>
      <w:r>
        <w:rPr>
          <w:rFonts w:ascii="Times New Roman" w:cs="Times New Roman" w:eastAsia="Times New Roman" w:hAnsi="Times New Roman"/>
          <w:sz w:val="17"/>
          <w:szCs w:val="17"/>
          <w:color w:val="auto"/>
        </w:rPr>
        <w:t>1,388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33655</wp:posOffset>
            </wp:positionV>
            <wp:extent cx="204660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46605" cy="330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Common Stock</w:t>
      </w:r>
    </w:p>
    <w:p>
      <w:pPr>
        <w:spacing w:after="0" w:line="118"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The Company’s Restated Certificate of Incorporation authorizes the Company to issue up to 500,000,000 shares of common stock, $0.001 par value per share, as of February 29, 2024 and November 30, 2023. Holders of common stock are entitled to dividends when and if declared by the Company’s board of directors, subject to the prior rights of the holders of shares of preferred stock. The holder of each share of common stock is entitled to one vote. As of February 29, 2024, no dividends have been declared.</w:t>
      </w:r>
    </w:p>
    <w:p>
      <w:pPr>
        <w:spacing w:after="0" w:line="75"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February 29, 2024, there were pre-funded warrants to purchase an aggregate of 6,097,560 shares of the Company's common stock that remained available for exercise.</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reserved for future issuance, on an as-if converted basis, as of February 29, 2024 and November 30, 2023, consists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9,931,118</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2,268,207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1,246,031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future equity grants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705,607</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1,614,035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1,843,908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1,530,281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Pre-funded warrants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6,097,560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6,097,560</w:t>
            </w:r>
          </w:p>
        </w:tc>
      </w:tr>
      <w:tr>
        <w:trPr>
          <w:trHeight w:val="251"/>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common stock reserved for future issuance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20,846,400</w:t>
            </w:r>
          </w:p>
        </w:tc>
        <w:tc>
          <w:tcPr>
            <w:tcW w:w="8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18,828,875</w:t>
            </w: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20"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Option activity under the Stock Plans is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68"/>
        </w:trPr>
        <w:tc>
          <w:tcPr>
            <w:tcW w:w="79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55"/>
        </w:trPr>
        <w:tc>
          <w:tcPr>
            <w:tcW w:w="796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1,948,929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(75,362)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(283,417)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February 29,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9,931,118</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00"/>
              <w:spacing w:after="0"/>
              <w:rPr>
                <w:sz w:val="20"/>
                <w:szCs w:val="20"/>
                <w:color w:val="auto"/>
              </w:rPr>
            </w:pPr>
            <w:r>
              <w:rPr>
                <w:rFonts w:ascii="Times New Roman" w:cs="Times New Roman" w:eastAsia="Times New Roman" w:hAnsi="Times New Roman"/>
                <w:sz w:val="17"/>
                <w:szCs w:val="17"/>
                <w:color w:val="auto"/>
              </w:rPr>
              <w:t>RSU activity under the Stock Plans is set forth below:</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Weighted-average grant</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RSUs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date fair value</w:t>
            </w:r>
          </w:p>
        </w:tc>
        <w:tc>
          <w:tcPr>
            <w:tcW w:w="0" w:type="dxa"/>
            <w:vAlign w:val="bottom"/>
          </w:tcPr>
          <w:p>
            <w:pPr>
              <w:spacing w:after="0"/>
              <w:rPr>
                <w:sz w:val="1"/>
                <w:szCs w:val="1"/>
                <w:color w:val="auto"/>
              </w:rPr>
            </w:pP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1,246,031</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1,335,343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RSUs 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February 29,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2,268,207</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0"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Under the Company’s 2020 Employee Stock Purchase Plan (the ESPP), eligible employees are entitled to purchase shares of common stock with accumulated payroll deductions. During the three months ended February 29, 2024, the Company issued 173,558 shares of common stock pursuant to the ESPP at a weighted-average price of $7.31 per share.</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ind w:right="440" w:firstLine="619"/>
        <w:spacing w:after="0" w:line="271" w:lineRule="auto"/>
        <w:rPr>
          <w:sz w:val="20"/>
          <w:szCs w:val="20"/>
          <w:color w:val="auto"/>
        </w:rPr>
      </w:pPr>
      <w:r>
        <w:rPr>
          <w:rFonts w:ascii="Times New Roman" w:cs="Times New Roman" w:eastAsia="Times New Roman" w:hAnsi="Times New Roman"/>
          <w:sz w:val="17"/>
          <w:szCs w:val="17"/>
          <w:color w:val="auto"/>
        </w:rPr>
        <w:t>Stock-based compensation expense related to the Stock Plans and the ESPP that is included in the Company’s condensed consolidated statements of operations is as follows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February 28, 2023</w:t>
            </w: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3,827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5,154</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20"/>
                <w:szCs w:val="20"/>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3,995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w:t>
            </w: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6"/>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7,822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620" w:firstLine="619"/>
        <w:spacing w:after="0" w:line="287" w:lineRule="auto"/>
        <w:rPr>
          <w:sz w:val="20"/>
          <w:szCs w:val="20"/>
          <w:color w:val="auto"/>
        </w:rPr>
      </w:pPr>
      <w:r>
        <w:rPr>
          <w:rFonts w:ascii="Times New Roman" w:cs="Times New Roman" w:eastAsia="Times New Roman" w:hAnsi="Times New Roman"/>
          <w:sz w:val="17"/>
          <w:szCs w:val="17"/>
          <w:color w:val="auto"/>
        </w:rPr>
        <w:t>As of February 29, 2024, the total compensation cost related to stock-based awards not yet recognized was $65.3 million, which is expected to be amortized on a straight-line basis over the weighted-average remaining vesting period of approximately 2.3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Defined Contribution Plan</w:t>
      </w:r>
    </w:p>
    <w:p>
      <w:pPr>
        <w:spacing w:after="0" w:line="11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$0.4 million and $0.6 million during the three months ended February 29, 2024 and February 28,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For the three months ended February 29, 2024, the Company recorded an income tax provision of $90,000. For the three months ended February 28, 2023,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29, 2024 and February 28, 2023 due to the uncertainty of realizing future tax benefits from its net operating loss carryforwards and other deferred tax assets.</w:t>
      </w:r>
    </w:p>
    <w:p>
      <w:pPr>
        <w:spacing w:after="0" w:line="8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net operating losses.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Loss Per Share</w:t>
      </w:r>
    </w:p>
    <w:p>
      <w:pPr>
        <w:spacing w:after="0" w:line="118"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February 28, 2023</w:t>
            </w: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(41,518)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(40,733)</w:t>
            </w:r>
          </w:p>
        </w:tc>
      </w:tr>
      <w:tr>
        <w:trPr>
          <w:trHeight w:val="25"/>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58"/>
        </w:trPr>
        <w:tc>
          <w:tcPr>
            <w:tcW w:w="7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Weighted-average number of shares outstanding, basic and diluted</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54,903,407</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54,028,238</w:t>
            </w: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820" w:right="560" w:hanging="800"/>
        <w:spacing w:after="0" w:line="287"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pre-funded warrants to purchase shares of the Company’s common stock have been included in the calculation of the weighted-average number of shares outstanding, basic and diluted, for the three months ended February 29, 2024 and February 28, 2023.</w:t>
      </w:r>
    </w:p>
    <w:p>
      <w:pPr>
        <w:spacing w:after="0" w:line="164" w:lineRule="exact"/>
        <w:rPr>
          <w:sz w:val="20"/>
          <w:szCs w:val="20"/>
          <w:color w:val="auto"/>
        </w:rPr>
      </w:pPr>
    </w:p>
    <w:p>
      <w:pPr>
        <w:ind w:right="560" w:firstLine="619"/>
        <w:spacing w:after="0" w:line="271"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computation of the diluted net loss per share of common stock for the periods presented because their effect would have been anti-dilutive:</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219"/>
        </w:trPr>
        <w:tc>
          <w:tcPr>
            <w:tcW w:w="7960" w:type="dxa"/>
            <w:vAlign w:val="bottom"/>
          </w:tcPr>
          <w:p>
            <w:pPr>
              <w:spacing w:after="0"/>
              <w:rPr>
                <w:sz w:val="19"/>
                <w:szCs w:val="19"/>
                <w:color w:val="auto"/>
              </w:rPr>
            </w:pPr>
          </w:p>
        </w:tc>
        <w:tc>
          <w:tcPr>
            <w:tcW w:w="15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9,931,118</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9,535,402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early exercised subject to vesting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17,069</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2,268,207</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1,595,025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expected to be purchased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111,236</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103,194</w:t>
            </w: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6"/>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12,311,705</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11,250,690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118"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$1.1 million for both the three months ended February 29, 2024 and February 28, 2023. As of February 29, 2024 and November 30, 2023, the amount recorded in accounts payable and accrued expenses and other current liabilities in connection with this healthcare plan provider was not material.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Subsequent Events</w:t>
      </w:r>
    </w:p>
    <w:p>
      <w:pPr>
        <w:spacing w:after="0" w:line="118"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Refer to Note 3 for more information on the Company's collaborations with Gilead and Sanofi under the Gilead Agreement and the Sanofi Agreement, respectively.</w:t>
      </w:r>
    </w:p>
    <w:p>
      <w:pPr>
        <w:spacing w:after="0" w:line="48"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In March 2024, the Company entered into a second amendment (the "Second Amendment") to the Lease Agreement (the “Lease Agreement”), dated as of June 21, 2021, by and between the Company and ARE-San Francisco No. 19 LLC (the “Lessor”), as amended by the First Amendment to Lease Agreement, dated June 28, 2023, by and between the Company and Lessor. The Second Amendment extends the lease of approximately 19,320 square feet of office space in San Francisco, California by approximately ten months. The minimum rent payable by the Company under the Second Amendment will be approximately $0.1 million per month. The Company will also be required to pay its proportionate share of operating expenses, as defined in the Lease Agreement.</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ind w:firstLine="619"/>
        <w:spacing w:after="0" w:line="204" w:lineRule="exact"/>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 and (2) the audited financial statements and related notes and management’s discussion and analysis of financial condition and results of operations for the fiscal year ended November 30, 2023 included in our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filed on February 15, 2024.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Degradation</w:t>
      </w:r>
    </w:p>
    <w:p>
      <w:pPr>
        <w:spacing w:after="0" w:line="80" w:lineRule="exact"/>
        <w:rPr>
          <w:sz w:val="20"/>
          <w:szCs w:val="20"/>
          <w:color w:val="auto"/>
        </w:rPr>
      </w:pPr>
    </w:p>
    <w:p>
      <w:pPr>
        <w:jc w:val="both"/>
        <w:ind w:firstLine="619"/>
        <w:spacing w:after="0" w:line="230" w:lineRule="exact"/>
        <w:rPr>
          <w:sz w:val="20"/>
          <w:szCs w:val="20"/>
          <w:color w:val="auto"/>
        </w:rPr>
      </w:pPr>
      <w:r>
        <w:rPr>
          <w:rFonts w:ascii="Times New Roman" w:cs="Times New Roman" w:eastAsia="Times New Roman" w:hAnsi="Times New Roman"/>
          <w:sz w:val="17"/>
          <w:szCs w:val="17"/>
          <w:color w:val="auto"/>
        </w:rPr>
        <w:t>Our portfolio of targeted protein degraders of BTK, a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signaling protein, comprises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5948, an orally bioavailable BTK degrader for the treatment of relapsed or refractory B-cell malignancies and potentially autoimmune diseases, and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an orally bioavailable BTK degrader that also degrades cereblon neosubstrates IKZF1 (Ikaros) and IKZF3 (Aiolos) for the treatment of relapsed or refractory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malignancies.</w:t>
      </w:r>
    </w:p>
    <w:p>
      <w:pPr>
        <w:spacing w:after="0" w:line="47"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NX-5948: We are currently treating patients in a Phase 1a/1b dose-escalation and cohort expansion study in patients with relapsed or refractory B-cell malignancies.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w:t>
      </w:r>
    </w:p>
    <w:p>
      <w:pPr>
        <w:spacing w:after="0" w:line="22" w:lineRule="exact"/>
        <w:rPr>
          <w:sz w:val="20"/>
          <w:szCs w:val="20"/>
          <w:color w:val="auto"/>
        </w:rPr>
      </w:pPr>
    </w:p>
    <w:p>
      <w:pPr>
        <w:ind w:right="40" w:firstLine="619"/>
        <w:spacing w:after="0" w:line="212" w:lineRule="exact"/>
        <w:rPr>
          <w:sz w:val="20"/>
          <w:szCs w:val="20"/>
          <w:color w:val="auto"/>
        </w:rPr>
      </w:pPr>
      <w:r>
        <w:rPr>
          <w:rFonts w:ascii="Times New Roman" w:cs="Times New Roman" w:eastAsia="Times New Roman" w:hAnsi="Times New Roman"/>
          <w:sz w:val="17"/>
          <w:szCs w:val="17"/>
          <w:color w:val="auto"/>
        </w:rPr>
        <w:t>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We are currently treating patients in a Phase 1a/1b dose-escalation and cohort expansion study of NX-2127 in patients with relapsed or refractory B-cell malignancies. We have initiated Phase 1b expansion cohorts for patients with relapsed CLL, diffuse large B-cell lymphoma (DLBCL) and mantle cell lymphoma (MCL). In March 2024, the FDA lifted the partial clinical hold on the U.S. Phase 1a/1b study evaluating NX-2127 in adults with relapsed/refractory B-cell malignancies. We plan to reinitiate enrollment with the new chirally controlled drug substance in a standard dose escalation study within the current Phase 1a/1b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Elevation</w:t>
      </w:r>
    </w:p>
    <w:p>
      <w:pPr>
        <w:spacing w:after="0" w:line="120"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Our targeted protein elevation program includes NX-1607, an orally bioavailable inhibitor of CBL-B, an E3 ligase that regulates the activation of multiple immune cell types including T cells and NK cells. NX-1607 is targeted for immuno-oncology indications.</w:t>
      </w:r>
    </w:p>
    <w:p>
      <w:pPr>
        <w:spacing w:after="0" w:line="61" w:lineRule="exact"/>
        <w:rPr>
          <w:sz w:val="20"/>
          <w:szCs w:val="20"/>
          <w:color w:val="auto"/>
        </w:rPr>
      </w:pPr>
    </w:p>
    <w:p>
      <w:pPr>
        <w:ind w:right="260" w:firstLine="619"/>
        <w:spacing w:after="0" w:line="248" w:lineRule="auto"/>
        <w:rPr>
          <w:sz w:val="20"/>
          <w:szCs w:val="20"/>
          <w:color w:val="auto"/>
        </w:rPr>
      </w:pPr>
      <w:r>
        <w:rPr>
          <w:rFonts w:ascii="Times New Roman" w:cs="Times New Roman" w:eastAsia="Times New Roman" w:hAnsi="Times New Roman"/>
          <w:sz w:val="17"/>
          <w:szCs w:val="17"/>
          <w:color w:val="auto"/>
        </w:rPr>
        <w:t>We are currently treating patients in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Drug Discovery Pipeline</w:t>
      </w:r>
    </w:p>
    <w:p>
      <w:pPr>
        <w:spacing w:after="0" w:line="120"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autoimmunity, inflammation, and other challenging diseases.</w:t>
      </w:r>
    </w:p>
    <w:p>
      <w:pPr>
        <w:spacing w:after="0" w:line="62"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have entered into several revenue generating collaborations with large biopharmaceutical companies, including with Gilead, Sanofi and Seagen (now a part of Pfizer), to leverage our DELigase platform for drug discovery. These collaborations allow us to further advance our future pipeline with multiple currently identified targets included in these collaborations. In aggregate, we have received $413.0 million in non-dilutive financing from our collaborators to date, and as of February 29, 2024, we are eligible to receive up to $7.6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expect to receive in the second quarter of fiscal year 2024.</w:t>
      </w:r>
    </w:p>
    <w:p>
      <w:pPr>
        <w:spacing w:after="0" w:line="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69"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Upon signing the Gilead Agreement, Gilead paid us an upfront payment of $45.0 million, plus $3.0 million in additional fees. In addition, from the signing of the Gilead Agreement to February 29, 2024, we have received payments of $47.0 million for research milestones and additional payments and $20.0 million for a license option exercise payment. As of February 29, 2024,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spacing w:after="0" w:line="69"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We recognized collaboration revenue from the Gilead Agreement of $4.6 million and $7.4 million during the three months ended February 29, 2024 and February 28, 2023, respectively. As of February 29, 2024 and November 30, 2023, there was $5.3 million and $10.0 million, respectively, of deferred revenue related to payments received by us under the Gilead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65"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January 2021, we and Sanofi entered into the First Amendment to the Sanofi Agreement to modify the research term on all targets. In 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69"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February 29, 2024, we received payments of $11.0 million for research milestones. Additionally, we achieved a research milestone in February 2024 and received a payment of $2.0 million in the second quarter of fiscal year 2024. As of February 29, 2024, we are eligible to receive up to approximately $2.4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86"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62"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We recognized collaboration revenue from the Sanofi Agreement of $8.3 million and $5.3 million during the three months ended February 29, 2024 and February 28, 2023, respectively. As of February 29, 2024 and November 30, 2023, there was $22.5 million and $24.9 million, respectively, of deferred revenue related to payments received by us under the Sanofi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2"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75"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exercised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62" w:lineRule="exact"/>
        <w:rPr>
          <w:sz w:val="20"/>
          <w:szCs w:val="20"/>
          <w:color w:val="auto"/>
        </w:rPr>
      </w:pPr>
    </w:p>
    <w:p>
      <w:pPr>
        <w:jc w:val="both"/>
        <w:ind w:right="40" w:firstLine="619"/>
        <w:spacing w:after="0" w:line="262" w:lineRule="auto"/>
        <w:rPr>
          <w:sz w:val="20"/>
          <w:szCs w:val="20"/>
          <w:color w:val="auto"/>
        </w:rPr>
      </w:pPr>
      <w:r>
        <w:rPr>
          <w:rFonts w:ascii="Times New Roman" w:cs="Times New Roman" w:eastAsia="Times New Roman" w:hAnsi="Times New Roman"/>
          <w:sz w:val="17"/>
          <w:szCs w:val="17"/>
          <w:color w:val="auto"/>
        </w:rPr>
        <w:t>Under the terms of the Pfizer Agreement, we received an upfront payment of $60.0 million. We are eligible to receive up to approximately $3.4 billion in contingent payments based on specified research, development, regulatory and commercial milestones across multiple programs, and are eligible for mid-single to low double digit percentage tiered royalties on future sales.</w:t>
      </w:r>
    </w:p>
    <w:p>
      <w:pPr>
        <w:spacing w:after="0" w:line="56"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56" w:lineRule="exact"/>
        <w:rPr>
          <w:sz w:val="20"/>
          <w:szCs w:val="20"/>
          <w:color w:val="auto"/>
        </w:rPr>
      </w:pPr>
    </w:p>
    <w:p>
      <w:pPr>
        <w:jc w:val="both"/>
        <w:ind w:right="240" w:firstLine="619"/>
        <w:spacing w:after="0" w:line="254" w:lineRule="auto"/>
        <w:rPr>
          <w:sz w:val="20"/>
          <w:szCs w:val="20"/>
          <w:color w:val="auto"/>
        </w:rPr>
      </w:pPr>
      <w:r>
        <w:rPr>
          <w:rFonts w:ascii="Times New Roman" w:cs="Times New Roman" w:eastAsia="Times New Roman" w:hAnsi="Times New Roman"/>
          <w:sz w:val="17"/>
          <w:szCs w:val="17"/>
          <w:color w:val="auto"/>
        </w:rPr>
        <w:t>We recognized collaboration revenue from the Pfizer Agreement of $3.7 million during the three months ended February 29, 2024. As of February 29, 2024 and November 30, 2023, there was $54.7 million and $58.3 million, respectively, of deferred revenue related to payments received by us under the Pfizer Agreement.</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118"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inception, we have generally incurred significant losses and negative cash flows from operations. During the three months ended February 29,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February 28, 2023, we incurred net losses of $41.5 million and $40.7 million, respectively. As of February 29, 2024, we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$586.7 million. These losses have resulted primarily from costs incurred in connection with research and development activities and general and administrative</w:t>
      </w:r>
    </w:p>
    <w:p>
      <w:pPr>
        <w:spacing w:after="0"/>
        <w:rPr>
          <w:sz w:val="20"/>
          <w:szCs w:val="20"/>
          <w:color w:val="auto"/>
        </w:rPr>
      </w:pPr>
      <w:r>
        <w:rPr>
          <w:rFonts w:ascii="Times New Roman" w:cs="Times New Roman" w:eastAsia="Times New Roman" w:hAnsi="Times New Roman"/>
          <w:sz w:val="17"/>
          <w:szCs w:val="17"/>
          <w:color w:val="auto"/>
        </w:rPr>
        <w:t>costs associated with our operations.</w:t>
      </w:r>
    </w:p>
    <w:p>
      <w:pPr>
        <w:spacing w:after="0" w:line="8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2"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5"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As of February 29, 2024, we had $254.3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Current Global Business, Political and Macroeconomic Conditions</w:t>
      </w:r>
    </w:p>
    <w:p>
      <w:pPr>
        <w:spacing w:after="0" w:line="120"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Uncertainty in the global business, political and macroeconomic environments present significant risks to our business. We are subject to continuing risks and uncertainties, including increasing financial market volatility and uncertainty, inflation, increasing interest rates,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are closely monitoring the impact of these factors on all aspects of our business, including the impacts on our clinical trial patients, employees, partner, suppliers, and vendors.</w:t>
      </w:r>
    </w:p>
    <w:p>
      <w:pPr>
        <w:spacing w:after="0" w:line="69"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The ultimate extent of the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Quarterly Report on Form 10-Q.</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We have no products approved for commercial sale and to date have not generated any revenue from the sale of products and do not expect to generate any revenue from the sale of products in the near future.</w:t>
      </w:r>
    </w:p>
    <w:p>
      <w:pPr>
        <w:spacing w:after="0" w:line="6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5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Internal research and development costs include:</w:t>
      </w:r>
    </w:p>
    <w:p>
      <w:pPr>
        <w:spacing w:after="0" w:line="114" w:lineRule="exact"/>
        <w:rPr>
          <w:sz w:val="20"/>
          <w:szCs w:val="20"/>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personnel expenses, including benefits, stock-based compensation and travel expenses, for our research and development functions;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research and development equipment, allocated overhead and facilities-related expenses.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External research and development expenses consist primarily of costs incurred for the development of our drug candidates and may include:</w:t>
      </w:r>
    </w:p>
    <w:p>
      <w:pPr>
        <w:spacing w:after="0" w:line="114" w:lineRule="exact"/>
        <w:rPr>
          <w:sz w:val="20"/>
          <w:szCs w:val="20"/>
          <w:color w:val="auto"/>
        </w:rPr>
      </w:pPr>
    </w:p>
    <w:p>
      <w:pPr>
        <w:ind w:left="940" w:right="260" w:hanging="318"/>
        <w:spacing w:after="0" w:line="271"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third parties such as consultants, contractors and contract research organizations to conduct our clinical trials, discovery programs and preclinical studies;</w:t>
      </w:r>
    </w:p>
    <w:p>
      <w:pPr>
        <w:spacing w:after="0" w:line="48"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acquire, develop and manufacture supplies for clinical trials and preclinical studies, including fees paid to third parties such as contract manufacturing organizations; and</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laboratory supplies and services.</w:t>
      </w:r>
    </w:p>
    <w:p>
      <w:pPr>
        <w:spacing w:after="0" w:line="101"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operate as a public company and support our research and development activities. This may include expenses related to compliance with the rules and regulations of the Securities and Exchange Commission and listing standards applicable to companies listed on a national securities exchange, additional insurance,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0"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Our critical accounting policies and more significant areas involving management’s judgments and estimates used in preparation of our condensed consolidated financial statements are discussed in the section titled “Management’s Discussion and Analysis of Financial Condition and Results of Operations” in our Annual Report on Form 10-K for the fiscal year ended November 30, 2023. There have been no significant changes to these policies for the three months ended February 29,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See Note 2, “Summary of Significant Accounting Policies—Recently Adopted Accounting Pronouncements” to our condensed consolidated financial statements included elsewhere in this Quarterly Report on Form 10-Q for more information.</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February 29, 2024 and February 28, 2023</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results of operations for the three months ended February 29, 2024 and February 28, 2023 are summarized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
        </w:trPr>
        <w:tc>
          <w:tcPr>
            <w:tcW w:w="6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44"/>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280" w:type="dxa"/>
            <w:vAlign w:val="bottom"/>
          </w:tcPr>
          <w:p>
            <w:pPr>
              <w:spacing w:after="0"/>
              <w:rPr>
                <w:sz w:val="24"/>
                <w:szCs w:val="24"/>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5"/>
        </w:trPr>
        <w:tc>
          <w:tcPr>
            <w:tcW w:w="6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2"/>
        </w:trPr>
        <w:tc>
          <w:tcPr>
            <w:tcW w:w="6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Collaboration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r>
      <w:tr>
        <w:trPr>
          <w:trHeight w:val="25"/>
        </w:trPr>
        <w:tc>
          <w:tcPr>
            <w:tcW w:w="6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w:t>
            </w: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45,816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4,189</w:t>
            </w:r>
          </w:p>
        </w:tc>
      </w:tr>
      <w:tr>
        <w:trPr>
          <w:trHeight w:val="232"/>
        </w:trPr>
        <w:tc>
          <w:tcPr>
            <w:tcW w:w="6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w:t>
            </w:r>
          </w:p>
        </w:tc>
      </w:tr>
      <w:tr>
        <w:trPr>
          <w:trHeight w:val="25"/>
        </w:trPr>
        <w:tc>
          <w:tcPr>
            <w:tcW w:w="6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6,167</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(45,219)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(42,952)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(2,267)</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(41,428)</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(40,733)</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51"/>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collaboration revenue for the three months ended February 29, 2024 and February 28, 2023 is summarized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
        </w:trPr>
        <w:tc>
          <w:tcPr>
            <w:tcW w:w="6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44"/>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28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5"/>
        </w:trPr>
        <w:tc>
          <w:tcPr>
            <w:tcW w:w="6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Gilead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center"/>
              <w:ind w:left="438"/>
              <w:spacing w:after="0"/>
              <w:rPr>
                <w:sz w:val="20"/>
                <w:szCs w:val="20"/>
                <w:color w:val="auto"/>
              </w:rPr>
            </w:pPr>
            <w:r>
              <w:rPr>
                <w:rFonts w:ascii="Times New Roman" w:cs="Times New Roman" w:eastAsia="Times New Roman" w:hAnsi="Times New Roman"/>
                <w:sz w:val="17"/>
                <w:szCs w:val="17"/>
                <w:color w:val="auto"/>
              </w:rPr>
              <w:t>(2,742)</w:t>
            </w: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Sanofi</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left="478"/>
              <w:spacing w:after="0"/>
              <w:rPr>
                <w:sz w:val="20"/>
                <w:szCs w:val="20"/>
                <w:color w:val="auto"/>
              </w:rPr>
            </w:pPr>
            <w:r>
              <w:rPr>
                <w:rFonts w:ascii="Times New Roman" w:cs="Times New Roman" w:eastAsia="Times New Roman" w:hAnsi="Times New Roman"/>
                <w:sz w:val="17"/>
                <w:szCs w:val="17"/>
                <w:color w:val="auto"/>
                <w:w w:val="99"/>
              </w:rPr>
              <w:t>2,985</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Pfizer</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478"/>
              <w:spacing w:after="0"/>
              <w:rPr>
                <w:sz w:val="20"/>
                <w:szCs w:val="20"/>
                <w:color w:val="auto"/>
              </w:rPr>
            </w:pPr>
            <w:r>
              <w:rPr>
                <w:rFonts w:ascii="Times New Roman" w:cs="Times New Roman" w:eastAsia="Times New Roman" w:hAnsi="Times New Roman"/>
                <w:sz w:val="17"/>
                <w:szCs w:val="17"/>
                <w:color w:val="auto"/>
                <w:w w:val="99"/>
              </w:rPr>
              <w:t>3,657</w:t>
            </w:r>
          </w:p>
        </w:tc>
      </w:tr>
      <w:tr>
        <w:trPr>
          <w:trHeight w:val="251"/>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collaboration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center"/>
              <w:ind w:left="478"/>
              <w:spacing w:after="0"/>
              <w:rPr>
                <w:sz w:val="20"/>
                <w:szCs w:val="20"/>
                <w:color w:val="auto"/>
              </w:rPr>
            </w:pPr>
            <w:r>
              <w:rPr>
                <w:rFonts w:ascii="Times New Roman" w:cs="Times New Roman" w:eastAsia="Times New Roman" w:hAnsi="Times New Roman"/>
                <w:sz w:val="17"/>
                <w:szCs w:val="17"/>
                <w:color w:val="auto"/>
                <w:w w:val="99"/>
              </w:rPr>
              <w:t>3,900</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Our collaboration revenue increased by $3.9 million during the three months ended February 29, 2024 compared to the three months ended February 28, 2023 primarily due to the recognition of revenue from our collaboration with Pfizer that was entered into in the fourth quarter of fiscal year 2023, and increased effort resulting in a higher percentage of completion of performance obligation under our collaboration with Sanofi in the current period. The increase in revenue under our collaboration with Sanofi was also due to the achievement of a research milestone that resulted in the cumulative catch up in revenue for activities satisfied in previous periods. The decrease in revenue under our collaboration with Gilead was primarily due to a decrease in activity as we approach the end of the initial five year research term.</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research and development expenses for the three months ended February 29, 2024 and February 28, 2023 are summarized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
        </w:trPr>
        <w:tc>
          <w:tcPr>
            <w:tcW w:w="6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44"/>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280" w:type="dxa"/>
            <w:vAlign w:val="bottom"/>
          </w:tcPr>
          <w:p>
            <w:pPr>
              <w:spacing w:after="0"/>
              <w:rPr>
                <w:sz w:val="24"/>
                <w:szCs w:val="24"/>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5"/>
        </w:trPr>
        <w:tc>
          <w:tcPr>
            <w:tcW w:w="6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related personnel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 and contract research</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activities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manufacturing</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costs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and other costs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r>
      <w:tr>
        <w:trPr>
          <w:trHeight w:val="251"/>
        </w:trPr>
        <w:tc>
          <w:tcPr>
            <w:tcW w:w="6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50,005</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45,816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4,189</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Our research and development expenses increased by $4.2 million during the three months ended February 29, 2024 compared to the three months ended February 28, 2023. There was an increase in clinical costs and contract manufacturing costs as we continued our clinical trial programs and ongoing patient enrollment and an increase in supplies to support our collaboration with Pfizer. There was also an increase in facility and other costs primarily driven by our lease in The Woodlands, Texas. There was a decrease in non-cash stock-based compensation expense primarily due to the cancellation of incentive stock options and restricted stock units (RSUs).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Our general and administrative expenses increased by $2.0 million during the three months ended February 29, 2024 compared to the three months ended February 28, 2023. There was an increase in non-cash stock-based compensation expense primarily driven by the increased issuance of RSUs and incentive stock options and an increase in professional service costs and other costs.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76"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76"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February 29, 2024, we had $130.0 million of common stock remaining available for sale under the Equity Distribution Agreement.</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80" w:firstLine="619"/>
        <w:spacing w:after="0" w:line="207" w:lineRule="exact"/>
        <w:rPr>
          <w:sz w:val="20"/>
          <w:szCs w:val="20"/>
          <w:color w:val="auto"/>
        </w:rPr>
      </w:pPr>
      <w:r>
        <w:rPr>
          <w:rFonts w:ascii="Times New Roman" w:cs="Times New Roman" w:eastAsia="Times New Roman" w:hAnsi="Times New Roman"/>
          <w:sz w:val="17"/>
          <w:szCs w:val="17"/>
          <w:color w:val="auto"/>
        </w:rPr>
        <w:t>In July 2022, we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February 29, 2024, a total of 6,097,560 pre-funded warrants remained available for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20"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As of February 29, 2024, our operations have primarily been funded through the net proceeds from equity offerings of $650.5 million and proceeds from collaborations of $413.0 million. We do not have any products approved for sale, and we have not generated any revenue from product sales. As of February 29, 2024, we had $254.3 million in cash, cash equivalents and marketable securities.</w:t>
      </w:r>
    </w:p>
    <w:p>
      <w:pPr>
        <w:spacing w:after="0" w:line="5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We expect that our existing cash, cash equivalents and marketable securities are sufficient to meet our cash requirements and continue operating activities, including the clinical trials of our drug candidates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long term, our ability to support our working capital and capital expenditure requirements will depend on many factors, including the following:</w:t>
      </w:r>
    </w:p>
    <w:p>
      <w:pPr>
        <w:spacing w:after="0" w:line="101" w:lineRule="exact"/>
        <w:rPr>
          <w:sz w:val="20"/>
          <w:szCs w:val="20"/>
          <w:color w:val="auto"/>
        </w:rPr>
      </w:pPr>
    </w:p>
    <w:p>
      <w:pPr>
        <w:ind w:left="940" w:right="24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ongoing Phase 1 clinical trials for our lead drug candidates NX-5948, NX-2127 and NX-1607, and any future clinical development of such drug candidates;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Sanofi, Pfizer and any other collaborations we may establish;</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13" w:lineRule="exact"/>
        <w:rPr>
          <w:rFonts w:ascii="Times New Roman" w:cs="Times New Roman" w:eastAsia="Times New Roman" w:hAnsi="Times New Roman"/>
          <w:sz w:val="17"/>
          <w:szCs w:val="17"/>
          <w:color w:val="auto"/>
        </w:rPr>
      </w:pPr>
    </w:p>
    <w:p>
      <w:pPr>
        <w:ind w:left="940" w:right="24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13"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48"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35"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considered whether there are conditions or events that raise substantial doubt about our ability to continue as a going concern and evaluated the funds necessary to maintain operations. If we are unable to obtain additional funding, we will be required to implement plans that are within our control, which may include the delay or scaling back of certain research and development programs, to maintain liquidity and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Our contractual obligations mostly consist of our operating lease obligations for facilities in San Francisco, California and The Woodlands, Texas. Our total operating lease commitments as of February 29, 2024, were approximately $40.5 million, of which $7.5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62"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flows for the three months ended February 29, 2024 and February 28, 2023 are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5"/>
        </w:trPr>
        <w:tc>
          <w:tcPr>
            <w:tcW w:w="7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80" w:type="dxa"/>
            <w:vAlign w:val="bottom"/>
          </w:tcPr>
          <w:p>
            <w:pPr>
              <w:spacing w:after="0"/>
              <w:rPr>
                <w:sz w:val="15"/>
                <w:szCs w:val="15"/>
                <w:color w:val="auto"/>
              </w:rPr>
            </w:pPr>
          </w:p>
        </w:tc>
        <w:tc>
          <w:tcPr>
            <w:tcW w:w="14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February 28, 2023</w:t>
            </w:r>
          </w:p>
        </w:tc>
      </w:tr>
      <w:tr>
        <w:trPr>
          <w:trHeight w:val="35"/>
        </w:trPr>
        <w:tc>
          <w:tcPr>
            <w:tcW w:w="7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provided by investing activities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16,068</w:t>
            </w:r>
          </w:p>
        </w:tc>
      </w:tr>
      <w:tr>
        <w:trPr>
          <w:trHeight w:val="25"/>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(30,903)</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cash used in operating activities was $42.0 million for the three months ended February 29, 2024 and consisted of a net loss of $41.5 million and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net assets of $10.2 million, offset by non-cash adjustments of $9.8 million. The increase in net assets consisted of a decrease in deferred revenue of</w:t>
      </w:r>
    </w:p>
    <w:p>
      <w:pPr>
        <w:spacing w:after="0" w:line="237" w:lineRule="auto"/>
        <w:rPr>
          <w:sz w:val="20"/>
          <w:szCs w:val="20"/>
          <w:color w:val="auto"/>
        </w:rPr>
      </w:pPr>
      <w:r>
        <w:rPr>
          <w:rFonts w:ascii="Times New Roman" w:cs="Times New Roman" w:eastAsia="Times New Roman" w:hAnsi="Times New Roman"/>
          <w:sz w:val="17"/>
          <w:szCs w:val="17"/>
          <w:color w:val="auto"/>
        </w:rPr>
        <w:t>$12.6 million, which included an increase in contract assets of $2.0 million related to the achievement of a milestone under the Sanofi Agreement, as we increased</w:t>
      </w:r>
    </w:p>
    <w:p>
      <w:pPr>
        <w:spacing w:after="0"/>
        <w:rPr>
          <w:sz w:val="20"/>
          <w:szCs w:val="20"/>
          <w:color w:val="auto"/>
        </w:rPr>
      </w:pPr>
      <w:r>
        <w:rPr>
          <w:rFonts w:ascii="Times New Roman" w:cs="Times New Roman" w:eastAsia="Times New Roman" w:hAnsi="Times New Roman"/>
          <w:sz w:val="17"/>
          <w:szCs w:val="17"/>
          <w:color w:val="auto"/>
        </w:rPr>
        <w:t>effort in our programs and recognized revenue, a decrease in operating lease liabilities of $1.5 million due to lease payments made during the period and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accounts payable of $0.9 million from payments to vendors, offset by an increase in accrued expenses and other liabilities of $3.6 million primarily due to the</w:t>
      </w:r>
    </w:p>
    <w:p>
      <w:pPr>
        <w:spacing w:after="0" w:line="237" w:lineRule="auto"/>
        <w:rPr>
          <w:sz w:val="20"/>
          <w:szCs w:val="20"/>
          <w:color w:val="auto"/>
        </w:rPr>
      </w:pPr>
      <w:r>
        <w:rPr>
          <w:rFonts w:ascii="Times New Roman" w:cs="Times New Roman" w:eastAsia="Times New Roman" w:hAnsi="Times New Roman"/>
          <w:sz w:val="17"/>
          <w:szCs w:val="17"/>
          <w:color w:val="auto"/>
        </w:rPr>
        <w:t>accrual of compensation and other related personnel costs and a decrease in prepaid and other assets of $1.2 million primarily due to the recognition of expenses</w:t>
      </w:r>
    </w:p>
    <w:p>
      <w:pPr>
        <w:spacing w:after="0"/>
        <w:rPr>
          <w:sz w:val="20"/>
          <w:szCs w:val="20"/>
          <w:color w:val="auto"/>
        </w:rPr>
      </w:pPr>
      <w:r>
        <w:rPr>
          <w:rFonts w:ascii="Times New Roman" w:cs="Times New Roman" w:eastAsia="Times New Roman" w:hAnsi="Times New Roman"/>
          <w:sz w:val="17"/>
          <w:szCs w:val="17"/>
          <w:color w:val="auto"/>
        </w:rPr>
        <w:t>for prepaid services. Non-cash adjustments primarily consisted of stock-based compensation expenses of $7.8 million, depreciation and amortization expenses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 million, amortization of operating lease right-of-use (ROU) assets of $1.8 million and net accretion of discount on marketable securities of $1.9 million.</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cash used in operating activities was $48.5 million for the three months ended February 28, 2023 and consisted of a net loss of $40.7 million and 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net assets of $18.6 million, offset by non-cash adjustments of $10.9 million. The increase in net assets consisted of a decrease in deferred revenue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 million as we increased effort in our programs and recognized revenue, a decrease in accrued expenses and other liabilities of $6.9 million primarily related to</w:t>
      </w:r>
    </w:p>
    <w:p>
      <w:pPr>
        <w:spacing w:after="0" w:line="237" w:lineRule="auto"/>
        <w:rPr>
          <w:sz w:val="20"/>
          <w:szCs w:val="20"/>
          <w:color w:val="auto"/>
        </w:rPr>
      </w:pPr>
      <w:r>
        <w:rPr>
          <w:rFonts w:ascii="Times New Roman" w:cs="Times New Roman" w:eastAsia="Times New Roman" w:hAnsi="Times New Roman"/>
          <w:sz w:val="17"/>
          <w:szCs w:val="17"/>
          <w:color w:val="auto"/>
        </w:rPr>
        <w:t>the payment of annual incentive compensation, an increase in prepaid expenses and other assets of $1.6 million primarily related to reimbursement receivables for</w:t>
      </w:r>
    </w:p>
    <w:p>
      <w:pPr>
        <w:spacing w:after="0"/>
        <w:rPr>
          <w:sz w:val="20"/>
          <w:szCs w:val="20"/>
          <w:color w:val="auto"/>
        </w:rPr>
      </w:pPr>
      <w:r>
        <w:rPr>
          <w:rFonts w:ascii="Times New Roman" w:cs="Times New Roman" w:eastAsia="Times New Roman" w:hAnsi="Times New Roman"/>
          <w:sz w:val="17"/>
          <w:szCs w:val="17"/>
          <w:color w:val="auto"/>
        </w:rPr>
        <w:t>landlord-owned improvements and a decrease in operating lease liabilities of $1.3 million due to lease payments made during the period. Non-cash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consisted of stock-based compensation expenses of $8.5 million, depreciation and amortization expenses of $1.8 million and amortization of operating</w:t>
      </w:r>
    </w:p>
    <w:p>
      <w:pPr>
        <w:spacing w:after="0"/>
        <w:rPr>
          <w:sz w:val="20"/>
          <w:szCs w:val="20"/>
          <w:color w:val="auto"/>
        </w:rPr>
      </w:pPr>
      <w:r>
        <w:rPr>
          <w:rFonts w:ascii="Times New Roman" w:cs="Times New Roman" w:eastAsia="Times New Roman" w:hAnsi="Times New Roman"/>
          <w:sz w:val="17"/>
          <w:szCs w:val="17"/>
          <w:color w:val="auto"/>
        </w:rPr>
        <w:t>lease ROU assets of $1.4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investing activities was $35.5 million for the three months ended February 29, 2024 and consisted of the maturity of marketable securities of $93.2 million, offset by the purchase of marketable securities of $54.8 million and the purchase of property and equipment of $2.9 million.</w:t>
      </w:r>
    </w:p>
    <w:p>
      <w:pPr>
        <w:spacing w:after="0" w:line="35"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investing activities was $16.1 million for the three months ended February 28, 2023 and consisted of the maturity of marketable securities of $41.0 million, offset by the purchase of marketable securities of $22.6 million and the purchase of property and equipment of $2.3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ind w:right="28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financing activities was $1.6 million for the three months ended February 29, 2024 and consisted primarily of proceeds from the issuance of common stock under our Employee Stock Purchase Plan (ESPP).</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financing activities was $1.5 million for the three months ended February 28, 2023 and consisted primarily of proceeds from the issuance of common stock under our ESPP.</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23"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as defined by Item 10 of Regulation S-K, we are not required to provide this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February 29, 2024.</w:t>
      </w:r>
    </w:p>
    <w:p>
      <w:pPr>
        <w:spacing w:after="0" w:line="56"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February 29,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three months ended February 29, 2024, that have materially affected, or are reasonably likely to materially affect, our internal control over financial reporting.</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112"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43"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Our net loss was $143.9 million for the fiscal year ended November 30, 2023, and $41.5 million for the three months ended February 29, 2024. As of February 29, 2024, we had an accumulated deficit of $586.7 million. To date, we have not generated any revenue from product sales and have financed our operations primarily through our collaborations and sales of our equity interests. We are in the early stages of development of our drug candidates. Our lead drug candidates,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2"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enrollment in and further development of our Phase 1 clinical trials of our drug candidates NX-5948, NX-2127 and NX-1607;</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investigational new drug applications (INDs) and initiate clinical trials of our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advanced clinical development and scale up external manufacturing capabilities to supply clinical trials;</w:t>
      </w:r>
    </w:p>
    <w:p>
      <w:pPr>
        <w:spacing w:after="0" w:line="113"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capabilities of our DELigase platform and apply our DELigase platform to advance additional drug candidates into preclinical and clinical development;</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process development for manufacturing of our drug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drug candidates that successfully complete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for negotiations with the pricing authorities and submission to the health technology appraisal (HTA) bodies;</w:t>
      </w:r>
    </w:p>
    <w:p>
      <w:pPr>
        <w:spacing w:after="0" w:line="101" w:lineRule="exact"/>
        <w:rPr>
          <w:rFonts w:ascii="Times New Roman" w:cs="Times New Roman" w:eastAsia="Times New Roman" w:hAnsi="Times New Roman"/>
          <w:sz w:val="17"/>
          <w:szCs w:val="17"/>
          <w:color w:val="auto"/>
        </w:rPr>
      </w:pPr>
    </w:p>
    <w:p>
      <w:pPr>
        <w:ind w:left="940" w:right="36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establish a sales, marketing and distribution infrastructure and scale up external manufacturing capabilities to commercialize any drug candidates for which we may obtain marketing approval;</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maintain and protect our intellectual property portfolio;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regulatory, manufacturing, quality assurance and scientific personnel; and</w:t>
      </w:r>
    </w:p>
    <w:p>
      <w:pPr>
        <w:spacing w:after="0" w:line="113" w:lineRule="exact"/>
        <w:rPr>
          <w:rFonts w:ascii="Times New Roman" w:cs="Times New Roman" w:eastAsia="Times New Roman" w:hAnsi="Times New Roman"/>
          <w:sz w:val="17"/>
          <w:szCs w:val="17"/>
          <w:color w:val="auto"/>
        </w:rPr>
      </w:pPr>
    </w:p>
    <w:p>
      <w:pPr>
        <w:ind w:left="940" w:right="1000" w:hanging="318"/>
        <w:spacing w:after="0" w:line="271"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48" w:lineRule="exact"/>
        <w:rPr>
          <w:sz w:val="20"/>
          <w:szCs w:val="20"/>
          <w:color w:val="auto"/>
        </w:rPr>
      </w:pPr>
    </w:p>
    <w:p>
      <w:pPr>
        <w:jc w:val="both"/>
        <w:ind w:right="440" w:firstLine="619"/>
        <w:spacing w:after="0" w:line="262" w:lineRule="auto"/>
        <w:rPr>
          <w:sz w:val="20"/>
          <w:szCs w:val="20"/>
          <w:color w:val="auto"/>
        </w:rPr>
      </w:pPr>
      <w:r>
        <w:rPr>
          <w:rFonts w:ascii="Times New Roman" w:cs="Times New Roman" w:eastAsia="Times New Roman" w:hAnsi="Times New Roman"/>
          <w:sz w:val="17"/>
          <w:szCs w:val="17"/>
          <w:color w:val="auto"/>
        </w:rPr>
        <w:t>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generated revenue from product sales and may never be profitable.</w:t>
      </w:r>
    </w:p>
    <w:p>
      <w:pPr>
        <w:spacing w:after="0" w:line="120"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are in the early stages of clinical development of our drug candidates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69"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expect our expenses to increase substantially in connection with our ongoing activities, particularly as we conduct our Phase 1 clinical trials of NX-5948, NX-2127 and NX-1607,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6"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had cash, cash equivalents and marketable securities of $254.3 million as of February 29, 2024.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283" w:lineRule="exact"/>
        <w:rPr>
          <w:sz w:val="20"/>
          <w:szCs w:val="20"/>
          <w:color w:val="auto"/>
        </w:rPr>
      </w:pPr>
    </w:p>
    <w:p>
      <w:pPr>
        <w:ind w:left="940" w:right="22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Phase 1 clinical trials for NX-5948, NX-2127 and NX-1607 and any future clinical development of such drug candidates;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01"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Sciences, Inc. (Gilead), Sanofi S.A. (Sanofi) and Seagen Inc. (now a part of Pfizer Inc. (Pfizer)) and any other collaborations we may establish;</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01" w:lineRule="exact"/>
        <w:rPr>
          <w:rFonts w:ascii="Times New Roman" w:cs="Times New Roman" w:eastAsia="Times New Roman" w:hAnsi="Times New Roman"/>
          <w:sz w:val="17"/>
          <w:szCs w:val="17"/>
          <w:color w:val="auto"/>
        </w:rPr>
      </w:pPr>
    </w:p>
    <w:p>
      <w:pPr>
        <w:ind w:left="940" w:right="6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35"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6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59"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to evaluate the success of our business to date and to assess our future viability.</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81"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76"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Discovery and Development of Our Drug Candidates</w:t>
      </w:r>
    </w:p>
    <w:p>
      <w:pPr>
        <w:spacing w:after="0" w:line="11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2" w:lineRule="exact"/>
        <w:rPr>
          <w:sz w:val="20"/>
          <w:szCs w:val="20"/>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submission of INDs or Clinical Trial Applications and initiation of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completion of,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related terms of marketing approvals from applicable regulatory authorities;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and regulatory exclusivity for our drug candidates as well as obtaining relevant exclusivity extensions (due to the conduct of pediatric studies);</w:t>
      </w:r>
    </w:p>
    <w:p>
      <w:pPr>
        <w:spacing w:after="0" w:line="35"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arrangements with third-party manufacturers, or establishing manufacturing capabilities, for both clinical and commercial supplies of our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achieving desirable therapeutic properties for our drug candidates’ intended indications;</w:t>
      </w:r>
    </w:p>
    <w:p>
      <w:pPr>
        <w:spacing w:after="0" w:line="101"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and launching commercial sales of our products, if and when approved, whether alone or in collaboration with others;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if and when approved, by patients, the medical community and third-party payors;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continued acceptable safety profile of our drug candidates and maintaining such a profile following approval;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w:t>
      </w:r>
    </w:p>
    <w:p>
      <w:pPr>
        <w:spacing w:after="0" w:line="101"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5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67"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NX-5948 and NX-2127 degrade BTK with mutations that confer resistance to currently marketed BTK inhibitors, and we believe that preliminary data from our ongoing Phase 1 trials of NX-5948 and NX -2127 may provide evidence of clinical benefit to patients with such resistance mutations. However, any inherent primary or acquired secondary resistance to our BTK degraders in patients would prevent or diminish their clinical benefit.</w:t>
      </w:r>
    </w:p>
    <w:p>
      <w:pPr>
        <w:spacing w:after="0" w:line="69"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We are in the early stages of clinical development of NX-5948 and NX-2127 and we currently have limited safety data of NX-5948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7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69" w:lineRule="exact"/>
        <w:rPr>
          <w:sz w:val="20"/>
          <w:szCs w:val="20"/>
          <w:color w:val="auto"/>
        </w:rPr>
      </w:pPr>
    </w:p>
    <w:p>
      <w:pPr>
        <w:ind w:left="940" w:right="260" w:hanging="318"/>
        <w:spacing w:after="0" w:line="271"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educating medical personnel regarding the potential efficacy and safety benefits, as well as the challenges, of incorporating our drug candidates, if approved, into treatment regimens;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the sales and marketing capabilities to gain market acceptance, if approved.</w:t>
      </w:r>
    </w:p>
    <w:p>
      <w:pPr>
        <w:spacing w:after="0" w:line="101"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43"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2" w:lineRule="exact"/>
        <w:rPr>
          <w:sz w:val="20"/>
          <w:szCs w:val="20"/>
          <w:color w:val="auto"/>
        </w:rPr>
      </w:pPr>
    </w:p>
    <w:p>
      <w:pPr>
        <w:ind w:right="500" w:firstLine="619"/>
        <w:spacing w:after="0" w:line="271"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61" w:lineRule="exact"/>
        <w:rPr>
          <w:sz w:val="20"/>
          <w:szCs w:val="20"/>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 consensus with regulators on trial design;</w:t>
      </w:r>
    </w:p>
    <w:p>
      <w:pPr>
        <w:spacing w:after="0" w:line="10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5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agreement on acceptable clinical trial contracts or clinical trial protocols with prospective trial sites;</w:t>
      </w:r>
    </w:p>
    <w:p>
      <w:pPr>
        <w:spacing w:after="0" w:line="6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may not authorize us or our investigators to commence a clinical trial or conduct a clinical trial at a prospective trial site;</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receive feedback from regulatory authorities that requires us to modify the design of our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delays under human tissue act legislation and restrictions across various jurisdictions;</w:t>
      </w:r>
    </w:p>
    <w:p>
      <w:pPr>
        <w:spacing w:after="0" w:line="101" w:lineRule="exact"/>
        <w:rPr>
          <w:rFonts w:ascii="Times New Roman" w:cs="Times New Roman" w:eastAsia="Times New Roman" w:hAnsi="Times New Roman"/>
          <w:sz w:val="17"/>
          <w:szCs w:val="17"/>
          <w:color w:val="auto"/>
        </w:rPr>
      </w:pPr>
    </w:p>
    <w:p>
      <w:pPr>
        <w:ind w:left="940" w:right="3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difficulty in designing clinical trials and in selecting endpoints for diseases that have not been well-studied and for which the natural history and course of the disease is poorly understood;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selection of certain clinical endpoints may require prolonged periods of clinical observation or analysis of the resulting data;</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61"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may have undesirable side effects or other unexpected characteristics, causing us or our investigators, regulators or IRBs to suspend or terminate the trials;</w:t>
      </w:r>
    </w:p>
    <w:p>
      <w:pPr>
        <w:spacing w:after="0" w:line="48" w:lineRule="exact"/>
        <w:rPr>
          <w:rFonts w:ascii="Times New Roman" w:cs="Times New Roman" w:eastAsia="Times New Roman" w:hAnsi="Times New Roman"/>
          <w:sz w:val="17"/>
          <w:szCs w:val="17"/>
          <w:color w:val="auto"/>
        </w:rPr>
      </w:pPr>
    </w:p>
    <w:p>
      <w:pPr>
        <w:ind w:left="940" w:right="40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113" w:lineRule="exact"/>
        <w:rPr>
          <w:rFonts w:ascii="Times New Roman" w:cs="Times New Roman" w:eastAsia="Times New Roman" w:hAnsi="Times New Roman"/>
          <w:sz w:val="17"/>
          <w:szCs w:val="17"/>
          <w:color w:val="auto"/>
        </w:rPr>
      </w:pPr>
    </w:p>
    <w:p>
      <w:pPr>
        <w:ind w:left="940" w:right="3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may require that we or our investigators suspend or terminate clinical trials for various reasons, including noncompliance with regulatory requirements;</w:t>
      </w:r>
    </w:p>
    <w:p>
      <w:pPr>
        <w:spacing w:after="0" w:line="48"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drug candidates may produce negative or inconclusive results, and we may decide, or regulators may require us, to conduct additional clinical trials or abandon product development programs;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drug candidates may be greater than we anticipate;</w:t>
      </w:r>
    </w:p>
    <w:p>
      <w:pPr>
        <w:spacing w:after="0" w:line="101" w:lineRule="exact"/>
        <w:rPr>
          <w:rFonts w:ascii="Times New Roman" w:cs="Times New Roman" w:eastAsia="Times New Roman" w:hAnsi="Times New Roman"/>
          <w:sz w:val="17"/>
          <w:szCs w:val="17"/>
          <w:color w:val="auto"/>
        </w:rPr>
      </w:pPr>
    </w:p>
    <w:p>
      <w:pPr>
        <w:ind w:left="940" w:right="5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revise the requirements for approving our drug candidates, or such requirements may not be as we anticipate;</w:t>
      </w:r>
    </w:p>
    <w:p>
      <w:pPr>
        <w:spacing w:after="0" w:line="101" w:lineRule="exact"/>
        <w:rPr>
          <w:rFonts w:ascii="Times New Roman" w:cs="Times New Roman" w:eastAsia="Times New Roman" w:hAnsi="Times New Roman"/>
          <w:sz w:val="17"/>
          <w:szCs w:val="17"/>
          <w:color w:val="auto"/>
        </w:rPr>
      </w:pPr>
    </w:p>
    <w:p>
      <w:pPr>
        <w:ind w:left="940" w:right="5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80" w:hanging="318"/>
        <w:spacing w:after="0" w:line="271"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2" w:lineRule="exact"/>
        <w:rPr>
          <w:sz w:val="20"/>
          <w:szCs w:val="20"/>
          <w:color w:val="auto"/>
        </w:rPr>
      </w:pPr>
    </w:p>
    <w:p>
      <w:pPr>
        <w:jc w:val="both"/>
        <w:ind w:right="20" w:firstLine="619"/>
        <w:spacing w:after="0" w:line="262"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56" w:lineRule="exact"/>
        <w:rPr>
          <w:sz w:val="20"/>
          <w:szCs w:val="20"/>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 or changes in the way the product is administered; or</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product removed from the market after obtaining marketing approval.</w:t>
      </w:r>
    </w:p>
    <w:p>
      <w:pPr>
        <w:spacing w:after="0" w:line="101"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2"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NX-5948,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6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8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17"/>
          <w:szCs w:val="17"/>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6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NX-5948, NX-2127 and NX-1607. We cannot predict how difficult it will be to enroll patients for these trials. Therefore, our ability to identify and enroll eligible patients for our NX-5948,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2" w:lineRule="exact"/>
        <w:rPr>
          <w:sz w:val="20"/>
          <w:szCs w:val="20"/>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 and process for identifying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efficacy of approved medications for the disease under investigation;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criteria for the trial in question;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drug candidates under study;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attitudes and practices with respect to clinical trial enrollment;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on patients due to inconvenient procedures;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101" w:lineRule="exact"/>
        <w:rPr>
          <w:sz w:val="20"/>
          <w:szCs w:val="20"/>
          <w:color w:val="auto"/>
        </w:rPr>
      </w:pPr>
    </w:p>
    <w:p>
      <w:pPr>
        <w:jc w:val="both"/>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53"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manufacture of drugs is complex, and we and our third-party manufacturers are early in our manufacturing efforts.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We actively engaged in discussions with FDA as part of our efforts to lift the partial clinical hold, and in March 2024, the FDA lifted the partial clinical hold. There can be no assurance that we can address any issues resulting in any future partial or full clinical hold in a timely manner or at all, and we may incur additional expenses in connection with our efforts to address a partial or full clinical hold or advance our clinical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or discover additional potential drug candidates.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62" w:lineRule="exact"/>
        <w:rPr>
          <w:sz w:val="20"/>
          <w:szCs w:val="20"/>
          <w:color w:val="auto"/>
        </w:rPr>
      </w:pPr>
    </w:p>
    <w:p>
      <w:pPr>
        <w:ind w:left="5840" w:right="3820" w:hanging="5218"/>
        <w:spacing w:after="0" w:line="983"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methodology used may not be successful in identifying potential drug candidates;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318"/>
        <w:spacing w:after="0" w:line="271"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not be effective in treating their targeted diseases.</w:t>
      </w:r>
    </w:p>
    <w:p>
      <w:pPr>
        <w:spacing w:after="0" w:line="10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expand the breadth of our DELigase platform.</w:t>
      </w:r>
    </w:p>
    <w:p>
      <w:pPr>
        <w:spacing w:after="0" w:line="120"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69"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are aware of a number of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certain large pharmaceutical companies have disclosed investments in this field, including AbbVie Inc., Amgen Inc., AstraZeneca plc, Bayer AG, Bristol-Myers Squibb Company, Genentech, Inc., GlaxoSmithKline plc and Novartis International AG. Furthermore, we are aware of multiple other BTK degrader programs in clinical development, including programs from AbbVie Inc., Accutar Biotechnology, Inc., BeiGene, Ltd, Haisco Pharmaceutical Group Co., Ltd. and Ubix Therapeutics, Inc.</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7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43"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Dependence on Third Parties</w:t>
      </w:r>
    </w:p>
    <w:p>
      <w:pPr>
        <w:spacing w:after="0" w:line="112"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6"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Collaborations involving our research programs or any drug candidates we may develop, including our collaborations with Gilead, Sanofi and Pfizer, pose risks to us, including:</w:t>
      </w:r>
    </w:p>
    <w:p>
      <w:pPr>
        <w:spacing w:after="0" w:line="48" w:lineRule="exact"/>
        <w:rPr>
          <w:sz w:val="20"/>
          <w:szCs w:val="20"/>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collaborations with us.</w:t>
      </w:r>
    </w:p>
    <w:p>
      <w:pPr>
        <w:spacing w:after="0" w:line="113" w:lineRule="exact"/>
        <w:rPr>
          <w:rFonts w:ascii="Times New Roman" w:cs="Times New Roman" w:eastAsia="Times New Roman" w:hAnsi="Times New Roman"/>
          <w:sz w:val="17"/>
          <w:szCs w:val="17"/>
          <w:color w:val="auto"/>
        </w:rPr>
      </w:pPr>
    </w:p>
    <w:p>
      <w:pPr>
        <w:ind w:left="940" w:right="34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75" w:lineRule="exact"/>
        <w:rPr>
          <w:rFonts w:ascii="Times New Roman" w:cs="Times New Roman" w:eastAsia="Times New Roman" w:hAnsi="Times New Roman"/>
          <w:sz w:val="17"/>
          <w:szCs w:val="17"/>
          <w:color w:val="auto"/>
        </w:rPr>
      </w:pPr>
    </w:p>
    <w:p>
      <w:pPr>
        <w:jc w:val="both"/>
        <w:ind w:left="940" w:right="32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7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48" w:lineRule="exact"/>
        <w:rPr>
          <w:rFonts w:ascii="Times New Roman" w:cs="Times New Roman" w:eastAsia="Times New Roman" w:hAnsi="Times New Roman"/>
          <w:sz w:val="17"/>
          <w:szCs w:val="17"/>
          <w:color w:val="auto"/>
        </w:rPr>
      </w:pPr>
    </w:p>
    <w:p>
      <w:pPr>
        <w:ind w:left="940" w:right="140" w:hanging="318"/>
        <w:spacing w:after="0" w:line="262"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55"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products may not commit sufficient resources to the marketing and distribution of such product or products.</w:t>
      </w:r>
    </w:p>
    <w:p>
      <w:pPr>
        <w:spacing w:after="0" w:line="35" w:lineRule="exact"/>
        <w:rPr>
          <w:rFonts w:ascii="Times New Roman" w:cs="Times New Roman" w:eastAsia="Times New Roman" w:hAnsi="Times New Roman"/>
          <w:sz w:val="17"/>
          <w:szCs w:val="17"/>
          <w:color w:val="auto"/>
        </w:rPr>
      </w:pPr>
    </w:p>
    <w:p>
      <w:pPr>
        <w:ind w:left="940" w:right="260" w:hanging="318"/>
        <w:spacing w:after="0" w:line="249"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1"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8" w:lineRule="exact"/>
        <w:rPr>
          <w:rFonts w:ascii="Times New Roman" w:cs="Times New Roman" w:eastAsia="Times New Roman" w:hAnsi="Times New Roman"/>
          <w:sz w:val="17"/>
          <w:szCs w:val="17"/>
          <w:color w:val="auto"/>
        </w:rPr>
      </w:pPr>
    </w:p>
    <w:p>
      <w:pPr>
        <w:ind w:left="940" w:right="16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35" w:lineRule="exact"/>
        <w:rPr>
          <w:rFonts w:ascii="Times New Roman" w:cs="Times New Roman" w:eastAsia="Times New Roman" w:hAnsi="Times New Roman"/>
          <w:sz w:val="17"/>
          <w:szCs w:val="17"/>
          <w:color w:val="auto"/>
        </w:rPr>
      </w:pPr>
    </w:p>
    <w:p>
      <w:pPr>
        <w:ind w:left="940" w:right="6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40" w:hanging="318"/>
        <w:spacing w:after="0" w:line="26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w:t>
      </w:r>
    </w:p>
    <w:p>
      <w:pPr>
        <w:spacing w:after="0" w:line="6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272" w:lineRule="exact"/>
        <w:rPr>
          <w:sz w:val="20"/>
          <w:szCs w:val="20"/>
          <w:color w:val="auto"/>
        </w:rPr>
      </w:pPr>
    </w:p>
    <w:p>
      <w:pPr>
        <w:jc w:val="both"/>
        <w:ind w:right="180" w:firstLine="619"/>
        <w:spacing w:after="0" w:line="26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and those third parties may not perform satisfactorily, including failing to meet deadlines for completing such trials.</w:t>
      </w:r>
    </w:p>
    <w:p>
      <w:pPr>
        <w:spacing w:after="0" w:line="43" w:lineRule="exact"/>
        <w:rPr>
          <w:sz w:val="20"/>
          <w:szCs w:val="20"/>
          <w:color w:val="auto"/>
        </w:rPr>
      </w:pPr>
    </w:p>
    <w:p>
      <w:pPr>
        <w:jc w:val="both"/>
        <w:ind w:right="220" w:firstLine="619"/>
        <w:spacing w:after="0" w:line="262" w:lineRule="auto"/>
        <w:rPr>
          <w:sz w:val="20"/>
          <w:szCs w:val="20"/>
          <w:color w:val="auto"/>
        </w:rPr>
      </w:pPr>
      <w:r>
        <w:rPr>
          <w:rFonts w:ascii="Times New Roman" w:cs="Times New Roman" w:eastAsia="Times New Roman" w:hAnsi="Times New Roman"/>
          <w:sz w:val="17"/>
          <w:szCs w:val="17"/>
          <w:color w:val="auto"/>
        </w:rPr>
        <w:t>We rely on third-party contract research organizations (CROs) to conduct our Phase 1 clinical trial programs for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82"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4"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62"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may be unable to establish agreements with CMOs or to do so on acceptable terms. Even if we are able to establish agreements with CMOs, reliance on them entails additional risks, including:</w:t>
      </w:r>
    </w:p>
    <w:p>
      <w:pPr>
        <w:spacing w:after="0" w:line="61" w:lineRule="exact"/>
        <w:rPr>
          <w:sz w:val="20"/>
          <w:szCs w:val="20"/>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CMO for regulatory, compliance and quality assurance;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the manufacturing agreement by the CMO;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misappropriation of our proprietary information, including our trade secrets and know-how;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agreement by the CMO at a time that is costly or inconvenient for us.</w:t>
      </w:r>
    </w:p>
    <w:p>
      <w:pPr>
        <w:spacing w:after="0" w:line="10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2" w:lineRule="exact"/>
        <w:rPr>
          <w:sz w:val="20"/>
          <w:szCs w:val="20"/>
          <w:color w:val="auto"/>
        </w:rPr>
      </w:pPr>
    </w:p>
    <w:p>
      <w:pPr>
        <w:ind w:right="160" w:firstLine="619"/>
        <w:spacing w:after="0" w:line="253" w:lineRule="auto"/>
        <w:rPr>
          <w:sz w:val="20"/>
          <w:szCs w:val="20"/>
          <w:color w:val="auto"/>
        </w:rPr>
      </w:pPr>
      <w:r>
        <w:rPr>
          <w:rFonts w:ascii="Times New Roman" w:cs="Times New Roman" w:eastAsia="Times New Roman" w:hAnsi="Times New Roman"/>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87"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76"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69"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3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obtain certain chemical or biological intermediates in the synthesis of our drug candidates and natural health products (NHPs) for toxicology testing in countries affected by macroeconomic events and conditions, including inflation, increasing interest rates,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66"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Commercialization of Our Drug Candidates</w:t>
      </w:r>
    </w:p>
    <w:p>
      <w:pPr>
        <w:spacing w:after="0" w:line="11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43" w:lineRule="exact"/>
        <w:rPr>
          <w:sz w:val="20"/>
          <w:szCs w:val="20"/>
          <w:color w:val="auto"/>
        </w:rPr>
      </w:pPr>
    </w:p>
    <w:p>
      <w:pPr>
        <w:ind w:right="260" w:firstLine="619"/>
        <w:spacing w:after="0" w:line="249" w:lineRule="auto"/>
        <w:rPr>
          <w:sz w:val="20"/>
          <w:szCs w:val="20"/>
          <w:color w:val="auto"/>
        </w:rPr>
      </w:pPr>
      <w:r>
        <w:rPr>
          <w:rFonts w:ascii="Times New Roman" w:cs="Times New Roman" w:eastAsia="Times New Roman" w:hAnsi="Times New Roman"/>
          <w:sz w:val="17"/>
          <w:szCs w:val="17"/>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82" w:lineRule="exact"/>
        <w:rPr>
          <w:sz w:val="20"/>
          <w:szCs w:val="20"/>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in particular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ease of administration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our marketing, sales and distribution support;</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payor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a positive HTA recommendation for the product to be prescribed and reimbursed under the national health system;</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marketing approval in relation to other product approvals;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products together with other medications.</w:t>
      </w:r>
    </w:p>
    <w:p>
      <w:pPr>
        <w:spacing w:after="0" w:line="198"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we may not be successful in commercializing our drug candidates if and when they are approved.</w:t>
      </w:r>
    </w:p>
    <w:p>
      <w:pPr>
        <w:spacing w:after="0" w:line="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56"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products on our own include:</w:t>
      </w:r>
    </w:p>
    <w:p>
      <w:pPr>
        <w:spacing w:after="0" w:line="101" w:lineRule="exact"/>
        <w:rPr>
          <w:sz w:val="20"/>
          <w:szCs w:val="20"/>
          <w:color w:val="auto"/>
        </w:rPr>
      </w:pPr>
    </w:p>
    <w:p>
      <w:pPr>
        <w:ind w:left="940" w:right="240" w:hanging="318"/>
        <w:spacing w:after="0" w:line="28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train and retain adequate numbers of effective sales, marketing, reimbursement, customer service, medical affairs and other support personnel;</w:t>
      </w:r>
    </w:p>
    <w:p>
      <w:pPr>
        <w:spacing w:after="0" w:line="35" w:lineRule="exact"/>
        <w:rPr>
          <w:rFonts w:ascii="Times New Roman" w:cs="Times New Roman" w:eastAsia="Times New Roman" w:hAnsi="Times New Roman"/>
          <w:sz w:val="17"/>
          <w:szCs w:val="17"/>
          <w:color w:val="auto"/>
        </w:rPr>
      </w:pPr>
    </w:p>
    <w:p>
      <w:pPr>
        <w:ind w:left="940" w:right="380" w:hanging="318"/>
        <w:spacing w:after="0" w:line="271"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w:t>
      </w:r>
    </w:p>
    <w:p>
      <w:pPr>
        <w:spacing w:after="0" w:line="10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43"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7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7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to limit commercialization of any products that we may develop.</w:t>
      </w:r>
    </w:p>
    <w:p>
      <w:pPr>
        <w:spacing w:after="0" w:line="120" w:lineRule="exact"/>
        <w:rPr>
          <w:sz w:val="20"/>
          <w:szCs w:val="20"/>
          <w:color w:val="auto"/>
        </w:rPr>
      </w:pPr>
    </w:p>
    <w:p>
      <w:pPr>
        <w:jc w:val="both"/>
        <w:ind w:right="280" w:firstLine="619"/>
        <w:spacing w:after="0" w:line="262"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6" w:lineRule="exact"/>
        <w:rPr>
          <w:sz w:val="20"/>
          <w:szCs w:val="20"/>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drug candidates or products that we may develop;</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marketing approval, recall, restriction on the approval or a “black box” warning or contraindication for an approved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resources of our management to pursue our business strategy;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products that we may develop.</w:t>
      </w:r>
    </w:p>
    <w:p>
      <w:pPr>
        <w:spacing w:after="0" w:line="114"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4"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274"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82"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7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200" w:lineRule="exact"/>
        <w:rPr>
          <w:sz w:val="20"/>
          <w:szCs w:val="20"/>
          <w:color w:val="auto"/>
        </w:rPr>
      </w:pPr>
    </w:p>
    <w:p>
      <w:pPr>
        <w:spacing w:after="0" w:line="36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72"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17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43"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69"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7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such licenses may not be available or may not be available on commercially reasonable terms and we may not be successful in obtaining or maintaining necessary rights to our drug candidates through acquisitions and in-licenses.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69"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6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7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7"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82"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17"/>
          <w:szCs w:val="17"/>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200" w:lineRule="exact"/>
        <w:rPr>
          <w:sz w:val="20"/>
          <w:szCs w:val="20"/>
          <w:color w:val="auto"/>
        </w:rPr>
      </w:pPr>
    </w:p>
    <w:p>
      <w:pPr>
        <w:spacing w:after="0" w:line="3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2"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17"/>
          <w:szCs w:val="17"/>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82"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69"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67"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6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 xml:space="preserve">We may choose to challenge the enforceability or validity of claims in a third party’s U.S. patent by requesting that the USPTO review the patent claims in an ex-parte re-exam,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7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4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pursue or guarantee protection of our intellectual property rights in jurisdictions outside the United States.</w:t>
      </w:r>
    </w:p>
    <w:p>
      <w:pPr>
        <w:spacing w:after="0" w:line="12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6" w:lineRule="exact"/>
        <w:rPr>
          <w:sz w:val="20"/>
          <w:szCs w:val="20"/>
          <w:color w:val="auto"/>
        </w:rPr>
      </w:pPr>
    </w:p>
    <w:p>
      <w:pPr>
        <w:ind w:right="100" w:firstLine="619"/>
        <w:spacing w:after="0" w:line="250"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6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4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claims challenging the inventorship or ownership of our patents and other intellectual property.</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2"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2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6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87"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20"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1" w:lineRule="exact"/>
        <w:rPr>
          <w:sz w:val="20"/>
          <w:szCs w:val="20"/>
          <w:color w:val="auto"/>
        </w:rPr>
      </w:pPr>
    </w:p>
    <w:p>
      <w:pPr>
        <w:ind w:left="940" w:right="60" w:hanging="318"/>
        <w:spacing w:after="0" w:line="254"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75" w:lineRule="exact"/>
        <w:rPr>
          <w:rFonts w:ascii="Times New Roman" w:cs="Times New Roman" w:eastAsia="Times New Roman" w:hAnsi="Times New Roman"/>
          <w:sz w:val="17"/>
          <w:szCs w:val="17"/>
          <w:color w:val="auto"/>
        </w:rPr>
      </w:pPr>
    </w:p>
    <w:p>
      <w:pPr>
        <w:ind w:left="940" w:right="28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candidates utilizing issued patents and other intellectual property that we hold may prove to be ineffective for their intended treatment or we may not obtain regulatory approval for such drug candidates;</w:t>
      </w:r>
    </w:p>
    <w:p>
      <w:pPr>
        <w:spacing w:after="0" w:line="48" w:lineRule="exact"/>
        <w:rPr>
          <w:rFonts w:ascii="Times New Roman" w:cs="Times New Roman" w:eastAsia="Times New Roman" w:hAnsi="Times New Roman"/>
          <w:sz w:val="17"/>
          <w:szCs w:val="17"/>
          <w:color w:val="auto"/>
        </w:rPr>
      </w:pPr>
    </w:p>
    <w:p>
      <w:pPr>
        <w:ind w:left="940" w:right="32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35" w:lineRule="exact"/>
        <w:rPr>
          <w:rFonts w:ascii="Times New Roman" w:cs="Times New Roman" w:eastAsia="Times New Roman" w:hAnsi="Times New Roman"/>
          <w:sz w:val="17"/>
          <w:szCs w:val="17"/>
          <w:color w:val="auto"/>
        </w:rPr>
      </w:pPr>
    </w:p>
    <w:p>
      <w:pPr>
        <w:ind w:left="940" w:right="16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file patent applications covering certain of our or their inventions;</w:t>
      </w:r>
    </w:p>
    <w:p>
      <w:pPr>
        <w:spacing w:after="0" w:line="61"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owned patent applications or those that we may own or license in the future will not lead to issued patents;</w:t>
      </w:r>
    </w:p>
    <w:p>
      <w:pPr>
        <w:spacing w:after="0" w:line="113" w:lineRule="exact"/>
        <w:rPr>
          <w:rFonts w:ascii="Times New Roman" w:cs="Times New Roman" w:eastAsia="Times New Roman" w:hAnsi="Times New Roman"/>
          <w:sz w:val="17"/>
          <w:szCs w:val="17"/>
          <w:color w:val="auto"/>
        </w:rPr>
      </w:pPr>
    </w:p>
    <w:p>
      <w:pPr>
        <w:ind w:left="940" w:right="24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48" w:lineRule="exact"/>
        <w:rPr>
          <w:rFonts w:ascii="Times New Roman" w:cs="Times New Roman" w:eastAsia="Times New Roman" w:hAnsi="Times New Roman"/>
          <w:sz w:val="17"/>
          <w:szCs w:val="17"/>
          <w:color w:val="auto"/>
        </w:rPr>
      </w:pPr>
    </w:p>
    <w:p>
      <w:pPr>
        <w:ind w:left="940" w:right="22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any current patents or patent issuing based on patent applications that we own may not provide protection against competitors or any competitive advantages or may be challenged by third parties;</w:t>
      </w:r>
    </w:p>
    <w:p>
      <w:pPr>
        <w:spacing w:after="0" w:line="35"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may hold rights to in the future may be held invalid or unenforceable, including as a result of legal challenges by our competitors;</w:t>
      </w:r>
    </w:p>
    <w:p>
      <w:pPr>
        <w:spacing w:after="0" w:line="61" w:lineRule="exact"/>
        <w:rPr>
          <w:rFonts w:ascii="Times New Roman" w:cs="Times New Roman" w:eastAsia="Times New Roman" w:hAnsi="Times New Roman"/>
          <w:sz w:val="17"/>
          <w:szCs w:val="17"/>
          <w:color w:val="auto"/>
        </w:rPr>
      </w:pPr>
    </w:p>
    <w:p>
      <w:pPr>
        <w:ind w:left="940" w:right="36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13"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48" w:lineRule="exact"/>
        <w:rPr>
          <w:rFonts w:ascii="Times New Roman" w:cs="Times New Roman" w:eastAsia="Times New Roman" w:hAnsi="Times New Roman"/>
          <w:sz w:val="17"/>
          <w:szCs w:val="17"/>
          <w:color w:val="auto"/>
        </w:rPr>
      </w:pPr>
    </w:p>
    <w:p>
      <w:pPr>
        <w:ind w:left="940" w:right="80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35" w:lineRule="exact"/>
        <w:rPr>
          <w:rFonts w:ascii="Times New Roman" w:cs="Times New Roman" w:eastAsia="Times New Roman" w:hAnsi="Times New Roman"/>
          <w:sz w:val="17"/>
          <w:szCs w:val="17"/>
          <w:color w:val="auto"/>
        </w:rPr>
      </w:pPr>
    </w:p>
    <w:p>
      <w:pPr>
        <w:ind w:left="940" w:right="26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initiate litigation or administrative proceedings to enforce and/or defend our patent rights which will be costly whether we win or lose;</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enforce and/or defend our patent rights, a court may not hold that our patents are valid, enforceable and infringed;</w:t>
      </w:r>
    </w:p>
    <w:p>
      <w:pPr>
        <w:spacing w:after="0" w:line="101"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application in order to maintain certain trade secrets or know-how, and a third party may subsequently file a patent application covering such intellectual property;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adequately protect and police our trademarks and trade secrets; and</w:t>
      </w:r>
    </w:p>
    <w:p>
      <w:pPr>
        <w:spacing w:after="0" w:line="10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including if others obtain patents claiming subject matter similar to or improving subject matter that is covered by our patent applications.</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 and Marketing of Our Drug Candidates</w:t>
      </w:r>
    </w:p>
    <w:p>
      <w:pPr>
        <w:spacing w:after="0" w:line="112"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43"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drug candidates could be delayed or fail to receive marketing approval for many reasons, including the following:</w:t>
      </w:r>
    </w:p>
    <w:p>
      <w:pPr>
        <w:spacing w:after="0" w:line="101" w:lineRule="exact"/>
        <w:rPr>
          <w:sz w:val="20"/>
          <w:szCs w:val="20"/>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our interpretation of data from preclinical studies or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the design or implementation of our planned clinical trials;</w:t>
      </w:r>
    </w:p>
    <w:p>
      <w:pPr>
        <w:spacing w:after="0" w:line="113"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collected from clinical trials of our drug candidates may not be sufficient to support the submission of an NDA to the FDA or other submissions necessary to obtain marketing approval in the United States;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that a drug candidate is safe and effective for its proposed indication;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for approval;</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our drug candidates’ clinical and other benefits outweigh their safety risks;</w:t>
      </w:r>
    </w:p>
    <w:p>
      <w:pPr>
        <w:spacing w:after="0" w:line="101"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find deficiencies with or fail to approve the manufacturing processes or facilities of third-party manufacturers with which we contract for clinical and commercial supplies; and</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may significantly change in a manner rendering our clinical data insufficient for approval.</w:t>
      </w:r>
    </w:p>
    <w:p>
      <w:pPr>
        <w:spacing w:after="0" w:line="101"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75"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received Fast Track designation for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1"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In January 2024, the FDA granted Fast Track designation for NX-5948 in the United States for the treatment of adult patients with relapsed or refractory CLL or small lymphocytic lymphoma after at least two lines of therapy, including a BTK inhibitory and a B-cell lymphoma 2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69"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Under FDA policies, a drug candidate is eligible for Priority Review, or review within a six-month time frame from the time a complete NDA is accepted for filing, if the drug candidate provides a significant improvement compared to marketed drugs in the treatment, diagnosis or prevention of a disease.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16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6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86"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Even if we receive approval for one or more of our drug candidates through the Accelerated Approval Program, we will be subject to rigorous</w:t>
      </w:r>
    </w:p>
    <w:p>
      <w:pPr>
        <w:spacing w:after="0" w:line="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2" w:lineRule="exact"/>
        <w:rPr>
          <w:sz w:val="20"/>
          <w:szCs w:val="20"/>
          <w:color w:val="auto"/>
        </w:rPr>
      </w:pPr>
    </w:p>
    <w:p>
      <w:pPr>
        <w:ind w:right="120" w:firstLine="619"/>
        <w:spacing w:after="0" w:line="253" w:lineRule="auto"/>
        <w:rPr>
          <w:sz w:val="20"/>
          <w:szCs w:val="20"/>
          <w:color w:val="auto"/>
        </w:rPr>
      </w:pPr>
      <w:r>
        <w:rPr>
          <w:rFonts w:ascii="Times New Roman" w:cs="Times New Roman" w:eastAsia="Times New Roman" w:hAnsi="Times New Roman"/>
          <w:sz w:val="17"/>
          <w:szCs w:val="17"/>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65" w:lineRule="exact"/>
        <w:rPr>
          <w:sz w:val="20"/>
          <w:szCs w:val="20"/>
          <w:color w:val="auto"/>
        </w:rPr>
      </w:pPr>
    </w:p>
    <w:p>
      <w:pPr>
        <w:ind w:right="180" w:firstLine="619"/>
        <w:spacing w:after="0" w:line="262" w:lineRule="auto"/>
        <w:rPr>
          <w:sz w:val="20"/>
          <w:szCs w:val="20"/>
          <w:color w:val="auto"/>
        </w:rPr>
      </w:pPr>
      <w:r>
        <w:rPr>
          <w:rFonts w:ascii="Times New Roman" w:cs="Times New Roman" w:eastAsia="Times New Roman" w:hAnsi="Times New Roman"/>
          <w:sz w:val="17"/>
          <w:szCs w:val="17"/>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53"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7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replace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43"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2"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69"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56"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172"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9" w:lineRule="exact"/>
        <w:rPr>
          <w:sz w:val="20"/>
          <w:szCs w:val="20"/>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their approval of the drug or seize the drug;</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recall the drug, change the way the drug is administered or conduct additional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restrictions may be imposed on the marketing of, or the manufacturing processes for, the particular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civil or criminal penalties;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540" w:hanging="318"/>
        <w:spacing w:after="0" w:line="271"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create a Medication Guide outlining the risks of the previously unidentified side effects for distribution to patients;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could be sued and held liable for harm caused to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drug may become less competitive in the marketplace;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of these events could have a material and adverse effect on our operations and business and could adversely impact our stock price.</w:t>
      </w:r>
    </w:p>
    <w:p>
      <w:pPr>
        <w:spacing w:after="0" w:line="101"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17"/>
          <w:szCs w:val="17"/>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86" w:lineRule="exact"/>
        <w:rPr>
          <w:sz w:val="20"/>
          <w:szCs w:val="20"/>
          <w:color w:val="auto"/>
        </w:rPr>
      </w:pPr>
    </w:p>
    <w:p>
      <w:pPr>
        <w:ind w:right="60" w:firstLine="619"/>
        <w:spacing w:after="0" w:line="271" w:lineRule="auto"/>
        <w:rPr>
          <w:sz w:val="20"/>
          <w:szCs w:val="20"/>
          <w:color w:val="auto"/>
        </w:rPr>
      </w:pPr>
      <w:r>
        <w:rPr>
          <w:rFonts w:ascii="Times New Roman" w:cs="Times New Roman" w:eastAsia="Times New Roman" w:hAnsi="Times New Roman"/>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48" w:lineRule="exact"/>
        <w:rPr>
          <w:sz w:val="20"/>
          <w:szCs w:val="20"/>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such products, manufacturers or manufacturing processes;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warnings on the labeling or marketing of a product;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distribution or use;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untitled letters;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products from the market;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relationships with any potential collaborators;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press coverage and damage to our reputation;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or</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patients using our products.</w:t>
      </w:r>
    </w:p>
    <w:p>
      <w:pPr>
        <w:spacing w:after="0" w:line="10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6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72"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81"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7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9"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86" w:lineRule="exact"/>
        <w:rPr>
          <w:sz w:val="20"/>
          <w:szCs w:val="20"/>
          <w:color w:val="auto"/>
        </w:rPr>
      </w:pPr>
    </w:p>
    <w:p>
      <w:pPr>
        <w:ind w:right="100" w:firstLine="619"/>
        <w:spacing w:after="0" w:line="271" w:lineRule="auto"/>
        <w:rPr>
          <w:sz w:val="20"/>
          <w:szCs w:val="20"/>
          <w:color w:val="auto"/>
        </w:rPr>
      </w:pPr>
      <w:r>
        <w:rPr>
          <w:rFonts w:ascii="Times New Roman" w:cs="Times New Roman" w:eastAsia="Times New Roman" w:hAnsi="Times New Roman"/>
          <w:sz w:val="17"/>
          <w:szCs w:val="17"/>
          <w:color w:val="auto"/>
        </w:rPr>
        <w:t>There are also three exceptions to the orphan market exclusivity principle. Marketing authorization may be granted to a similar medicinal product for the same orphan therapeutic indication if:</w:t>
      </w:r>
    </w:p>
    <w:p>
      <w:pPr>
        <w:spacing w:after="0" w:line="48" w:lineRule="exact"/>
        <w:rPr>
          <w:sz w:val="20"/>
          <w:szCs w:val="20"/>
          <w:color w:val="auto"/>
        </w:rPr>
      </w:pPr>
    </w:p>
    <w:p>
      <w:pPr>
        <w:ind w:left="940" w:right="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consents to a second orphan medicinal product application; or</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cannot supply sufficient quantities of orphan medicinal product.</w:t>
      </w:r>
    </w:p>
    <w:p>
      <w:pPr>
        <w:spacing w:after="0" w:line="114"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62" w:lineRule="exact"/>
        <w:rPr>
          <w:sz w:val="20"/>
          <w:szCs w:val="20"/>
          <w:color w:val="auto"/>
        </w:rPr>
      </w:pPr>
    </w:p>
    <w:p>
      <w:pPr>
        <w:ind w:right="400" w:firstLine="619"/>
        <w:spacing w:after="0" w:line="271" w:lineRule="auto"/>
        <w:rPr>
          <w:sz w:val="20"/>
          <w:szCs w:val="20"/>
          <w:color w:val="auto"/>
        </w:rPr>
      </w:pPr>
      <w:r>
        <w:rPr>
          <w:rFonts w:ascii="Times New Roman" w:cs="Times New Roman" w:eastAsia="Times New Roman" w:hAnsi="Times New Roman"/>
          <w:sz w:val="17"/>
          <w:szCs w:val="17"/>
          <w:color w:val="auto"/>
        </w:rPr>
        <w:t>The UK’s regulatory legal framework provides for similar periods of protection (namely regulatory data protection, marketing protection and market exclusivity).</w:t>
      </w:r>
    </w:p>
    <w:p>
      <w:pPr>
        <w:spacing w:after="0" w:line="61"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w:t>
      </w:r>
    </w:p>
    <w:p>
      <w:pPr>
        <w:spacing w:after="0" w:line="15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71"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59"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5"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 Additionally, the European Commission’s new proposed legislation, if implemented, will also affect the current EU legal framework of pediatric medicines.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1" w:lineRule="exact"/>
        <w:rPr>
          <w:sz w:val="20"/>
          <w:szCs w:val="20"/>
          <w:color w:val="auto"/>
        </w:rPr>
      </w:pPr>
    </w:p>
    <w:p>
      <w:pPr>
        <w:ind w:right="100" w:firstLine="619"/>
        <w:spacing w:after="0" w:line="262" w:lineRule="auto"/>
        <w:rPr>
          <w:sz w:val="20"/>
          <w:szCs w:val="20"/>
          <w:color w:val="auto"/>
        </w:rPr>
      </w:pPr>
      <w:r>
        <w:rPr>
          <w:rFonts w:ascii="Times New Roman" w:cs="Times New Roman" w:eastAsia="Times New Roman" w:hAnsi="Times New Roman"/>
          <w:sz w:val="17"/>
          <w:szCs w:val="17"/>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Applicable U.S. federal and state and non-U.S. healthcare laws and regulations include the following:</w:t>
      </w:r>
    </w:p>
    <w:p>
      <w:pPr>
        <w:spacing w:after="0" w:line="101" w:lineRule="exact"/>
        <w:rPr>
          <w:sz w:val="20"/>
          <w:szCs w:val="20"/>
          <w:color w:val="auto"/>
        </w:rPr>
      </w:pPr>
    </w:p>
    <w:p>
      <w:pPr>
        <w:ind w:left="940" w:right="200" w:hanging="318"/>
        <w:spacing w:after="0" w:line="250"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67" w:lineRule="exact"/>
        <w:rPr>
          <w:rFonts w:ascii="Times New Roman" w:cs="Times New Roman" w:eastAsia="Times New Roman" w:hAnsi="Times New Roman"/>
          <w:sz w:val="17"/>
          <w:szCs w:val="17"/>
          <w:color w:val="auto"/>
        </w:rPr>
      </w:pPr>
    </w:p>
    <w:p>
      <w:pPr>
        <w:ind w:left="940" w:right="120" w:hanging="318"/>
        <w:spacing w:after="0" w:line="248"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1" w:lineRule="exact"/>
        <w:rPr>
          <w:rFonts w:ascii="Times New Roman" w:cs="Times New Roman" w:eastAsia="Times New Roman" w:hAnsi="Times New Roman"/>
          <w:sz w:val="17"/>
          <w:szCs w:val="17"/>
          <w:color w:val="auto"/>
        </w:rPr>
      </w:pPr>
    </w:p>
    <w:p>
      <w:pPr>
        <w:ind w:left="940" w:right="100" w:hanging="318"/>
        <w:spacing w:after="0" w:line="249"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8" w:lineRule="exact"/>
        <w:rPr>
          <w:rFonts w:ascii="Times New Roman" w:cs="Times New Roman" w:eastAsia="Times New Roman" w:hAnsi="Times New Roman"/>
          <w:sz w:val="17"/>
          <w:szCs w:val="17"/>
          <w:color w:val="auto"/>
        </w:rPr>
      </w:pPr>
    </w:p>
    <w:p>
      <w:pPr>
        <w:ind w:left="940" w:hanging="318"/>
        <w:spacing w:after="0" w:line="254"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4"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48"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55" w:lineRule="exact"/>
        <w:rPr>
          <w:rFonts w:ascii="Times New Roman" w:cs="Times New Roman" w:eastAsia="Times New Roman" w:hAnsi="Times New Roman"/>
          <w:sz w:val="17"/>
          <w:szCs w:val="17"/>
          <w:color w:val="auto"/>
        </w:rPr>
      </w:pPr>
    </w:p>
    <w:p>
      <w:pPr>
        <w:ind w:left="940" w:right="20" w:hanging="318"/>
        <w:spacing w:after="0" w:line="249"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300" w:hanging="318"/>
        <w:spacing w:after="0" w:line="262"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55" w:lineRule="exact"/>
        <w:rPr>
          <w:rFonts w:ascii="Times New Roman" w:cs="Times New Roman" w:eastAsia="Times New Roman" w:hAnsi="Times New Roman"/>
          <w:sz w:val="17"/>
          <w:szCs w:val="17"/>
          <w:color w:val="auto"/>
        </w:rPr>
      </w:pPr>
    </w:p>
    <w:p>
      <w:pPr>
        <w:ind w:left="940" w:right="62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pharmaceutical companies to comply with the pharmaceutical industry’s voluntary compliance guidelines and relevant compliance guidance promulgated by the federal government;</w:t>
      </w:r>
    </w:p>
    <w:p>
      <w:pPr>
        <w:spacing w:after="0" w:line="61" w:lineRule="exact"/>
        <w:rPr>
          <w:rFonts w:ascii="Times New Roman" w:cs="Times New Roman" w:eastAsia="Times New Roman" w:hAnsi="Times New Roman"/>
          <w:sz w:val="17"/>
          <w:szCs w:val="17"/>
          <w:color w:val="auto"/>
        </w:rPr>
      </w:pPr>
    </w:p>
    <w:p>
      <w:pPr>
        <w:ind w:left="940" w:right="26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drug manufacturers to report information related to payments and other transfers of value to physicians and other healthcare providers or marketing expenditures;</w:t>
      </w:r>
    </w:p>
    <w:p>
      <w:pPr>
        <w:spacing w:after="0" w:line="48"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74" w:lineRule="exact"/>
        <w:rPr>
          <w:rFonts w:ascii="Times New Roman" w:cs="Times New Roman" w:eastAsia="Times New Roman" w:hAnsi="Times New Roman"/>
          <w:sz w:val="17"/>
          <w:szCs w:val="17"/>
          <w:color w:val="auto"/>
        </w:rPr>
      </w:pPr>
    </w:p>
    <w:p>
      <w:pPr>
        <w:ind w:left="940" w:right="36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48"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85"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69"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6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43"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43" w:lineRule="exact"/>
        <w:rPr>
          <w:sz w:val="20"/>
          <w:szCs w:val="20"/>
          <w:color w:val="auto"/>
        </w:rPr>
      </w:pPr>
    </w:p>
    <w:p>
      <w:pPr>
        <w:ind w:right="200" w:firstLine="619"/>
        <w:spacing w:after="0" w:line="249"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8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6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CMS has recently taken steps to implement the IRA, including:</w:t>
      </w:r>
    </w:p>
    <w:p>
      <w:pPr>
        <w:spacing w:after="0" w:line="81" w:lineRule="exact"/>
        <w:rPr>
          <w:sz w:val="20"/>
          <w:szCs w:val="20"/>
          <w:color w:val="auto"/>
        </w:rPr>
      </w:pPr>
    </w:p>
    <w:p>
      <w:pPr>
        <w:ind w:left="940" w:right="160" w:hanging="318"/>
        <w:spacing w:after="0" w:line="271"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30, 2023, issuing guidance detailing the requirements and parameters of the first round of price negotiations, to take place during 2023 and 2024, for products subject to the “maximum fair price” provision that would become effective in 2026;</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29, 2023, releasing the initial list of 10 drugs subject to price negotiations;</w:t>
      </w:r>
    </w:p>
    <w:p>
      <w:pPr>
        <w:spacing w:after="0" w:line="113"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7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17, 2023, releasing guidance outlining the methodology for identifying certain manufacturers eligible to participate in a phase-in period where discounts on applicable products will be lower than those required by the Medicare Part D Manufacturer Discount Program; and</w:t>
      </w:r>
    </w:p>
    <w:p>
      <w:pPr>
        <w:spacing w:after="0" w:line="48" w:lineRule="exact"/>
        <w:rPr>
          <w:rFonts w:ascii="Times New Roman" w:cs="Times New Roman" w:eastAsia="Times New Roman" w:hAnsi="Times New Roman"/>
          <w:sz w:val="17"/>
          <w:szCs w:val="17"/>
          <w:color w:val="auto"/>
        </w:rPr>
      </w:pPr>
    </w:p>
    <w:p>
      <w:pPr>
        <w:jc w:val="both"/>
        <w:ind w:left="940" w:right="20" w:hanging="318"/>
        <w:spacing w:after="0" w:line="262"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14, 2023, releasing a list of 48 Medicare Part B products that had adjusted coinsurance rates based on the inflationary rebate provisions of the IRA for the time period of January 1, 2024 to March 31, 2024 as well as issuing revised guidance for manufacturers in the Medicare Part B and D drug discount programs.</w:t>
      </w:r>
    </w:p>
    <w:p>
      <w:pPr>
        <w:spacing w:after="0" w:line="56"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It is unclear how future regulatory actions to implement the IRA, as well as the outcome of pending litigation against the IRA, may affect our products and future profitability.</w:t>
      </w:r>
    </w:p>
    <w:p>
      <w:pPr>
        <w:spacing w:after="0" w:line="35"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On October 14, 2022, President Biden issued an Executive Order on Lowering Prescription Drug Costs for Americans, which instructed the Secretary of the Department of Health and Human Services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72" w:lineRule="exact"/>
        <w:rPr>
          <w:sz w:val="20"/>
          <w:szCs w:val="20"/>
          <w:color w:val="auto"/>
        </w:rPr>
      </w:pPr>
    </w:p>
    <w:p>
      <w:pPr>
        <w:ind w:right="40" w:firstLine="619"/>
        <w:spacing w:after="0" w:line="271" w:lineRule="auto"/>
        <w:rPr>
          <w:sz w:val="20"/>
          <w:szCs w:val="20"/>
          <w:color w:val="auto"/>
        </w:rPr>
      </w:pPr>
      <w:r>
        <w:rPr>
          <w:rFonts w:ascii="Times New Roman" w:cs="Times New Roman" w:eastAsia="Times New Roman" w:hAnsi="Times New Roman"/>
          <w:sz w:val="17"/>
          <w:szCs w:val="17"/>
          <w:color w:val="auto"/>
        </w:rPr>
        <w:t>We cannot be sure what impact, if any, the foregoing changes will have on the profitability of any of our drug candidates, if approved for commercial use, in the future.</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69"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of the United States tend to impose strict price controls, which may adversely affect our revenues from the sales of drugs, if any.</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Employees, Managing our Growth and Other Legal Matters</w:t>
      </w:r>
    </w:p>
    <w:p>
      <w:pPr>
        <w:spacing w:after="0" w:line="11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4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69"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5"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62" w:lineRule="auto"/>
        <w:rPr>
          <w:sz w:val="20"/>
          <w:szCs w:val="20"/>
          <w:color w:val="auto"/>
        </w:rPr>
      </w:pPr>
      <w:r>
        <w:rPr>
          <w:rFonts w:ascii="Times New Roman" w:cs="Times New Roman" w:eastAsia="Times New Roman" w:hAnsi="Times New Roman"/>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our organization, and we may experience difficulties in managing this growth, which could disrupt our operations.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6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43"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1" w:lineRule="exact"/>
        <w:rPr>
          <w:sz w:val="20"/>
          <w:szCs w:val="20"/>
          <w:color w:val="auto"/>
        </w:rPr>
      </w:pPr>
    </w:p>
    <w:p>
      <w:pPr>
        <w:ind w:left="940" w:right="400" w:hanging="318"/>
        <w:spacing w:after="0" w:line="271"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 reckless or negligent conduct or disclosure to us of unauthorized activities that violate the regulations of the FDA or similar foreign regulatory authorities;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fraud and abuse in violation of U.S. and foreign laws and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violations of U.S. federal securities laws relating to trading in our common stock;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to report financial information or data accurately.</w:t>
      </w:r>
    </w:p>
    <w:p>
      <w:pPr>
        <w:spacing w:after="0" w:line="101"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64"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17"/>
          <w:szCs w:val="17"/>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86"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6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also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277"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17"/>
          <w:szCs w:val="17"/>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6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64" w:lineRule="exact"/>
        <w:rPr>
          <w:sz w:val="20"/>
          <w:szCs w:val="20"/>
          <w:color w:val="auto"/>
        </w:rPr>
      </w:pPr>
    </w:p>
    <w:p>
      <w:pPr>
        <w:ind w:right="200" w:firstLine="619"/>
        <w:spacing w:after="0" w:line="246" w:lineRule="auto"/>
        <w:rPr>
          <w:sz w:val="20"/>
          <w:szCs w:val="20"/>
          <w:color w:val="auto"/>
        </w:rPr>
      </w:pPr>
      <w:r>
        <w:rPr>
          <w:rFonts w:ascii="Times New Roman" w:cs="Times New Roman" w:eastAsia="Times New Roman" w:hAnsi="Times New Roman"/>
          <w:sz w:val="17"/>
          <w:szCs w:val="17"/>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states have shown an increased interest in protecting the privacy of health data. Washington state passed the My Health My Data Act, which will take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will take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Personal data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as amended,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newly created state agency from the CPRA legislation that is charged with creating new rules and enforcing the CCPA, and the California Attorney General, who also still maintains some CCPA enforcement powers. Notably, following California’s lead, several other states enacted privacy laws that took effect in 2023: the Colorado Privacy Act, the Connecticut Personal Data Privacy and Online Monitoring Act, the Utah Consumer Privacy Act, and the Virginia Consumer Data Protection Act. Additional state privacy laws are set to take effect in 2024: the Florida Digital Bill of Rights (July 1, 2024), Montana’s Consumer Data Privacy Act (October 1, 2024), Oregon’s protections for the personal data of consumer enacted through SB 619 (July 1, 2024), and the Texas Data Privacy and Security Act (July 1, 2024). Compliance with this new privacy legislation adds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the EU, the EU GDPR governs the collection, use, disclosure, transfer, or other processing of personal data. The UK has implemented the EU GDPR as the UK GDPR which sits alongside the UK Data Protection Act 2018 (the UK GDPR, and together with the EU GDPR, the GDPR). The GDPR imposes compliance obligations on controllers, including (among others) mandating burdensome documentation requirements, granting certain privacy rights to individuals to control how companies collect, use, disclose, retain and otherwise process information about them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supervisory authorities of notifiable personal data breaches without undue delay (and no later than 72 hours) after becoming aware of the personal data breach, and the requirement for more detailed notices for clinical trial subjects and investigators. In addition, the EU GDPR prohibits the international transfer of personal data from clinical trial sites and other third parties (e.g., CROs) located in the EEA to jurisdictions that the European Commission does not recognize as having ‘adequate’ data protection laws, unless a data transfer mechanism has been put in place or a derogation under the EU GDPR can be relied upon. After years of uncertainty following the July 16, 2020 decision of the Court of Justice of the European Union invalidating the EU-U.S. Privacy Shield Framework for purposes of international transfers and imposing further restrictions on the use of standard contractual clauses (EU SCCs), including a requirement for companies to carry out a transfer privacy impact assessment (TIA),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82"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65"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The UK GDPR also imposes similar restrictions on transfers of personal data from the UK to jurisdictions that the UK Government does not consider adequate, including the U.S.. The UK’s Information Commissioner’s Office (ICO) published: (i) its own form of EU SCCs, known as the International Data Transfer Agreement to replace the old Standard Contractual Clauses for transfers to outside the UK; (ii) a “UK addendum” to the new EU SCCs which amends the relevant provisions of such clauses to work in a UK context; and (iii) its own version of the TIA and guidance on international transfers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the DPF.</w:t>
      </w:r>
    </w:p>
    <w:p>
      <w:pPr>
        <w:spacing w:after="0" w:line="8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There is a risk that we could be impacted by a cybersecurity incident that results in loss or unauthorized disclosure of personal data, potentially resulting in us facing harms similar to those described above.</w:t>
      </w:r>
    </w:p>
    <w:p>
      <w:pPr>
        <w:spacing w:after="0" w:line="69"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4" w:lineRule="exact"/>
        <w:rPr>
          <w:sz w:val="20"/>
          <w:szCs w:val="20"/>
          <w:color w:val="auto"/>
        </w:rPr>
      </w:pPr>
    </w:p>
    <w:p>
      <w:pPr>
        <w:ind w:right="500" w:firstLine="619"/>
        <w:spacing w:after="0" w:line="262" w:lineRule="auto"/>
        <w:rPr>
          <w:sz w:val="20"/>
          <w:szCs w:val="20"/>
          <w:color w:val="auto"/>
        </w:rPr>
      </w:pPr>
      <w:r>
        <w:rPr>
          <w:rFonts w:ascii="Times New Roman" w:cs="Times New Roman" w:eastAsia="Times New Roman" w:hAnsi="Times New Roman"/>
          <w:sz w:val="17"/>
          <w:szCs w:val="17"/>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federal income tax reform and changes in other tax laws could adversely affect us.</w:t>
      </w:r>
    </w:p>
    <w:p>
      <w:pPr>
        <w:spacing w:after="0" w:line="120"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17"/>
          <w:szCs w:val="17"/>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65"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6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may be subject to limitations.</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have incurred substantial losses during our history, do not expect to become profitable in the near future and may never achieve profitability. As of November 30, 2023, we had federal and state net operating loss (NOL) carryforwards of approximately $269.3 million and $410.9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or post-change income tax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tax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6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acquisitions, joint ventures, spin outs or strategic alliances or transactions could disrupt our business and harm our financial condition and results of operations.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67" w:lineRule="exact"/>
        <w:rPr>
          <w:sz w:val="20"/>
          <w:szCs w:val="20"/>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addressing acquisition integration challenges;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research and development efforts;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from the acquired company;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strategic partners as a result of product acquisitions or strategic positioning resulting from the acquisition;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w:t>
      </w:r>
    </w:p>
    <w:p>
      <w:pPr>
        <w:spacing w:after="0" w:line="10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or improve controls, procedures and policies at a business that prior to the acquisition may have lacked sufficiently effective controls, procedures and policies;</w:t>
      </w:r>
    </w:p>
    <w:p>
      <w:pPr>
        <w:spacing w:after="0" w:line="6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write-offs or charges; and</w:t>
      </w:r>
    </w:p>
    <w:p>
      <w:pPr>
        <w:spacing w:after="0" w:line="113"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 connection with the acquired company, including claims from terminated employees, customers, former stockholders or other third parties.</w:t>
      </w:r>
    </w:p>
    <w:p>
      <w:pPr>
        <w:spacing w:after="0" w:line="48"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1"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9"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9"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71"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stock price and results of operations.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increasing interest rates and inflation, uncertainty with respect to the federal budget and debt ceiling and potential government shutdowns related thereto, as well as the possibility of a recession or further economic downturn. Moreover, there have been recent concerns with respect to the stability of the global banking system. For example, on March 10, 2023, Silicon Valley Bank (SVB), which was one of our banking partners, was closed by the California Department of Financial Protection and Innovation, which appointed the Federal Deposit Insurance Corporation (FDIC) as receiver. Similarly, on March 12, 2023, Silvergate Capital Corp. and Signature Bank were each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7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4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3"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We expect our results of operations to be subject to quarterly fluctuations. Our net loss and other results of operations will be affected by numerous factors, including:</w:t>
      </w:r>
    </w:p>
    <w:p>
      <w:pPr>
        <w:spacing w:after="0" w:line="61" w:lineRule="exact"/>
        <w:rPr>
          <w:sz w:val="20"/>
          <w:szCs w:val="20"/>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the level of expense related to the ongoing development of our drug candidates, DELigase platform, or future development programs;</w:t>
      </w:r>
    </w:p>
    <w:p>
      <w:pPr>
        <w:spacing w:after="0" w:line="101" w:lineRule="exact"/>
        <w:rPr>
          <w:rFonts w:ascii="Times New Roman" w:cs="Times New Roman" w:eastAsia="Times New Roman" w:hAnsi="Times New Roman"/>
          <w:sz w:val="17"/>
          <w:szCs w:val="17"/>
          <w:color w:val="auto"/>
        </w:rPr>
      </w:pPr>
    </w:p>
    <w:p>
      <w:pPr>
        <w:ind w:left="940" w:right="56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or the addition or termination of clinical trials or funding support by us or by existing or future collaborators or licensing partners;</w:t>
      </w:r>
    </w:p>
    <w:p>
      <w:pPr>
        <w:spacing w:after="0" w:line="61" w:lineRule="exact"/>
        <w:rPr>
          <w:rFonts w:ascii="Times New Roman" w:cs="Times New Roman" w:eastAsia="Times New Roman" w:hAnsi="Times New Roman"/>
          <w:sz w:val="17"/>
          <w:szCs w:val="17"/>
          <w:color w:val="auto"/>
        </w:rPr>
      </w:pPr>
    </w:p>
    <w:p>
      <w:pPr>
        <w:ind w:left="940" w:right="10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infringement lawsuit or opposition, interference or cancellation proceeding in which we may become involved;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101"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joint ventures, strategic investments or changes in business strategy;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receives regulatory approval, the terms of such approval and market acceptance and demand for such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our drug candidates or those of our competitors; and</w:t>
      </w:r>
    </w:p>
    <w:p>
      <w:pPr>
        <w:spacing w:after="0" w:line="101" w:lineRule="exact"/>
        <w:rPr>
          <w:rFonts w:ascii="Times New Roman" w:cs="Times New Roman" w:eastAsia="Times New Roman" w:hAnsi="Times New Roman"/>
          <w:sz w:val="17"/>
          <w:szCs w:val="17"/>
          <w:color w:val="auto"/>
        </w:rPr>
      </w:pPr>
    </w:p>
    <w:p>
      <w:pPr>
        <w:ind w:left="940" w:right="100" w:hanging="318"/>
        <w:spacing w:after="0" w:line="262"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and economic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could lose all or part of your investment.</w:t>
      </w:r>
    </w:p>
    <w:p>
      <w:pPr>
        <w:spacing w:after="0" w:line="120" w:lineRule="exact"/>
        <w:rPr>
          <w:sz w:val="20"/>
          <w:szCs w:val="20"/>
          <w:color w:val="auto"/>
        </w:rPr>
      </w:pPr>
    </w:p>
    <w:p>
      <w:pPr>
        <w:jc w:val="both"/>
        <w:ind w:right="140" w:firstLine="619"/>
        <w:spacing w:after="0" w:line="262" w:lineRule="auto"/>
        <w:rPr>
          <w:sz w:val="20"/>
          <w:szCs w:val="20"/>
          <w:color w:val="auto"/>
        </w:rPr>
      </w:pPr>
      <w:r>
        <w:rPr>
          <w:rFonts w:ascii="Times New Roman" w:cs="Times New Roman" w:eastAsia="Times New Roman" w:hAnsi="Times New Roman"/>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56" w:lineRule="exact"/>
        <w:rPr>
          <w:sz w:val="20"/>
          <w:szCs w:val="20"/>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of our drug candidates, or those of our competitors or our existing or future collaborators;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 especially changes in laws or regulations applicable to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01" w:lineRule="exact"/>
        <w:rPr>
          <w:rFonts w:ascii="Times New Roman" w:cs="Times New Roman" w:eastAsia="Times New Roman" w:hAnsi="Times New Roman"/>
          <w:sz w:val="17"/>
          <w:szCs w:val="17"/>
          <w:color w:val="auto"/>
        </w:rPr>
      </w:pPr>
    </w:p>
    <w:p>
      <w:pPr>
        <w:ind w:left="940" w:right="420" w:hanging="318"/>
        <w:spacing w:after="0" w:line="287"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introductions and announcements of new products by us, our collaboration partners, or our competitors, and the timing of these introductions or announcements;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regulatory agencies with respect to our drug candidates, clinical trials, manufacturing process or sales and marketing terms;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financial results or in those of companies that are perceived to be similar to us;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efforts to acquire or in-license additional technologies, products or drug candidates;</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our current or future collaborations, including but not limited to those with our sources of manufacturing supply and our commercialization partners;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or capital commitments;</w:t>
      </w:r>
    </w:p>
    <w:p>
      <w:pPr>
        <w:spacing w:after="0" w:line="101" w:lineRule="exact"/>
        <w:rPr>
          <w:rFonts w:ascii="Times New Roman" w:cs="Times New Roman" w:eastAsia="Times New Roman" w:hAnsi="Times New Roman"/>
          <w:sz w:val="17"/>
          <w:szCs w:val="17"/>
          <w:color w:val="auto"/>
        </w:rPr>
      </w:pPr>
    </w:p>
    <w:p>
      <w:pPr>
        <w:ind w:left="940" w:right="740" w:hanging="318"/>
        <w:spacing w:after="0" w:line="287"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 including patents, litigation matters and our ability to obtain patent protection for our drug candidates and products;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or inability to raise additional capital and the terms on which any additional capital is raised;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earnings estimates or changes in stock market analyst recommendations regarding our common stock, other comparable companies or our industry generally;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or the failure of our competitors to meet analysts’ projections or guidance that we or our competitors may provide to the market;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and expectation of additional financing efforts;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concentrated ownership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events;</w:t>
      </w:r>
    </w:p>
    <w:p>
      <w:pPr>
        <w:spacing w:after="0" w:line="113"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acts, acts of war or periods of widespread civil unrest, including the increasingly volatile global economic conditions resulting from regional conflicts around the world;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public health crises, pandemics and epidemics;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other calamities; and</w:t>
      </w:r>
    </w:p>
    <w:p>
      <w:pPr>
        <w:spacing w:after="0" w:line="101" w:lineRule="exact"/>
        <w:rPr>
          <w:rFonts w:ascii="Times New Roman" w:cs="Times New Roman" w:eastAsia="Times New Roman" w:hAnsi="Times New Roman"/>
          <w:sz w:val="17"/>
          <w:szCs w:val="17"/>
          <w:color w:val="auto"/>
        </w:rPr>
      </w:pPr>
    </w:p>
    <w:p>
      <w:pPr>
        <w:ind w:left="940" w:right="120" w:hanging="318"/>
        <w:spacing w:after="0" w:line="262"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sale of a substantial number of shares of our common stock may cause the price of our common stock to decline.</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220" w:firstLine="619"/>
        <w:spacing w:after="0" w:line="248"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82"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future sale and issuance of equity or of debt securities that are convertible into equity will dilute our share capital.</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February 29, 2024,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81"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As of February 29, 2024, we have issued pre-funded warrants to purchase a total of 6,814,920 shares of our common stock, of which 6,097,560 were outstanding as of February 29, 2024.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our pre-funded warrants.</w:t>
      </w:r>
    </w:p>
    <w:p>
      <w:pPr>
        <w:spacing w:after="0" w:line="120"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6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3"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56" w:lineRule="exact"/>
        <w:rPr>
          <w:sz w:val="20"/>
          <w:szCs w:val="20"/>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so that not all members of our board are elected at one time;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only our board of directors to establish the number of directors and fill vacancies on our board;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be removed only “for cause” and only with the approval of two-thirds of our stockholders;</w:t>
      </w:r>
    </w:p>
    <w:p>
      <w:pPr>
        <w:spacing w:after="0" w:line="101"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our stockholders to call special meetings of stockholders;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 and</w:t>
      </w:r>
    </w:p>
    <w:p>
      <w:pPr>
        <w:spacing w:after="0" w:line="101" w:lineRule="exact"/>
        <w:rPr>
          <w:rFonts w:ascii="Times New Roman" w:cs="Times New Roman" w:eastAsia="Times New Roman" w:hAnsi="Times New Roman"/>
          <w:sz w:val="17"/>
          <w:szCs w:val="17"/>
          <w:color w:val="auto"/>
        </w:rPr>
      </w:pPr>
    </w:p>
    <w:p>
      <w:pPr>
        <w:ind w:left="940" w:right="28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Section 203 of the Delaware General Corporation Law (DGCL) may discourage, delay or prevent a change in control of our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203 imposes certain restrictions on mergers, business combinations and other transactions between us and holders of 15% or more of our common stock.</w:t>
      </w:r>
    </w:p>
    <w:p>
      <w:pPr>
        <w:spacing w:after="0" w:line="18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43"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71"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3"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For example, in 2023 the SEC adopted rules requiring disclosure of material cybersecurity incidents suffered by public companies, as well as annual disclosure regarding cybersecurity governance and risk management.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28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The reporting on our assessment of the effectiveness of our internal control over financial reporting needs to include disclosure of any material</w:t>
      </w:r>
    </w:p>
    <w:p>
      <w:pPr>
        <w:spacing w:after="0" w:line="2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weaknesses identified in our internal control over financial reporting. Moreover,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84"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7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6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the reduced disclosure requirements applicable to smaller reporting companies may make our common stock less attractive to investors.</w:t>
      </w:r>
    </w:p>
    <w:p>
      <w:pPr>
        <w:spacing w:after="0" w:line="4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We became a “smaller reporting company” as of May 31, 2022. We will continue to be a smaller reporting company so long as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43"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0"/>
          </w:cols>
          <w:pgMar w:left="320" w:top="123" w:right="6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Registered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Issuers and Affiliated Purchasers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information with respect to recent repurchases of shares of our common stock:</w:t>
      </w:r>
    </w:p>
    <w:p>
      <w:pPr>
        <w:spacing w:after="0" w:line="123" w:lineRule="exact"/>
        <w:rPr>
          <w:sz w:val="20"/>
          <w:szCs w:val="20"/>
          <w:color w:val="auto"/>
        </w:rPr>
      </w:pPr>
    </w:p>
    <w:tbl>
      <w:tblPr>
        <w:tblLayout w:type="fixed"/>
        <w:tblInd w:w="30" w:type="dxa"/>
        <w:tblCellMar>
          <w:top w:w="0" w:type="dxa"/>
          <w:left w:w="0" w:type="dxa"/>
          <w:bottom w:w="0" w:type="dxa"/>
          <w:right w:w="0" w:type="dxa"/>
        </w:tblCellMar>
      </w:tblPr>
      <w:tr>
        <w:trPr>
          <w:trHeight w:val="203"/>
        </w:trPr>
        <w:tc>
          <w:tcPr>
            <w:tcW w:w="7580" w:type="dxa"/>
            <w:vAlign w:val="bottom"/>
            <w:tcBorders>
              <w:top w:val="single" w:sz="8" w:color="auto"/>
              <w:left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r>
      <w:tr>
        <w:trPr>
          <w:trHeight w:val="235"/>
        </w:trPr>
        <w:tc>
          <w:tcPr>
            <w:tcW w:w="7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20" w:type="dxa"/>
            <w:vAlign w:val="bottom"/>
            <w:tcBorders>
              <w:bottom w:val="single" w:sz="8" w:color="auto"/>
              <w:right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Share</w:t>
            </w:r>
          </w:p>
        </w:tc>
      </w:tr>
      <w:tr>
        <w:trPr>
          <w:trHeight w:val="225"/>
        </w:trPr>
        <w:tc>
          <w:tcPr>
            <w:tcW w:w="7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1, 2023 – December 31, 2023</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58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25"/>
        </w:trPr>
        <w:tc>
          <w:tcPr>
            <w:tcW w:w="7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January 1, 2024 – January 31, 2024</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58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25"/>
        </w:trPr>
        <w:tc>
          <w:tcPr>
            <w:tcW w:w="7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February 1, 2024 – February 29, 2024</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9.57</w:t>
            </w:r>
          </w:p>
        </w:tc>
      </w:tr>
      <w:tr>
        <w:trPr>
          <w:trHeight w:val="25"/>
        </w:trPr>
        <w:tc>
          <w:tcPr>
            <w:tcW w:w="758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bl>
    <w:p>
      <w:pPr>
        <w:spacing w:after="0" w:line="125" w:lineRule="exact"/>
        <w:rPr>
          <w:sz w:val="20"/>
          <w:szCs w:val="20"/>
          <w:color w:val="auto"/>
        </w:rPr>
      </w:pPr>
    </w:p>
    <w:p>
      <w:pPr>
        <w:ind w:right="120" w:firstLine="3"/>
        <w:spacing w:after="0" w:line="287" w:lineRule="auto"/>
        <w:tabs>
          <w:tab w:leader="none" w:pos="24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repurchased, as reflected in the column above, were repurchases of unvested shares of our common stock that had been issued upon the early exercise of stock options. Upon termination of employment of a person holding unvested shares, we are entitled to repurchase the unvested shares.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 Director and Section 16 Officer Rule 10b5-1 Trading Arrangements</w:t>
      </w:r>
    </w:p>
    <w:p>
      <w:pPr>
        <w:spacing w:after="0" w:line="11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On February 29, 2024, Christine Ring, Ph.D., J.D., Chief Legal Officer and Chief Compliance Officer of the Company, entered into a prearranged written stock sale plan (Rule 10b5-1 Plan) in accordance with Rule 10b5-1 under the Securities Exchange Act of 1934, as amended (Exchange Act). The Rule 10b5-1 Plan was entered into during an open trading window in accordance with the Company’s policies regarding transactions in the Company’s securities and is intended to satisfy the affirmative defense conditions of Rule 10b5-1(c) under the Exchange Act. The Rule 10b5-1 Plan provides for the potential sale of an aggregate of up to 111,060 shares of the Company’s common stock issuable upon the exercise of option awards granted to Dr. Ring under the Company’s 2012 Equity Incentive Plan and 2020 Equity Incentive Plan, so long as the market price of the Company’s common stock is higher than certain minimum threshold prices specified in the Rule 10b5-1 Plan. A portion of the shares are expected to be sold in the market to cover the exercise price and taxes associated with the exercise of the options. The remaining shares underlying the options will be sold in the open market at the times and prices specified in the Rule 10b5-1 Plan. The first potential sale date under the Rule 10b5-1 Plan is May 30, 2024. The Rule 10b5-1 Plan expires on February 15, 2025, or upon the earlier completion of all authorized transactions under such Rule 10b5-1 Plan.</w:t>
      </w:r>
    </w:p>
    <w:p>
      <w:pPr>
        <w:spacing w:after="0" w:line="72"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The Rule 10b5-1 Plan includes a representation from Ms. Ring to the broker administering the Rule 10b5-1 Plan that she was not in possession of any material nonpublic information regarding the Company or the securities subject to the Rule 10b5-1 Plan at the time it was entered into. A similar representation was made to the Company in connection with the adoption of the Rule 10b5-1 Plan under the Company’s policies regarding transactions in the Company’s securities. Those representations were made as of the date of adoption of the Rule 10b5-1 Plan, and speak only as of such date. In making those representations, there is no assurance with respect to any material nonpublic information of which the insider was unaware, or with respect to any material nonpublic information acquired by the insider or the Company after the date of the representation.</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No other director or Section 16 officer of the Company adopted or terminated a “Rule 10b5-1 trading arrangement” or “non-Rule 10b5-1 trading arrangement,” as each term is defined in Item 408(a) of Regulation S-K, during the three months ended February 29, 2024.</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123"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 or Furnished</w:t>
            </w:r>
          </w:p>
        </w:tc>
        <w:tc>
          <w:tcPr>
            <w:tcW w:w="0" w:type="dxa"/>
            <w:vAlign w:val="bottom"/>
          </w:tcPr>
          <w:p>
            <w:pPr>
              <w:spacing w:after="0"/>
              <w:rPr>
                <w:sz w:val="1"/>
                <w:szCs w:val="1"/>
                <w:color w:val="auto"/>
              </w:rPr>
            </w:pPr>
          </w:p>
        </w:tc>
      </w:tr>
      <w:tr>
        <w:trPr>
          <w:trHeight w:val="162"/>
        </w:trPr>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40" w:type="dxa"/>
            <w:vAlign w:val="bottom"/>
            <w:gridSpan w:val="10"/>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5"/>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Sixth Amendment to Collaboration and License Agreement, dated</w:t>
            </w: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FF"/>
              </w:rPr>
              <w:t>March 6, 2024, by and between the Registrant and Genzyme</w:t>
            </w:r>
          </w:p>
        </w:tc>
        <w:tc>
          <w:tcPr>
            <w:tcW w:w="360" w:type="dxa"/>
            <w:vAlign w:val="bottom"/>
            <w:tcBorders>
              <w:top w:val="single" w:sz="8" w:color="0000FF"/>
            </w:tcBorders>
          </w:tcPr>
          <w:p>
            <w:pPr>
              <w:spacing w:after="0"/>
              <w:rPr>
                <w:sz w:val="15"/>
                <w:szCs w:val="15"/>
                <w:color w:val="auto"/>
              </w:rPr>
            </w:pPr>
          </w:p>
        </w:tc>
        <w:tc>
          <w:tcPr>
            <w:tcW w:w="42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0000FF"/>
            </w:tcBorders>
          </w:tcPr>
          <w:p>
            <w:pPr>
              <w:spacing w:after="0" w:line="174" w:lineRule="exact"/>
              <w:rPr>
                <w:sz w:val="20"/>
                <w:szCs w:val="20"/>
                <w:color w:val="auto"/>
              </w:rPr>
            </w:pPr>
            <w:r>
              <w:rPr>
                <w:rFonts w:ascii="Times New Roman" w:cs="Times New Roman" w:eastAsia="Times New Roman" w:hAnsi="Times New Roman"/>
                <w:sz w:val="16"/>
                <w:szCs w:val="16"/>
                <w:color w:val="0000FF"/>
              </w:rPr>
              <w:t>Corporation</w:t>
            </w:r>
          </w:p>
        </w:tc>
        <w:tc>
          <w:tcPr>
            <w:tcW w:w="3940" w:type="dxa"/>
            <w:vAlign w:val="bottom"/>
            <w:gridSpan w:val="10"/>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Second Amendment to Lease Agreement, dated March 25, 2024, by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6"/>
          </w:tcPr>
          <w:p>
            <w:pPr>
              <w:spacing w:after="0" w:line="174" w:lineRule="exact"/>
              <w:rPr>
                <w:sz w:val="20"/>
                <w:szCs w:val="20"/>
                <w:color w:val="auto"/>
              </w:rPr>
            </w:pPr>
            <w:r>
              <w:rPr>
                <w:rFonts w:ascii="Times New Roman" w:cs="Times New Roman" w:eastAsia="Times New Roman" w:hAnsi="Times New Roman"/>
                <w:sz w:val="16"/>
                <w:szCs w:val="16"/>
                <w:color w:val="0000FF"/>
              </w:rPr>
              <w:t>between ARE-San Francisco No. 19 Owner, LLC and the Registrant</w:t>
            </w:r>
          </w:p>
        </w:tc>
        <w:tc>
          <w:tcPr>
            <w:tcW w:w="2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00" w:type="dxa"/>
            <w:vAlign w:val="bottom"/>
            <w:tcBorders>
              <w:top w:val="single" w:sz="8" w:color="0000FF"/>
            </w:tcBorders>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8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1"/>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00" w:type="dxa"/>
            <w:vAlign w:val="bottom"/>
            <w:tcBorders>
              <w:top w:val="single" w:sz="8" w:color="0000FF"/>
            </w:tcBorders>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FF"/>
              </w:rPr>
              <w:t>Accounting Officer Pursuant to 18 U.S.C. Section 1350, as Adopted</w:t>
            </w:r>
          </w:p>
        </w:tc>
        <w:tc>
          <w:tcPr>
            <w:tcW w:w="200" w:type="dxa"/>
            <w:vAlign w:val="bottom"/>
            <w:tcBorders>
              <w:top w:val="single" w:sz="8" w:color="0000FF"/>
            </w:tcBorders>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FF"/>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860" w:type="dxa"/>
            <w:vAlign w:val="bottom"/>
            <w:gridSpan w:val="9"/>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 embedded</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78"/>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included in exhibit 101)</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3683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115" w:lineRule="exact"/>
        <w:rPr>
          <w:sz w:val="20"/>
          <w:szCs w:val="20"/>
          <w:color w:val="auto"/>
        </w:rPr>
      </w:pPr>
    </w:p>
    <w:p>
      <w:pPr>
        <w:ind w:left="1060" w:hanging="1040"/>
        <w:spacing w:after="0"/>
        <w:tabs>
          <w:tab w:leader="none" w:pos="10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Registrant has omitted portions of the exhibit as permitted under Item 601(b)(10) of Regulation S-K</w:t>
      </w:r>
    </w:p>
    <w:p>
      <w:pPr>
        <w:spacing w:after="0" w:line="113" w:lineRule="exact"/>
        <w:rPr>
          <w:sz w:val="20"/>
          <w:szCs w:val="20"/>
          <w:color w:val="auto"/>
        </w:rPr>
      </w:pPr>
    </w:p>
    <w:p>
      <w:pPr>
        <w:ind w:left="1060" w:right="260" w:hanging="1040"/>
        <w:spacing w:after="0" w:line="271" w:lineRule="auto"/>
        <w:tabs>
          <w:tab w:leader="none" w:pos="10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4" w:lineRule="exact"/>
        <w:rPr>
          <w:sz w:val="20"/>
          <w:szCs w:val="20"/>
          <w:color w:val="auto"/>
        </w:rPr>
      </w:pPr>
    </w:p>
    <w:p>
      <w:pPr>
        <w:ind w:left="640"/>
        <w:spacing w:after="0"/>
        <w:tabs>
          <w:tab w:leader="none" w:pos="5360" w:val="left"/>
          <w:tab w:leader="none" w:pos="7660" w:val="left"/>
        </w:tabs>
        <w:rPr>
          <w:sz w:val="20"/>
          <w:szCs w:val="20"/>
          <w:color w:val="auto"/>
        </w:rPr>
      </w:pPr>
      <w:r>
        <w:rPr>
          <w:rFonts w:ascii="Times New Roman" w:cs="Times New Roman" w:eastAsia="Times New Roman" w:hAnsi="Times New Roman"/>
          <w:sz w:val="17"/>
          <w:szCs w:val="17"/>
          <w:color w:val="auto"/>
        </w:rPr>
        <w:t>Date: April 10,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03" w:lineRule="exact"/>
        <w:rPr>
          <w:sz w:val="20"/>
          <w:szCs w:val="20"/>
          <w:color w:val="auto"/>
        </w:rPr>
      </w:pPr>
    </w:p>
    <w:p>
      <w:pPr>
        <w:ind w:left="640"/>
        <w:spacing w:after="0"/>
        <w:tabs>
          <w:tab w:leader="none" w:pos="5360" w:val="left"/>
          <w:tab w:leader="none" w:pos="7680" w:val="left"/>
        </w:tabs>
        <w:rPr>
          <w:sz w:val="20"/>
          <w:szCs w:val="20"/>
          <w:color w:val="auto"/>
        </w:rPr>
      </w:pPr>
      <w:r>
        <w:rPr>
          <w:rFonts w:ascii="Times New Roman" w:cs="Times New Roman" w:eastAsia="Times New Roman" w:hAnsi="Times New Roman"/>
          <w:sz w:val="17"/>
          <w:szCs w:val="17"/>
          <w:color w:val="auto"/>
        </w:rPr>
        <w:t>Date: April 10,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6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080"/>
          </w:cols>
          <w:pgMar w:left="320" w:top="123" w:right="4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SIXTH AMENDMENT TO COLLABORATION AND LICENSE AGREEMENT</w:t>
      </w:r>
    </w:p>
    <w:p>
      <w:pPr>
        <w:spacing w:after="0" w:line="20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This Sixth Amendment to Collaboration and License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entered into as of March 6, 2024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Date</w:t>
      </w:r>
      <w:r>
        <w:rPr>
          <w:rFonts w:ascii="Times New Roman" w:cs="Times New Roman" w:eastAsia="Times New Roman" w:hAnsi="Times New Roman"/>
          <w:sz w:val="20"/>
          <w:szCs w:val="20"/>
          <w:color w:val="auto"/>
        </w:rPr>
        <w:t>”) by and between Genzyme Corporation, a Massachusetts corporation (“</w:t>
      </w:r>
      <w:r>
        <w:rPr>
          <w:rFonts w:ascii="Times New Roman" w:cs="Times New Roman" w:eastAsia="Times New Roman" w:hAnsi="Times New Roman"/>
          <w:sz w:val="20"/>
          <w:szCs w:val="20"/>
          <w:b w:val="1"/>
          <w:bCs w:val="1"/>
          <w:color w:val="auto"/>
        </w:rPr>
        <w:t>Sanofi</w:t>
      </w:r>
      <w:r>
        <w:rPr>
          <w:rFonts w:ascii="Times New Roman" w:cs="Times New Roman" w:eastAsia="Times New Roman" w:hAnsi="Times New Roman"/>
          <w:sz w:val="20"/>
          <w:szCs w:val="20"/>
          <w:color w:val="auto"/>
        </w:rPr>
        <w:t>”), and Nurix Therapeutics, Inc., a Delaware corporation (“</w:t>
      </w:r>
      <w:r>
        <w:rPr>
          <w:rFonts w:ascii="Times New Roman" w:cs="Times New Roman" w:eastAsia="Times New Roman" w:hAnsi="Times New Roman"/>
          <w:sz w:val="20"/>
          <w:szCs w:val="20"/>
          <w:b w:val="1"/>
          <w:bCs w:val="1"/>
          <w:color w:val="auto"/>
        </w:rPr>
        <w:t>Nurix</w:t>
      </w:r>
      <w:r>
        <w:rPr>
          <w:rFonts w:ascii="Times New Roman" w:cs="Times New Roman" w:eastAsia="Times New Roman" w:hAnsi="Times New Roman"/>
          <w:sz w:val="20"/>
          <w:szCs w:val="20"/>
          <w:color w:val="auto"/>
        </w:rPr>
        <w:t>”). Sanofi and Nurix are each referred to herein by name or,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8"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Parties entered into that certain Collaboration and License Agreement (as amended by the Amendments,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December 19, 2019, that certain First Amendment to Collaboration and License Agreement, dated January 6, 2021 (the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that certain Second Amendment to Collaboration and License Agreement, dated December 16, 2021 (the “</w:t>
      </w:r>
      <w:r>
        <w:rPr>
          <w:rFonts w:ascii="Times New Roman" w:cs="Times New Roman" w:eastAsia="Times New Roman" w:hAnsi="Times New Roman"/>
          <w:sz w:val="19"/>
          <w:szCs w:val="19"/>
          <w:b w:val="1"/>
          <w:bCs w:val="1"/>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that certain Third Amendment to Collaboration and License Agreement, dated July 7, 2022 (the “</w:t>
      </w:r>
      <w:r>
        <w:rPr>
          <w:rFonts w:ascii="Times New Roman" w:cs="Times New Roman" w:eastAsia="Times New Roman" w:hAnsi="Times New Roman"/>
          <w:sz w:val="19"/>
          <w:szCs w:val="19"/>
          <w:b w:val="1"/>
          <w:bCs w:val="1"/>
          <w:color w:val="auto"/>
        </w:rPr>
        <w:t>Third Amendment</w:t>
      </w:r>
      <w:r>
        <w:rPr>
          <w:rFonts w:ascii="Times New Roman" w:cs="Times New Roman" w:eastAsia="Times New Roman" w:hAnsi="Times New Roman"/>
          <w:sz w:val="19"/>
          <w:szCs w:val="19"/>
          <w:color w:val="auto"/>
        </w:rPr>
        <w:t>”),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certain Fourth Amendment to Collaboration and License Agreement, dated August 11, 2022 (the “</w:t>
      </w:r>
      <w:r>
        <w:rPr>
          <w:rFonts w:ascii="Times New Roman" w:cs="Times New Roman" w:eastAsia="Times New Roman" w:hAnsi="Times New Roman"/>
          <w:sz w:val="19"/>
          <w:szCs w:val="19"/>
          <w:b w:val="1"/>
          <w:bCs w:val="1"/>
          <w:color w:val="auto"/>
        </w:rPr>
        <w:t>Fourth Amendment</w:t>
      </w:r>
      <w:r>
        <w:rPr>
          <w:rFonts w:ascii="Times New Roman" w:cs="Times New Roman" w:eastAsia="Times New Roman" w:hAnsi="Times New Roman"/>
          <w:sz w:val="19"/>
          <w:szCs w:val="19"/>
          <w:color w:val="auto"/>
        </w:rPr>
        <w:t>”), and that certain Fifth Amendment to Collaboration and License Agreement, dated November 3, 2023 (the “</w:t>
      </w:r>
      <w:r>
        <w:rPr>
          <w:rFonts w:ascii="Times New Roman" w:cs="Times New Roman" w:eastAsia="Times New Roman" w:hAnsi="Times New Roman"/>
          <w:sz w:val="19"/>
          <w:szCs w:val="19"/>
          <w:b w:val="1"/>
          <w:bCs w:val="1"/>
          <w:color w:val="auto"/>
        </w:rPr>
        <w:t>Fifth Amendment</w:t>
      </w:r>
      <w:r>
        <w:rPr>
          <w:rFonts w:ascii="Times New Roman" w:cs="Times New Roman" w:eastAsia="Times New Roman" w:hAnsi="Times New Roman"/>
          <w:sz w:val="19"/>
          <w:szCs w:val="19"/>
          <w:color w:val="auto"/>
        </w:rPr>
        <w:t>” and, together with the First Amendment, the Second Amendment, the Third Amendment, and the Fourth Amendment, the “</w:t>
      </w: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 and</w:t>
      </w:r>
    </w:p>
    <w:p>
      <w:pPr>
        <w:spacing w:after="0" w:line="1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wish to amend the Agreement to extend the Collaboration Target Research Term (as defined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for the [*] Collaboration Target (as defined in the Agreement) STAT6 subject to the terms and conditions further described herein.</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premises and the mutual promises, covenants and conditions contained in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in accordance with Section 18.5 of the Agreement, the Parties agree as follows:</w:t>
      </w:r>
    </w:p>
    <w:p>
      <w:pPr>
        <w:spacing w:after="0" w:line="195" w:lineRule="exact"/>
        <w:rPr>
          <w:sz w:val="20"/>
          <w:szCs w:val="20"/>
          <w:color w:val="auto"/>
        </w:rPr>
      </w:pPr>
    </w:p>
    <w:p>
      <w:pPr>
        <w:ind w:firstLine="622"/>
        <w:spacing w:after="0" w:line="275" w:lineRule="auto"/>
        <w:tabs>
          <w:tab w:leader="none" w:pos="1237"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As used in this Amendment, capitalized terms, whether used in the singular or plural form, that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herein shall have the meanings ascribed to such terms in the Agreement.</w:t>
      </w:r>
    </w:p>
    <w:p>
      <w:pPr>
        <w:spacing w:after="0" w:line="156" w:lineRule="exact"/>
        <w:rPr>
          <w:rFonts w:ascii="Times New Roman" w:cs="Times New Roman" w:eastAsia="Times New Roman" w:hAnsi="Times New Roman"/>
          <w:sz w:val="19"/>
          <w:szCs w:val="19"/>
          <w:b w:val="1"/>
          <w:bCs w:val="1"/>
          <w:color w:val="auto"/>
        </w:rPr>
      </w:pPr>
    </w:p>
    <w:p>
      <w:pPr>
        <w:ind w:left="1240" w:hanging="618"/>
        <w:spacing w:after="0"/>
        <w:tabs>
          <w:tab w:leader="none" w:pos="124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Amendments.</w:t>
      </w:r>
    </w:p>
    <w:p>
      <w:pPr>
        <w:spacing w:after="0" w:line="212" w:lineRule="exact"/>
        <w:rPr>
          <w:rFonts w:ascii="Times New Roman" w:cs="Times New Roman" w:eastAsia="Times New Roman" w:hAnsi="Times New Roman"/>
          <w:sz w:val="19"/>
          <w:szCs w:val="19"/>
          <w:b w:val="1"/>
          <w:bCs w:val="1"/>
          <w:color w:val="auto"/>
        </w:rPr>
      </w:pPr>
    </w:p>
    <w:p>
      <w:pPr>
        <w:ind w:left="1840" w:hanging="599"/>
        <w:spacing w:after="0"/>
        <w:tabs>
          <w:tab w:leader="none" w:pos="1840" w:val="left"/>
        </w:tabs>
        <w:numPr>
          <w:ilvl w:val="1"/>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Section 1.44 of the Agreement is hereby deleted in its entirety and replaced with the following:</w:t>
      </w:r>
    </w:p>
    <w:p>
      <w:pPr>
        <w:spacing w:after="0" w:line="217" w:lineRule="exact"/>
        <w:rPr>
          <w:sz w:val="20"/>
          <w:szCs w:val="20"/>
          <w:color w:val="auto"/>
        </w:rPr>
      </w:pPr>
    </w:p>
    <w:p>
      <w:pPr>
        <w:jc w:val="both"/>
        <w:ind w:left="620" w:firstLine="619"/>
        <w:spacing w:after="0" w:line="265" w:lineRule="auto"/>
        <w:rPr>
          <w:sz w:val="20"/>
          <w:szCs w:val="20"/>
          <w:color w:val="auto"/>
        </w:rPr>
      </w:pPr>
      <w:r>
        <w:rPr>
          <w:rFonts w:ascii="Times New Roman" w:cs="Times New Roman" w:eastAsia="Times New Roman" w:hAnsi="Times New Roman"/>
          <w:sz w:val="20"/>
          <w:szCs w:val="20"/>
          <w:color w:val="auto"/>
        </w:rPr>
        <w:t>1.44 “</w:t>
      </w:r>
      <w:r>
        <w:rPr>
          <w:rFonts w:ascii="Times New Roman" w:cs="Times New Roman" w:eastAsia="Times New Roman" w:hAnsi="Times New Roman"/>
          <w:sz w:val="20"/>
          <w:szCs w:val="20"/>
          <w:b w:val="1"/>
          <w:bCs w:val="1"/>
          <w:color w:val="auto"/>
        </w:rPr>
        <w:t>Collaboration Target Research Term</w:t>
      </w:r>
      <w:r>
        <w:rPr>
          <w:rFonts w:ascii="Times New Roman" w:cs="Times New Roman" w:eastAsia="Times New Roman" w:hAnsi="Times New Roman"/>
          <w:sz w:val="20"/>
          <w:szCs w:val="20"/>
          <w:color w:val="auto"/>
        </w:rPr>
        <w:t>” means, on a Collaboration Target-by-Collaboration Target basis, the period of time beginning (a) with respect to Initial Collaboration Targets, the Effective Date, and (b) with respect to Available Targets or Reserved Targets that become Collaboration Targets in accordance with Section 2.2.2</w:t>
      </w:r>
    </w:p>
    <w:p>
      <w:pPr>
        <w:sectPr>
          <w:pgSz w:w="11900" w:h="16838" w:orient="portrait"/>
          <w:cols w:equalWidth="0" w:num="1">
            <w:col w:w="11240"/>
          </w:cols>
          <w:pgMar w:left="320" w:top="12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(Additional Collaboration Targets) or Section 2.2.3 (Collaboration Target Substitution Right), the date that such Available Targets or Reserved Targets become Collaboration Targets (as further described therein), and in each case (a) and (b), ending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each such period of time shall automatically expire upon the expiration of the Research Term unless otherwise mutually agreed in writing by the Parties.</w:t>
      </w:r>
    </w:p>
    <w:p>
      <w:pPr>
        <w:spacing w:after="0" w:line="192" w:lineRule="exact"/>
        <w:rPr>
          <w:sz w:val="20"/>
          <w:szCs w:val="20"/>
          <w:color w:val="auto"/>
        </w:rPr>
      </w:pPr>
    </w:p>
    <w:p>
      <w:pPr>
        <w:ind w:left="1240" w:hanging="619"/>
        <w:spacing w:after="0"/>
        <w:tabs>
          <w:tab w:leader="none" w:pos="124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Section 1.193 of the Agreement is hereby deleted in its entirety and replaced with the following:</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0"/>
          <w:szCs w:val="20"/>
          <w:color w:val="auto"/>
        </w:rPr>
        <w:t>1.193 “</w:t>
      </w:r>
      <w:r>
        <w:rPr>
          <w:rFonts w:ascii="Times New Roman" w:cs="Times New Roman" w:eastAsia="Times New Roman" w:hAnsi="Times New Roman"/>
          <w:sz w:val="20"/>
          <w:szCs w:val="20"/>
          <w:b w:val="1"/>
          <w:bCs w:val="1"/>
          <w:color w:val="auto"/>
        </w:rPr>
        <w:t>Research Term</w:t>
      </w:r>
      <w:r>
        <w:rPr>
          <w:rFonts w:ascii="Times New Roman" w:cs="Times New Roman" w:eastAsia="Times New Roman" w:hAnsi="Times New Roman"/>
          <w:sz w:val="20"/>
          <w:szCs w:val="20"/>
          <w:color w:val="auto"/>
        </w:rPr>
        <w:t>” means the period of time beginning on the Effective Date and ending [*] in accordance with Section 2.1.2 (Collaboration Target Research Term Extension), or (b) with respect to the [*] Collaboration Target STAT6 (for which the Collaboration Target Research Term is extended pursuant to Section 2.1.3 (STAT6 Research Term Extension)); the Research Term shall instead end upon [*].</w:t>
      </w:r>
    </w:p>
    <w:p>
      <w:pPr>
        <w:spacing w:after="0" w:line="398" w:lineRule="exact"/>
        <w:rPr>
          <w:sz w:val="20"/>
          <w:szCs w:val="20"/>
          <w:color w:val="auto"/>
        </w:rPr>
      </w:pPr>
    </w:p>
    <w:p>
      <w:pPr>
        <w:ind w:left="1240" w:hanging="619"/>
        <w:spacing w:after="0"/>
        <w:tabs>
          <w:tab w:leader="none" w:pos="124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new Section 2.1.3 is hereby added to the Agreement which shall provide as follows:</w:t>
      </w:r>
    </w:p>
    <w:p>
      <w:pPr>
        <w:spacing w:after="0" w:line="22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STAT6 Research Term Extension</w:t>
      </w:r>
      <w:r>
        <w:rPr>
          <w:rFonts w:ascii="Times New Roman" w:cs="Times New Roman" w:eastAsia="Times New Roman" w:hAnsi="Times New Roman"/>
          <w:sz w:val="20"/>
          <w:szCs w:val="20"/>
          <w:color w:val="auto"/>
        </w:rPr>
        <w:t>. Notwithstanding anything to the contrary in this Agreement, the Collaboration Target Research Term for the [*] Collaboration Target STAT6 shall extend after the expiration of its original Collaboration Target Research Term until [*] (the “</w:t>
      </w:r>
      <w:r>
        <w:rPr>
          <w:rFonts w:ascii="Times New Roman" w:cs="Times New Roman" w:eastAsia="Times New Roman" w:hAnsi="Times New Roman"/>
          <w:sz w:val="20"/>
          <w:szCs w:val="20"/>
          <w:b w:val="1"/>
          <w:bCs w:val="1"/>
          <w:color w:val="auto"/>
        </w:rPr>
        <w:t>STAT6 Research Term Extension</w:t>
      </w:r>
      <w:r>
        <w:rPr>
          <w:rFonts w:ascii="Times New Roman" w:cs="Times New Roman" w:eastAsia="Times New Roman" w:hAnsi="Times New Roman"/>
          <w:sz w:val="20"/>
          <w:szCs w:val="20"/>
          <w:color w:val="auto"/>
        </w:rPr>
        <w:t>”). Other than with respect to the payments described in: [*].</w:t>
      </w:r>
    </w:p>
    <w:p>
      <w:pPr>
        <w:spacing w:after="0" w:line="159" w:lineRule="exact"/>
        <w:rPr>
          <w:sz w:val="20"/>
          <w:szCs w:val="20"/>
          <w:color w:val="auto"/>
        </w:rPr>
      </w:pPr>
    </w:p>
    <w:p>
      <w:pPr>
        <w:ind w:left="1240" w:hanging="619"/>
        <w:spacing w:after="0"/>
        <w:tabs>
          <w:tab w:leader="none" w:pos="124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new Section 11.12 is hereby added to the Agreement, which shall provide as follows:</w:t>
      </w:r>
    </w:p>
    <w:p>
      <w:pPr>
        <w:spacing w:after="0" w:line="22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STAT6 Research Term Extension Milestone Payment</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1"/>
        <w:spacing w:after="0" w:line="266" w:lineRule="auto"/>
        <w:tabs>
          <w:tab w:leader="none" w:pos="113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during the period of the STAT6 Research Term Extension (as described in Section 2.1.3 (STAT6 Research Term Extension)) and before Sanofi exercises the License Term Extension for the [*] Collaboration Target STAT6 in accordance with Section 12.2 (Expiration; License Term Extension), Nurix delivers to Sanofi a complete Development Candidate Data Package [*] that is Directed To the [*] Collaboration Target STAT6 in accordance with the requirements described in Section 1.62 (Development Candidate Data Package) and the requirements described in Section 2.9.2 (Development Candidate Data Package) (the “</w:t>
      </w:r>
      <w:r>
        <w:rPr>
          <w:rFonts w:ascii="Times New Roman" w:cs="Times New Roman" w:eastAsia="Times New Roman" w:hAnsi="Times New Roman"/>
          <w:sz w:val="19"/>
          <w:szCs w:val="19"/>
          <w:b w:val="1"/>
          <w:bCs w:val="1"/>
          <w:color w:val="auto"/>
        </w:rPr>
        <w:t>STAT6</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b w:val="1"/>
          <w:bCs w:val="1"/>
          <w:color w:val="auto"/>
        </w:rPr>
        <w:t>DC Data Package</w:t>
      </w:r>
      <w:r>
        <w:rPr>
          <w:rFonts w:ascii="Times New Roman" w:cs="Times New Roman" w:eastAsia="Times New Roman" w:hAnsi="Times New Roman"/>
          <w:sz w:val="19"/>
          <w:szCs w:val="19"/>
          <w:color w:val="auto"/>
        </w:rPr>
        <w:t>”), Sanofi shall pay to Nurix, in accordance with Section 11.12(c) below, either: (i) [*]; or (ii) [*]. For clarity,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Sanofi shall only be required to make [*] pursuant to this Section 11.12(a), either pursuant to the foregoing (i) or (ii).</w:t>
      </w:r>
    </w:p>
    <w:p>
      <w:pPr>
        <w:spacing w:after="0" w:line="71" w:lineRule="exact"/>
        <w:rPr>
          <w:rFonts w:ascii="Times New Roman" w:cs="Times New Roman" w:eastAsia="Times New Roman" w:hAnsi="Times New Roman"/>
          <w:sz w:val="19"/>
          <w:szCs w:val="19"/>
          <w:color w:val="auto"/>
        </w:rPr>
      </w:pPr>
    </w:p>
    <w:p>
      <w:pPr>
        <w:jc w:val="both"/>
        <w:ind w:firstLine="621"/>
        <w:spacing w:after="0" w:line="252" w:lineRule="auto"/>
        <w:tabs>
          <w:tab w:leader="none" w:pos="10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STAT6 Research Term Extension, Sanofi exercises the License Term Extension for the [*] Collaboration Target STAT6 prior to Nurix delivering to Sanofi the STAT6 [*] DC Data Package, then, [*], Sanofi shall pay to Nurix, in accordance with Section 11.12(c) below, either: (i) [*]; or (ii) [*]. For clarity, other than the License Extension Fee for the [*] Collaboration Target STAT6, Sanofi shall only be required to make [*] pursuant to this Section 11.12(b), either pursuant to the foregoing (i) or (ii),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620"/>
          </w:cols>
          <w:pgMar w:left="940" w:top="12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20" w:firstLine="621"/>
        <w:spacing w:after="0" w:line="256" w:lineRule="auto"/>
        <w:tabs>
          <w:tab w:leader="none" w:pos="175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during the STAT6 Research Term Extension: (i) Nurix delivers to Sanofi the STAT6 [*] DC Data Package [*]; or (ii) [*]; then Nurix will [*], and Sanofi, subject to any good faith dispute as to whether the STAT6 [*] DC Data Package is incomplete or otherwise inconsistent with the requirements of Schedule 1.62, will [*].</w:t>
      </w:r>
    </w:p>
    <w:p>
      <w:pPr>
        <w:spacing w:after="0" w:line="185" w:lineRule="exact"/>
        <w:rPr>
          <w:sz w:val="20"/>
          <w:szCs w:val="20"/>
          <w:color w:val="auto"/>
        </w:rPr>
      </w:pPr>
    </w:p>
    <w:p>
      <w:pPr>
        <w:ind w:left="1860" w:hanging="619"/>
        <w:spacing w:after="0"/>
        <w:tabs>
          <w:tab w:leader="none" w:pos="1860"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A new Section 1.250 is hereby added to the Agreement which shall provide as follows:</w:t>
      </w:r>
    </w:p>
    <w:p>
      <w:pPr>
        <w:spacing w:after="0" w:line="210"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21"/>
          <w:szCs w:val="21"/>
          <w:color w:val="auto"/>
        </w:rPr>
        <w:t>1.250</w:t>
        <w:tab/>
        <w:t>“</w:t>
      </w:r>
      <w:r>
        <w:rPr>
          <w:rFonts w:ascii="Times New Roman" w:cs="Times New Roman" w:eastAsia="Times New Roman" w:hAnsi="Times New Roman"/>
          <w:sz w:val="19"/>
          <w:szCs w:val="19"/>
          <w:b w:val="1"/>
          <w:bCs w:val="1"/>
          <w:color w:val="auto"/>
        </w:rPr>
        <w:t>STAT6 [*] DC Data Package</w:t>
      </w:r>
      <w:r>
        <w:rPr>
          <w:rFonts w:ascii="Times New Roman" w:cs="Times New Roman" w:eastAsia="Times New Roman" w:hAnsi="Times New Roman"/>
          <w:sz w:val="19"/>
          <w:szCs w:val="19"/>
          <w:color w:val="auto"/>
        </w:rPr>
        <w:t>” is defined in Section 11.12 (STAT6 Research Term Extension Milestone Payment).</w:t>
      </w:r>
    </w:p>
    <w:p>
      <w:pPr>
        <w:spacing w:after="0" w:line="217" w:lineRule="exact"/>
        <w:rPr>
          <w:sz w:val="20"/>
          <w:szCs w:val="20"/>
          <w:color w:val="auto"/>
        </w:rPr>
      </w:pPr>
    </w:p>
    <w:p>
      <w:pPr>
        <w:ind w:left="1860" w:hanging="619"/>
        <w:spacing w:after="0"/>
        <w:tabs>
          <w:tab w:leader="none" w:pos="1860"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new Section 1.251 is hereby added to the Agreement which shall provide as follows:</w:t>
      </w:r>
    </w:p>
    <w:p>
      <w:pPr>
        <w:spacing w:after="0" w:line="204" w:lineRule="exact"/>
        <w:rPr>
          <w:sz w:val="20"/>
          <w:szCs w:val="20"/>
          <w:color w:val="auto"/>
        </w:rPr>
      </w:pPr>
    </w:p>
    <w:p>
      <w:pPr>
        <w:ind w:left="1240"/>
        <w:spacing w:after="0"/>
        <w:tabs>
          <w:tab w:leader="none" w:pos="1860" w:val="left"/>
        </w:tabs>
        <w:rPr>
          <w:sz w:val="20"/>
          <w:szCs w:val="20"/>
          <w:color w:val="auto"/>
        </w:rPr>
      </w:pPr>
      <w:r>
        <w:rPr>
          <w:rFonts w:ascii="Times New Roman" w:cs="Times New Roman" w:eastAsia="Times New Roman" w:hAnsi="Times New Roman"/>
          <w:sz w:val="20"/>
          <w:szCs w:val="20"/>
          <w:color w:val="auto"/>
        </w:rPr>
        <w:t>1.251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STAT6 Research Term Extension</w:t>
      </w:r>
      <w:r>
        <w:rPr>
          <w:rFonts w:ascii="Times New Roman" w:cs="Times New Roman" w:eastAsia="Times New Roman" w:hAnsi="Times New Roman"/>
          <w:sz w:val="19"/>
          <w:szCs w:val="19"/>
          <w:color w:val="auto"/>
        </w:rPr>
        <w:t>” is defined in Section 2.1.3 (STAT6 Research Term Extension).</w:t>
      </w:r>
    </w:p>
    <w:p>
      <w:pPr>
        <w:spacing w:after="0" w:line="221" w:lineRule="exact"/>
        <w:rPr>
          <w:sz w:val="20"/>
          <w:szCs w:val="20"/>
          <w:color w:val="auto"/>
        </w:rPr>
      </w:pPr>
    </w:p>
    <w:p>
      <w:pPr>
        <w:ind w:left="1240" w:hanging="618"/>
        <w:spacing w:after="0"/>
        <w:tabs>
          <w:tab w:leader="none" w:pos="1240"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19"/>
          <w:szCs w:val="19"/>
          <w:b w:val="1"/>
          <w:bCs w:val="1"/>
          <w:color w:val="auto"/>
        </w:rPr>
      </w:pPr>
    </w:p>
    <w:p>
      <w:pPr>
        <w:jc w:val="both"/>
        <w:ind w:firstLine="1241"/>
        <w:spacing w:after="0" w:line="262" w:lineRule="auto"/>
        <w:tabs>
          <w:tab w:leader="none" w:pos="1844" w:val="left"/>
        </w:tabs>
        <w:numPr>
          <w:ilvl w:val="1"/>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No Other Amendments. </w:t>
      </w:r>
      <w:r>
        <w:rPr>
          <w:rFonts w:ascii="Times New Roman" w:cs="Times New Roman" w:eastAsia="Times New Roman" w:hAnsi="Times New Roman"/>
          <w:sz w:val="20"/>
          <w:szCs w:val="20"/>
          <w:color w:val="auto"/>
        </w:rPr>
        <w:t>This Amendment shall be deemed to be a part of and incorporated into the Agreement.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event of a conflict between this Amendment and the Agreement, this Amendment shall control. Except as expressly set forth in this Amendment, all of the terms and conditions of the Agreement, including without limitation rights and obligations with respect to Patents and Know-How, shall remain unchanged and are ratified and confirmed in all respects and remain in full force and effect.</w:t>
      </w:r>
    </w:p>
    <w:p>
      <w:pPr>
        <w:spacing w:after="0" w:line="156" w:lineRule="exact"/>
        <w:rPr>
          <w:rFonts w:ascii="Times New Roman" w:cs="Times New Roman" w:eastAsia="Times New Roman" w:hAnsi="Times New Roman"/>
          <w:sz w:val="19"/>
          <w:szCs w:val="19"/>
          <w:b w:val="1"/>
          <w:bCs w:val="1"/>
          <w:color w:val="auto"/>
        </w:rPr>
      </w:pPr>
    </w:p>
    <w:p>
      <w:pPr>
        <w:jc w:val="both"/>
        <w:ind w:firstLine="1241"/>
        <w:spacing w:after="0" w:line="265" w:lineRule="auto"/>
        <w:tabs>
          <w:tab w:leader="none" w:pos="1855" w:val="left"/>
        </w:tabs>
        <w:numPr>
          <w:ilvl w:val="1"/>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Amendment, together with the Agreement and any exhibits or attachments thereto, contains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entire agreement by the Parties with respect to the subject matter hereof, and any reference to the Agreement shall refer to the Agreement, as amended by this Amendment.</w:t>
      </w:r>
    </w:p>
    <w:p>
      <w:pPr>
        <w:spacing w:after="0" w:line="166" w:lineRule="exact"/>
        <w:rPr>
          <w:rFonts w:ascii="Times New Roman" w:cs="Times New Roman" w:eastAsia="Times New Roman" w:hAnsi="Times New Roman"/>
          <w:sz w:val="19"/>
          <w:szCs w:val="19"/>
          <w:b w:val="1"/>
          <w:bCs w:val="1"/>
          <w:color w:val="auto"/>
        </w:rPr>
      </w:pPr>
    </w:p>
    <w:p>
      <w:pPr>
        <w:jc w:val="both"/>
        <w:ind w:firstLine="1241"/>
        <w:spacing w:after="0" w:line="252" w:lineRule="auto"/>
        <w:tabs>
          <w:tab w:leader="none" w:pos="1847" w:val="left"/>
        </w:tabs>
        <w:numPr>
          <w:ilvl w:val="1"/>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counterparts with the same effect as if both Parties had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66" w:lineRule="exact"/>
        <w:rPr>
          <w:rFonts w:ascii="Times New Roman" w:cs="Times New Roman" w:eastAsia="Times New Roman" w:hAnsi="Times New Roman"/>
          <w:sz w:val="19"/>
          <w:szCs w:val="19"/>
          <w:b w:val="1"/>
          <w:bCs w:val="1"/>
          <w:color w:val="auto"/>
        </w:rPr>
      </w:pPr>
    </w:p>
    <w:p>
      <w:pPr>
        <w:ind w:firstLine="1241"/>
        <w:spacing w:after="0" w:line="289" w:lineRule="auto"/>
        <w:tabs>
          <w:tab w:leader="none" w:pos="1855" w:val="left"/>
        </w:tabs>
        <w:numPr>
          <w:ilvl w:val="1"/>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Amendment and any Dispute arising from the performance or breach hereof will be governed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interpreted in accordance with the laws of the State of New York, without giving effect to any choice of law rules.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21" w:right="339" w:bottom="1440" w:gutter="0" w:footer="0" w:header="0"/>
        </w:sectPr>
      </w:pPr>
    </w:p>
    <w:bookmarkStart w:id="103" w:name="page104"/>
    <w:bookmarkEnd w:id="103"/>
    <w:p>
      <w:pPr>
        <w:ind w:firstLine="619"/>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and intending to be legally bound hereby, the Parties have caused this Amendment to be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duly authorized representatives as of the Amendment Date.</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NURIX THERAPEUTICS, INC.</w:t>
            </w:r>
          </w:p>
        </w:tc>
        <w:tc>
          <w:tcPr>
            <w:tcW w:w="6460" w:type="dxa"/>
            <w:vAlign w:val="bottom"/>
            <w:gridSpan w:val="3"/>
          </w:tcPr>
          <w:p>
            <w:pPr>
              <w:ind w:left="1420"/>
              <w:spacing w:after="0"/>
              <w:rPr>
                <w:sz w:val="20"/>
                <w:szCs w:val="20"/>
                <w:color w:val="auto"/>
              </w:rPr>
            </w:pPr>
            <w:r>
              <w:rPr>
                <w:rFonts w:ascii="Times New Roman" w:cs="Times New Roman" w:eastAsia="Times New Roman" w:hAnsi="Times New Roman"/>
                <w:sz w:val="20"/>
                <w:szCs w:val="20"/>
                <w:b w:val="1"/>
                <w:bCs w:val="1"/>
                <w:color w:val="auto"/>
              </w:rPr>
              <w:t>GENZYME CORPORATION</w:t>
            </w:r>
          </w:p>
        </w:tc>
      </w:tr>
      <w:tr>
        <w:trPr>
          <w:trHeight w:val="494"/>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Christine Ring</w:t>
            </w:r>
          </w:p>
        </w:tc>
        <w:tc>
          <w:tcPr>
            <w:tcW w:w="6460" w:type="dxa"/>
            <w:vAlign w:val="bottom"/>
            <w:gridSpan w:val="3"/>
          </w:tcPr>
          <w:p>
            <w:pPr>
              <w:ind w:left="1420"/>
              <w:spacing w:after="0"/>
              <w:rPr>
                <w:sz w:val="20"/>
                <w:szCs w:val="20"/>
                <w:color w:val="auto"/>
              </w:rPr>
            </w:pPr>
            <w:r>
              <w:rPr>
                <w:rFonts w:ascii="Times New Roman" w:cs="Times New Roman" w:eastAsia="Times New Roman" w:hAnsi="Times New Roman"/>
                <w:sz w:val="20"/>
                <w:szCs w:val="20"/>
                <w:color w:val="auto"/>
              </w:rPr>
              <w:t>By: /s/ Michael Iafolla</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78"/>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Christine Ring</w:t>
            </w:r>
          </w:p>
        </w:tc>
        <w:tc>
          <w:tcPr>
            <w:tcW w:w="6460" w:type="dxa"/>
            <w:vAlign w:val="bottom"/>
            <w:gridSpan w:val="3"/>
          </w:tcPr>
          <w:p>
            <w:pPr>
              <w:ind w:left="1420"/>
              <w:spacing w:after="0"/>
              <w:rPr>
                <w:sz w:val="20"/>
                <w:szCs w:val="20"/>
                <w:color w:val="auto"/>
              </w:rPr>
            </w:pPr>
            <w:r>
              <w:rPr>
                <w:rFonts w:ascii="Times New Roman" w:cs="Times New Roman" w:eastAsia="Times New Roman" w:hAnsi="Times New Roman"/>
                <w:sz w:val="20"/>
                <w:szCs w:val="20"/>
                <w:color w:val="auto"/>
              </w:rPr>
              <w:t>Name: Michael Iafolla</w:t>
            </w:r>
          </w:p>
        </w:tc>
      </w:tr>
      <w:tr>
        <w:trPr>
          <w:trHeight w:val="438"/>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Legal Officer</w:t>
            </w:r>
          </w:p>
        </w:tc>
        <w:tc>
          <w:tcPr>
            <w:tcW w:w="6460" w:type="dxa"/>
            <w:vAlign w:val="bottom"/>
            <w:gridSpan w:val="3"/>
          </w:tcPr>
          <w:p>
            <w:pPr>
              <w:ind w:left="1420"/>
              <w:spacing w:after="0"/>
              <w:rPr>
                <w:sz w:val="20"/>
                <w:szCs w:val="20"/>
                <w:color w:val="auto"/>
              </w:rPr>
            </w:pPr>
            <w:r>
              <w:rPr>
                <w:rFonts w:ascii="Times New Roman" w:cs="Times New Roman" w:eastAsia="Times New Roman" w:hAnsi="Times New Roman"/>
                <w:sz w:val="20"/>
                <w:szCs w:val="20"/>
                <w:color w:val="auto"/>
                <w:w w:val="98"/>
              </w:rPr>
              <w:t>Title: Global Head of Alliance Management - Sanofi Partnering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SIXTH AMENDMENT TO COLLABORATION AND LICENSE AGREEMENT]</w:t>
      </w:r>
    </w:p>
    <w:p>
      <w:pPr>
        <w:sectPr>
          <w:pgSz w:w="11900" w:h="16838" w:orient="portrait"/>
          <w:cols w:equalWidth="0" w:num="1">
            <w:col w:w="11240"/>
          </w:cols>
          <w:pgMar w:left="320" w:top="135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LEASE</w:t>
      </w:r>
    </w:p>
    <w:p>
      <w:pPr>
        <w:spacing w:after="0" w:line="19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7"/>
          <w:szCs w:val="17"/>
          <w:color w:val="auto"/>
        </w:rPr>
        <w:t>THIS SECOND AMENDMENT TO LEASE (this “</w:t>
      </w:r>
      <w:r>
        <w:rPr>
          <w:rFonts w:ascii="Arial" w:cs="Arial" w:eastAsia="Arial" w:hAnsi="Arial"/>
          <w:sz w:val="17"/>
          <w:szCs w:val="17"/>
          <w:b w:val="1"/>
          <w:bCs w:val="1"/>
          <w:color w:val="auto"/>
        </w:rPr>
        <w:t>Second Amendment</w:t>
      </w:r>
      <w:r>
        <w:rPr>
          <w:rFonts w:ascii="Arial" w:cs="Arial" w:eastAsia="Arial" w:hAnsi="Arial"/>
          <w:sz w:val="17"/>
          <w:szCs w:val="17"/>
          <w:color w:val="auto"/>
        </w:rPr>
        <w:t>”) is made as of March 25, 2024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ARE-SAN FRANCISCO NO. 19 OWNER,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78" w:lineRule="exact"/>
        <w:rPr>
          <w:sz w:val="20"/>
          <w:szCs w:val="20"/>
          <w:color w:val="auto"/>
        </w:rPr>
      </w:pPr>
    </w:p>
    <w:p>
      <w:pPr>
        <w:jc w:val="both"/>
        <w:ind w:firstLine="622"/>
        <w:spacing w:after="0" w:line="223" w:lineRule="auto"/>
        <w:tabs>
          <w:tab w:leader="none" w:pos="1015"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Landlord and Tenant entered into that certain Lease Agreement dated as of July 8, 2021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that certain First Amendment to Lease dated as of June 28, 2023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commonly known as Suite 493 and consisting of approximately 19,320 rentable square feet (the “</w:t>
      </w:r>
      <w:r>
        <w:rPr>
          <w:rFonts w:ascii="Arial" w:cs="Arial" w:eastAsia="Arial" w:hAnsi="Arial"/>
          <w:sz w:val="17"/>
          <w:szCs w:val="17"/>
          <w:b w:val="1"/>
          <w:bCs w:val="1"/>
          <w:color w:val="auto"/>
        </w:rPr>
        <w:t>Premises</w:t>
      </w:r>
      <w:r>
        <w:rPr>
          <w:rFonts w:ascii="Arial" w:cs="Arial" w:eastAsia="Arial" w:hAnsi="Arial"/>
          <w:sz w:val="17"/>
          <w:szCs w:val="17"/>
          <w:color w:val="auto"/>
        </w:rPr>
        <w:t>”) in a building located at 455 Mission Bay Boulevard South, San Francisco, California. The Premises are more particularly described in the Lease. Capitalized terms used herein without definition shall have the meanings defined for such terms in the Lease.</w:t>
      </w:r>
    </w:p>
    <w:p>
      <w:pPr>
        <w:spacing w:after="0" w:line="163" w:lineRule="exact"/>
        <w:rPr>
          <w:rFonts w:ascii="Arial" w:cs="Arial" w:eastAsia="Arial" w:hAnsi="Arial"/>
          <w:sz w:val="17"/>
          <w:szCs w:val="17"/>
          <w:b w:val="1"/>
          <w:bCs w:val="1"/>
          <w:color w:val="auto"/>
        </w:rPr>
      </w:pPr>
    </w:p>
    <w:p>
      <w:pPr>
        <w:ind w:left="980" w:hanging="358"/>
        <w:spacing w:after="0"/>
        <w:tabs>
          <w:tab w:leader="none" w:pos="98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The Term of the Lease is scheduled to expire on June 30, 2024.</w:t>
      </w:r>
    </w:p>
    <w:p>
      <w:pPr>
        <w:spacing w:after="0" w:line="178" w:lineRule="exact"/>
        <w:rPr>
          <w:rFonts w:ascii="Arial" w:cs="Arial" w:eastAsia="Arial" w:hAnsi="Arial"/>
          <w:sz w:val="17"/>
          <w:szCs w:val="17"/>
          <w:b w:val="1"/>
          <w:bCs w:val="1"/>
          <w:color w:val="auto"/>
        </w:rPr>
      </w:pPr>
    </w:p>
    <w:p>
      <w:pPr>
        <w:ind w:firstLine="622"/>
        <w:spacing w:after="0" w:line="254" w:lineRule="auto"/>
        <w:tabs>
          <w:tab w:leader="none" w:pos="1055"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below, to among other things, extend the Term of the Lease through April 30, 2025 (the “</w:t>
      </w:r>
      <w:r>
        <w:rPr>
          <w:rFonts w:ascii="Arial" w:cs="Arial" w:eastAsia="Arial" w:hAnsi="Arial"/>
          <w:sz w:val="17"/>
          <w:szCs w:val="17"/>
          <w:b w:val="1"/>
          <w:bCs w:val="1"/>
          <w:color w:val="auto"/>
        </w:rPr>
        <w:t>Extended Expiration Date</w:t>
      </w:r>
      <w:r>
        <w:rPr>
          <w:rFonts w:ascii="Arial" w:cs="Arial" w:eastAsia="Arial" w:hAnsi="Arial"/>
          <w:sz w:val="17"/>
          <w:szCs w:val="17"/>
          <w:color w:val="auto"/>
        </w:rPr>
        <w:t>”).</w:t>
      </w:r>
    </w:p>
    <w:p>
      <w:pPr>
        <w:spacing w:after="0" w:line="13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 and Tenant hereby agree as follows:</w:t>
      </w:r>
    </w:p>
    <w:p>
      <w:pPr>
        <w:spacing w:after="0" w:line="160" w:lineRule="exact"/>
        <w:rPr>
          <w:sz w:val="20"/>
          <w:szCs w:val="20"/>
          <w:color w:val="auto"/>
        </w:rPr>
      </w:pPr>
    </w:p>
    <w:p>
      <w:pPr>
        <w:jc w:val="both"/>
        <w:ind w:left="620" w:hanging="617"/>
        <w:spacing w:after="0" w:line="230"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Extended Term</w:t>
      </w:r>
      <w:r>
        <w:rPr>
          <w:rFonts w:ascii="Arial" w:cs="Arial" w:eastAsia="Arial" w:hAnsi="Arial"/>
          <w:sz w:val="17"/>
          <w:szCs w:val="17"/>
          <w:color w:val="auto"/>
        </w:rPr>
        <w:t>. The expiration date of the Term of the Lease is hereby extended until the Extended Expiration Date. Tenant shall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accept the Premises in its then-current “as-is” condition as of July 1, 2024, and Landlord shall have no obligation to perform any improvements or to provide any allowances for improvements during the Term as extended pursuant to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59" w:lineRule="exact"/>
        <w:rPr>
          <w:rFonts w:ascii="Arial" w:cs="Arial" w:eastAsia="Arial" w:hAnsi="Arial"/>
          <w:sz w:val="17"/>
          <w:szCs w:val="17"/>
          <w:b w:val="1"/>
          <w:bCs w:val="1"/>
          <w:color w:val="auto"/>
        </w:rPr>
      </w:pPr>
    </w:p>
    <w:p>
      <w:pPr>
        <w:jc w:val="both"/>
        <w:ind w:left="620" w:hanging="617"/>
        <w:spacing w:after="0" w:line="228"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 Additional Rent</w:t>
      </w:r>
      <w:r>
        <w:rPr>
          <w:rFonts w:ascii="Arial" w:cs="Arial" w:eastAsia="Arial" w:hAnsi="Arial"/>
          <w:sz w:val="17"/>
          <w:szCs w:val="17"/>
          <w:color w:val="auto"/>
        </w:rPr>
        <w:t>. Tenant shall continue to pay Base Rent for the Premises as provided in the Lease through June 30, 2024.</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on July 1, 2024 and continuing through the Extended Expiration Date, Tenant shall continue to pay Base Rent at the rental rate in effect as of June 30, 2024, which shall be calculated in accordance with Section 4 of the Original Lease. In addition, throughout the Extended Expiration Date, Tenant shall continue to pay Additional Rent in accordance with the terms and conditions of the Lease.</w:t>
      </w:r>
    </w:p>
    <w:p>
      <w:pPr>
        <w:spacing w:after="0" w:line="146" w:lineRule="exact"/>
        <w:rPr>
          <w:rFonts w:ascii="Arial" w:cs="Arial" w:eastAsia="Arial" w:hAnsi="Arial"/>
          <w:sz w:val="17"/>
          <w:szCs w:val="17"/>
          <w:b w:val="1"/>
          <w:bCs w:val="1"/>
          <w:color w:val="auto"/>
        </w:rPr>
      </w:pPr>
    </w:p>
    <w:p>
      <w:pPr>
        <w:jc w:val="both"/>
        <w:ind w:left="620" w:hanging="617"/>
        <w:spacing w:after="0" w:line="235"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Throughout the Extended Expiration Date, Tenant’s parking rights shall continue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Parking Charges payable by Tenant shall continue to increase on each Parking Charge Adjustment Date by 3% as set forth in such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147" w:lineRule="exact"/>
        <w:rPr>
          <w:rFonts w:ascii="Arial" w:cs="Arial" w:eastAsia="Arial" w:hAnsi="Arial"/>
          <w:sz w:val="17"/>
          <w:szCs w:val="17"/>
          <w:b w:val="1"/>
          <w:bCs w:val="1"/>
          <w:color w:val="auto"/>
        </w:rPr>
      </w:pPr>
    </w:p>
    <w:p>
      <w:pPr>
        <w:jc w:val="both"/>
        <w:ind w:left="620" w:hanging="617"/>
        <w:spacing w:after="0" w:line="235"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Security Deposit</w:t>
      </w:r>
      <w:r>
        <w:rPr>
          <w:rFonts w:ascii="Arial" w:cs="Arial" w:eastAsia="Arial" w:hAnsi="Arial"/>
          <w:sz w:val="17"/>
          <w:szCs w:val="17"/>
          <w:color w:val="auto"/>
        </w:rPr>
        <w:t>. Landlord holds a Security Deposit in the amount of $115,920.00 in the form of a Letter of Credit. Concurrent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delivery of copy of this Second Amendment executed by Tenant, Tenant shall deliver to Landlord an amendment to the Letter of Credit extending the expiration date of the Letter of Credit until 90 days after the Extended Expiration Date.</w:t>
      </w:r>
    </w:p>
    <w:p>
      <w:pPr>
        <w:spacing w:after="0" w:line="147" w:lineRule="exact"/>
        <w:rPr>
          <w:rFonts w:ascii="Arial" w:cs="Arial" w:eastAsia="Arial" w:hAnsi="Arial"/>
          <w:sz w:val="17"/>
          <w:szCs w:val="17"/>
          <w:b w:val="1"/>
          <w:bCs w:val="1"/>
          <w:color w:val="auto"/>
        </w:rPr>
      </w:pPr>
    </w:p>
    <w:p>
      <w:pPr>
        <w:jc w:val="both"/>
        <w:ind w:left="620" w:hanging="617"/>
        <w:spacing w:after="0" w:line="235"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to Extend Term</w:t>
      </w:r>
      <w:r>
        <w:rPr>
          <w:rFonts w:ascii="Arial" w:cs="Arial" w:eastAsia="Arial" w:hAnsi="Arial"/>
          <w:sz w:val="17"/>
          <w:szCs w:val="17"/>
          <w:color w:val="auto"/>
        </w:rPr>
        <w:t>. Tenant shall continue to have the Extension Right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except that,</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execution of this Second Amendment, the term of any such extension will be limited to two (2) years, unless otherwise mutually agreed upon by Landlord and Tenant.</w:t>
      </w:r>
    </w:p>
    <w:p>
      <w:pPr>
        <w:spacing w:after="0" w:line="147" w:lineRule="exact"/>
        <w:rPr>
          <w:rFonts w:ascii="Arial" w:cs="Arial" w:eastAsia="Arial" w:hAnsi="Arial"/>
          <w:sz w:val="17"/>
          <w:szCs w:val="17"/>
          <w:b w:val="1"/>
          <w:bCs w:val="1"/>
          <w:color w:val="auto"/>
        </w:rPr>
      </w:pPr>
    </w:p>
    <w:p>
      <w:pPr>
        <w:jc w:val="both"/>
        <w:ind w:left="620" w:hanging="617"/>
        <w:spacing w:after="0" w:line="230" w:lineRule="auto"/>
        <w:tabs>
          <w:tab w:leader="none" w:pos="60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Second Amendment and that no Broker brought about this transaction, other than CBRE,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45" w:right="339" w:bottom="1440" w:gutter="0" w:footer="0" w:header="0"/>
        </w:sectPr>
      </w:pPr>
    </w:p>
    <w:bookmarkStart w:id="105" w:name="page106"/>
    <w:bookmarkEnd w:id="105"/>
    <w:p>
      <w:pPr>
        <w:ind w:left="620"/>
        <w:spacing w:after="0" w:line="223" w:lineRule="auto"/>
        <w:rPr>
          <w:sz w:val="20"/>
          <w:szCs w:val="20"/>
          <w:color w:val="auto"/>
        </w:rPr>
      </w:pPr>
      <w:r>
        <w:rPr>
          <w:rFonts w:ascii="Arial" w:cs="Arial" w:eastAsia="Arial" w:hAnsi="Arial"/>
          <w:sz w:val="17"/>
          <w:szCs w:val="17"/>
          <w:color w:val="auto"/>
        </w:rPr>
        <w:t>Landlord and Tenant each hereby agrees to indemnify and hold the other harmless from and against any claims by any Broker, other than CBRE, Inc., claiming a commission or other form of compensation by virtue of having dealt with Tenant or Landlord, as applicable, with</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regard to this Second Amendment.</w:t>
      </w:r>
    </w:p>
    <w:p>
      <w:pPr>
        <w:spacing w:after="0" w:line="160" w:lineRule="exact"/>
        <w:rPr>
          <w:sz w:val="20"/>
          <w:szCs w:val="20"/>
          <w:color w:val="auto"/>
        </w:rPr>
      </w:pPr>
    </w:p>
    <w:p>
      <w:pPr>
        <w:ind w:left="620" w:hanging="617"/>
        <w:spacing w:after="0"/>
        <w:tabs>
          <w:tab w:leader="none" w:pos="6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1938 Disclosures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41(p)</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is incorporated herein as though set forth in full herein.</w:t>
      </w:r>
    </w:p>
    <w:p>
      <w:pPr>
        <w:spacing w:after="0" w:line="178" w:lineRule="exact"/>
        <w:rPr>
          <w:rFonts w:ascii="Arial" w:cs="Arial" w:eastAsia="Arial" w:hAnsi="Arial"/>
          <w:sz w:val="17"/>
          <w:szCs w:val="17"/>
          <w:b w:val="1"/>
          <w:bCs w:val="1"/>
          <w:color w:val="auto"/>
        </w:rPr>
      </w:pPr>
    </w:p>
    <w:p>
      <w:pPr>
        <w:jc w:val="both"/>
        <w:ind w:left="620" w:hanging="617"/>
        <w:spacing w:after="0" w:line="220" w:lineRule="auto"/>
        <w:tabs>
          <w:tab w:leader="none" w:pos="608"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(“OFAC”) of the U.S. Department of Treasury and any statute, executive order, or regulation relating thereto (collectively, the “OFAC Rules”),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3" w:lineRule="exact"/>
        <w:rPr>
          <w:rFonts w:ascii="Arial" w:cs="Arial" w:eastAsia="Arial" w:hAnsi="Arial"/>
          <w:sz w:val="17"/>
          <w:szCs w:val="17"/>
          <w:b w:val="1"/>
          <w:bCs w:val="1"/>
          <w:color w:val="auto"/>
        </w:rPr>
      </w:pPr>
    </w:p>
    <w:p>
      <w:pPr>
        <w:ind w:left="620" w:hanging="617"/>
        <w:spacing w:after="0"/>
        <w:tabs>
          <w:tab w:leader="none" w:pos="6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80" w:lineRule="exact"/>
        <w:rPr>
          <w:rFonts w:ascii="Arial" w:cs="Arial" w:eastAsia="Arial" w:hAnsi="Arial"/>
          <w:sz w:val="17"/>
          <w:szCs w:val="17"/>
          <w:b w:val="1"/>
          <w:bCs w:val="1"/>
          <w:color w:val="auto"/>
        </w:rPr>
      </w:pPr>
    </w:p>
    <w:p>
      <w:pPr>
        <w:jc w:val="both"/>
        <w:ind w:left="620" w:firstLine="2"/>
        <w:spacing w:after="0" w:line="234" w:lineRule="auto"/>
        <w:tabs>
          <w:tab w:leader="none" w:pos="1227"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50" w:lineRule="exact"/>
        <w:rPr>
          <w:rFonts w:ascii="Arial" w:cs="Arial" w:eastAsia="Arial" w:hAnsi="Arial"/>
          <w:sz w:val="17"/>
          <w:szCs w:val="17"/>
          <w:b w:val="1"/>
          <w:bCs w:val="1"/>
          <w:color w:val="auto"/>
        </w:rPr>
      </w:pPr>
    </w:p>
    <w:p>
      <w:pPr>
        <w:ind w:left="620" w:firstLine="2"/>
        <w:spacing w:after="0" w:line="242" w:lineRule="auto"/>
        <w:tabs>
          <w:tab w:leader="none" w:pos="1237"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This Second Amendment is binding upon and shall inure to the benefit of the parties hereto, their respective agents, employees, representatives, officers, directors, divisions, subsidiaries, affiliates, assigns, heirs, successors in interest and shareholders.</w:t>
      </w:r>
    </w:p>
    <w:p>
      <w:pPr>
        <w:spacing w:after="0" w:line="160" w:lineRule="exact"/>
        <w:rPr>
          <w:rFonts w:ascii="Arial" w:cs="Arial" w:eastAsia="Arial" w:hAnsi="Arial"/>
          <w:sz w:val="17"/>
          <w:szCs w:val="17"/>
          <w:b w:val="1"/>
          <w:bCs w:val="1"/>
          <w:color w:val="auto"/>
        </w:rPr>
      </w:pPr>
    </w:p>
    <w:p>
      <w:pPr>
        <w:jc w:val="both"/>
        <w:ind w:left="620" w:firstLine="2"/>
        <w:spacing w:after="0" w:line="227" w:lineRule="auto"/>
        <w:tabs>
          <w:tab w:leader="none" w:pos="1227"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This Second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Second Amendment attached thereto.</w:t>
      </w:r>
    </w:p>
    <w:p>
      <w:pPr>
        <w:spacing w:after="0" w:line="150" w:lineRule="exact"/>
        <w:rPr>
          <w:rFonts w:ascii="Arial" w:cs="Arial" w:eastAsia="Arial" w:hAnsi="Arial"/>
          <w:sz w:val="17"/>
          <w:szCs w:val="17"/>
          <w:b w:val="1"/>
          <w:bCs w:val="1"/>
          <w:color w:val="auto"/>
        </w:rPr>
      </w:pPr>
    </w:p>
    <w:p>
      <w:pPr>
        <w:jc w:val="both"/>
        <w:ind w:left="620" w:firstLine="2"/>
        <w:spacing w:after="0" w:line="223" w:lineRule="auto"/>
        <w:tabs>
          <w:tab w:leader="none" w:pos="1237"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47" w:right="339" w:bottom="1440" w:gutter="0" w:footer="0" w:header="0"/>
        </w:sectPr>
      </w:pPr>
    </w:p>
    <w:bookmarkStart w:id="106" w:name="page107"/>
    <w:bookmarkEnd w:id="106"/>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Second Amendment as of the Effective Date above written.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a Delaware corporation</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By: /s/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-6350</wp:posOffset>
            </wp:positionV>
            <wp:extent cx="9518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7" w:lineRule="auto"/>
        <w:rPr>
          <w:sz w:val="20"/>
          <w:szCs w:val="20"/>
          <w:color w:val="auto"/>
        </w:rPr>
      </w:pPr>
      <w:r>
        <w:rPr>
          <w:rFonts w:ascii="Arial" w:cs="Arial" w:eastAsia="Arial" w:hAnsi="Arial"/>
          <w:sz w:val="17"/>
          <w:szCs w:val="17"/>
          <w:color w:val="auto"/>
        </w:rPr>
        <w:t>Name: Christine Ring</w:t>
      </w:r>
    </w:p>
    <w:p>
      <w:pPr>
        <w:spacing w:after="0"/>
        <w:rPr>
          <w:sz w:val="20"/>
          <w:szCs w:val="20"/>
          <w:color w:val="auto"/>
        </w:rPr>
      </w:pPr>
      <w:r>
        <w:rPr>
          <w:rFonts w:ascii="Arial" w:cs="Arial" w:eastAsia="Arial" w:hAnsi="Arial"/>
          <w:sz w:val="17"/>
          <w:szCs w:val="17"/>
          <w:color w:val="auto"/>
        </w:rPr>
        <w:t>Its: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-123190</wp:posOffset>
            </wp:positionV>
            <wp:extent cx="8064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0645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-16510</wp:posOffset>
            </wp:positionV>
            <wp:extent cx="10229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 hereby certify that the signature, name, and title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above are my signature, name and title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ARE-SAN FRANCISCO NO. 19 OWNER, LLC,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15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ARE-San Francisco No. 19 HoldCo, LLC,</w:t>
      </w:r>
    </w:p>
    <w:p>
      <w:pPr>
        <w:ind w:left="200"/>
        <w:spacing w:after="0" w:line="221" w:lineRule="auto"/>
        <w:rPr>
          <w:sz w:val="20"/>
          <w:szCs w:val="20"/>
          <w:color w:val="auto"/>
        </w:rPr>
      </w:pPr>
      <w:r>
        <w:rPr>
          <w:rFonts w:ascii="Arial" w:cs="Arial" w:eastAsia="Arial" w:hAnsi="Arial"/>
          <w:sz w:val="17"/>
          <w:szCs w:val="17"/>
          <w:color w:val="auto"/>
        </w:rPr>
        <w:t>a Delaware limited liability company,</w:t>
      </w:r>
    </w:p>
    <w:p>
      <w:pPr>
        <w:ind w:left="200"/>
        <w:spacing w:after="0"/>
        <w:rPr>
          <w:sz w:val="20"/>
          <w:szCs w:val="20"/>
          <w:color w:val="auto"/>
        </w:rPr>
      </w:pPr>
      <w:r>
        <w:rPr>
          <w:rFonts w:ascii="Arial" w:cs="Arial" w:eastAsia="Arial" w:hAnsi="Arial"/>
          <w:sz w:val="17"/>
          <w:szCs w:val="17"/>
          <w:color w:val="auto"/>
        </w:rPr>
        <w:t>managing member</w:t>
      </w:r>
    </w:p>
    <w:p>
      <w:pPr>
        <w:spacing w:after="0" w:line="176"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7"/>
          <w:szCs w:val="17"/>
          <w:color w:val="auto"/>
        </w:rPr>
        <w:t>By:</w:t>
        <w:tab/>
        <w:t>ARE-San Francisco No. 19 JV, LLC,</w:t>
      </w:r>
    </w:p>
    <w:p>
      <w:pPr>
        <w:ind w:left="380"/>
        <w:spacing w:after="0" w:line="221" w:lineRule="auto"/>
        <w:rPr>
          <w:sz w:val="20"/>
          <w:szCs w:val="20"/>
          <w:color w:val="auto"/>
        </w:rPr>
      </w:pPr>
      <w:r>
        <w:rPr>
          <w:rFonts w:ascii="Arial" w:cs="Arial" w:eastAsia="Arial" w:hAnsi="Arial"/>
          <w:sz w:val="17"/>
          <w:szCs w:val="17"/>
          <w:color w:val="auto"/>
        </w:rPr>
        <w:t>a Delaware limited liability company</w:t>
      </w:r>
    </w:p>
    <w:p>
      <w:pPr>
        <w:ind w:left="380"/>
        <w:spacing w:after="0"/>
        <w:rPr>
          <w:sz w:val="20"/>
          <w:szCs w:val="20"/>
          <w:color w:val="auto"/>
        </w:rPr>
      </w:pPr>
      <w:r>
        <w:rPr>
          <w:rFonts w:ascii="Arial" w:cs="Arial" w:eastAsia="Arial" w:hAnsi="Arial"/>
          <w:sz w:val="17"/>
          <w:szCs w:val="17"/>
          <w:color w:val="auto"/>
        </w:rPr>
        <w:t>managing member</w:t>
      </w:r>
    </w:p>
    <w:p>
      <w:pPr>
        <w:spacing w:after="0" w:line="176" w:lineRule="exact"/>
        <w:rPr>
          <w:sz w:val="20"/>
          <w:szCs w:val="20"/>
          <w:color w:val="auto"/>
        </w:rPr>
      </w:pPr>
    </w:p>
    <w:p>
      <w:pPr>
        <w:jc w:val="right"/>
        <w:ind w:right="6799"/>
        <w:spacing w:after="0"/>
        <w:tabs>
          <w:tab w:leader="none" w:pos="9160" w:val="left"/>
        </w:tabs>
        <w:rPr>
          <w:sz w:val="20"/>
          <w:szCs w:val="20"/>
          <w:color w:val="auto"/>
        </w:rPr>
      </w:pPr>
      <w:r>
        <w:rPr>
          <w:rFonts w:ascii="Arial" w:cs="Arial" w:eastAsia="Arial" w:hAnsi="Arial"/>
          <w:sz w:val="17"/>
          <w:szCs w:val="17"/>
          <w:color w:val="auto"/>
        </w:rPr>
        <w:t>By:</w:t>
        <w:tab/>
        <w:t>ARE-San Francisco, No. 19, LLC</w:t>
      </w:r>
    </w:p>
    <w:p>
      <w:pPr>
        <w:jc w:val="right"/>
        <w:ind w:right="6839"/>
        <w:spacing w:after="0" w:line="221" w:lineRule="auto"/>
        <w:rPr>
          <w:sz w:val="20"/>
          <w:szCs w:val="20"/>
          <w:color w:val="auto"/>
        </w:rPr>
      </w:pPr>
      <w:r>
        <w:rPr>
          <w:rFonts w:ascii="Arial" w:cs="Arial" w:eastAsia="Arial" w:hAnsi="Arial"/>
          <w:sz w:val="17"/>
          <w:szCs w:val="17"/>
          <w:color w:val="auto"/>
        </w:rPr>
        <w:t>a Delaware limited liability company</w:t>
      </w:r>
    </w:p>
    <w:p>
      <w:pPr>
        <w:ind w:left="580"/>
        <w:spacing w:after="0"/>
        <w:rPr>
          <w:sz w:val="20"/>
          <w:szCs w:val="20"/>
          <w:color w:val="auto"/>
        </w:rPr>
      </w:pPr>
      <w:r>
        <w:rPr>
          <w:rFonts w:ascii="Arial" w:cs="Arial" w:eastAsia="Arial" w:hAnsi="Arial"/>
          <w:sz w:val="17"/>
          <w:szCs w:val="17"/>
          <w:color w:val="auto"/>
        </w:rPr>
        <w:t>managing member</w:t>
      </w:r>
    </w:p>
    <w:p>
      <w:pPr>
        <w:spacing w:after="0" w:line="176"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7"/>
          <w:szCs w:val="17"/>
          <w:color w:val="auto"/>
        </w:rPr>
        <w:t>By:</w:t>
        <w:tab/>
        <w:t>Alexandra Real Estate Equities, L.P.,</w:t>
      </w:r>
    </w:p>
    <w:p>
      <w:pPr>
        <w:ind w:left="760"/>
        <w:spacing w:after="0" w:line="221" w:lineRule="auto"/>
        <w:rPr>
          <w:sz w:val="20"/>
          <w:szCs w:val="20"/>
          <w:color w:val="auto"/>
        </w:rPr>
      </w:pPr>
      <w:r>
        <w:rPr>
          <w:rFonts w:ascii="Arial" w:cs="Arial" w:eastAsia="Arial" w:hAnsi="Arial"/>
          <w:sz w:val="17"/>
          <w:szCs w:val="17"/>
          <w:color w:val="auto"/>
        </w:rPr>
        <w:t>a Delaware limited partnership,</w:t>
      </w:r>
    </w:p>
    <w:p>
      <w:pPr>
        <w:ind w:left="760"/>
        <w:spacing w:after="0"/>
        <w:rPr>
          <w:sz w:val="20"/>
          <w:szCs w:val="20"/>
          <w:color w:val="auto"/>
        </w:rPr>
      </w:pPr>
      <w:r>
        <w:rPr>
          <w:rFonts w:ascii="Arial" w:cs="Arial" w:eastAsia="Arial" w:hAnsi="Arial"/>
          <w:sz w:val="17"/>
          <w:szCs w:val="17"/>
          <w:color w:val="auto"/>
        </w:rPr>
        <w:t>managing member</w:t>
      </w:r>
    </w:p>
    <w:p>
      <w:pPr>
        <w:spacing w:after="0" w:line="176"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7"/>
          <w:szCs w:val="17"/>
          <w:color w:val="auto"/>
        </w:rPr>
        <w:t>By:</w:t>
        <w:tab/>
        <w:t>ARE-QRS Corp.,</w:t>
      </w:r>
    </w:p>
    <w:p>
      <w:pPr>
        <w:ind w:left="1000"/>
        <w:spacing w:after="0" w:line="221" w:lineRule="auto"/>
        <w:rPr>
          <w:sz w:val="20"/>
          <w:szCs w:val="20"/>
          <w:color w:val="auto"/>
        </w:rPr>
      </w:pPr>
      <w:r>
        <w:rPr>
          <w:rFonts w:ascii="Arial" w:cs="Arial" w:eastAsia="Arial" w:hAnsi="Arial"/>
          <w:sz w:val="17"/>
          <w:szCs w:val="17"/>
          <w:color w:val="auto"/>
        </w:rPr>
        <w:t>a Maryland corporation,</w:t>
      </w:r>
    </w:p>
    <w:p>
      <w:pPr>
        <w:ind w:left="1000"/>
        <w:spacing w:after="0"/>
        <w:rPr>
          <w:sz w:val="20"/>
          <w:szCs w:val="20"/>
          <w:color w:val="auto"/>
        </w:rPr>
      </w:pPr>
      <w:r>
        <w:rPr>
          <w:rFonts w:ascii="Arial" w:cs="Arial" w:eastAsia="Arial" w:hAnsi="Arial"/>
          <w:sz w:val="17"/>
          <w:szCs w:val="17"/>
          <w:color w:val="auto"/>
        </w:rPr>
        <w:t>general partner</w:t>
      </w:r>
    </w:p>
    <w:p>
      <w:pPr>
        <w:spacing w:after="0" w:line="33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By: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-6350</wp:posOffset>
            </wp:positionV>
            <wp:extent cx="1036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Its: Vice President –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1508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08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1345"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Arthur T. Sands, certify that:</w:t>
      </w:r>
    </w:p>
    <w:p>
      <w:pPr>
        <w:spacing w:after="0" w:line="114" w:lineRule="exact"/>
        <w:rPr>
          <w:sz w:val="20"/>
          <w:szCs w:val="20"/>
          <w:color w:val="auto"/>
        </w:rPr>
      </w:pPr>
    </w:p>
    <w:p>
      <w:pPr>
        <w:ind w:left="620" w:hanging="61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2024</w:t>
      </w:r>
    </w:p>
    <w:p>
      <w:pPr>
        <w:sectPr>
          <w:pgSz w:w="11900" w:h="16838" w:orient="portrait"/>
          <w:cols w:equalWidth="0" w:num="1">
            <w:col w:w="11240"/>
          </w:cols>
          <w:pgMar w:left="320" w:top="109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AND ACCOUNTING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Hans van Houte, certify that:</w:t>
      </w:r>
    </w:p>
    <w:p>
      <w:pPr>
        <w:spacing w:after="0" w:line="114" w:lineRule="exact"/>
        <w:rPr>
          <w:sz w:val="20"/>
          <w:szCs w:val="20"/>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2024</w:t>
      </w:r>
    </w:p>
    <w:p>
      <w:pPr>
        <w:sectPr>
          <w:pgSz w:w="11900" w:h="16838" w:orient="portrait"/>
          <w:cols w:equalWidth="0" w:num="1">
            <w:col w:w="11240"/>
          </w:cols>
          <w:pgMar w:left="320" w:top="109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undersigned officers of Nurix Therapeutics, Inc. (the Company) certifies, pursuant to 18 U.S.C. § 1350, as adopted pursuant to § 906 of the Sarbanes-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Oxley Act of 2002, that:</w:t>
      </w:r>
    </w:p>
    <w:p>
      <w:pPr>
        <w:spacing w:after="0" w:line="200" w:lineRule="exact"/>
        <w:rPr>
          <w:sz w:val="20"/>
          <w:szCs w:val="20"/>
          <w:color w:val="auto"/>
        </w:rPr>
      </w:pPr>
    </w:p>
    <w:p>
      <w:pPr>
        <w:ind w:left="620" w:hanging="617"/>
        <w:spacing w:after="0" w:line="287"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February 29, 2024 (the Quarterly Report), as filed with the Securities and Exchange Commission, fully complies with the requirements of Section 13(a) or 15(d) of the Securities Exchange Act of 1934, and</w:t>
      </w:r>
    </w:p>
    <w:p>
      <w:pPr>
        <w:spacing w:after="0" w:line="151" w:lineRule="exact"/>
        <w:rPr>
          <w:rFonts w:ascii="Times New Roman" w:cs="Times New Roman" w:eastAsia="Times New Roman" w:hAnsi="Times New Roman"/>
          <w:sz w:val="17"/>
          <w:szCs w:val="17"/>
          <w:color w:val="auto"/>
        </w:rPr>
      </w:pPr>
    </w:p>
    <w:p>
      <w:pPr>
        <w:ind w:left="620" w:hanging="617"/>
        <w:spacing w:after="0" w:line="263"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78"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2024</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9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0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Roman"/>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lowerLetter"/>
      <w:start w:val="3"/>
    </w:lvl>
  </w:abstractNum>
  <w:abstractNum w:abstractNumId="50">
    <w:nsid w:val="39386575"/>
    <w:multiLevelType w:val="hybridMultilevel"/>
    <w:lvl w:ilvl="0">
      <w:lvlJc w:val="left"/>
      <w:lvlText w:val="(%1)"/>
      <w:numFmt w:val="lowerLetter"/>
      <w:start w:val="4"/>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3"/>
    </w:lvl>
  </w:abstractNum>
  <w:abstractNum w:abstractNumId="53">
    <w:nsid w:val="235BA861"/>
    <w:multiLevelType w:val="hybridMultilevel"/>
    <w:lvl w:ilvl="0">
      <w:lvlJc w:val="left"/>
      <w:lvlText w:val="(%1)"/>
      <w:numFmt w:val="lowerLetter"/>
      <w:start w:val="5"/>
    </w:lvl>
  </w:abstractNum>
  <w:abstractNum w:abstractNumId="54">
    <w:nsid w:val="47398C89"/>
    <w:multiLevelType w:val="hybridMultilevel"/>
    <w:lvl w:ilvl="0">
      <w:lvlJc w:val="left"/>
      <w:lvlText w:val="(%1)"/>
      <w:numFmt w:val="lowerLetter"/>
      <w:start w:val="6"/>
    </w:lvl>
  </w:abstractNum>
  <w:abstractNum w:abstractNumId="55">
    <w:nsid w:val="354FE9F9"/>
    <w:multiLevelType w:val="hybridMultilevel"/>
    <w:lvl w:ilvl="0">
      <w:lvlJc w:val="left"/>
      <w:lvlText w:val="%1."/>
      <w:numFmt w:val="decimal"/>
      <w:start w:val="3"/>
    </w:lvl>
    <w:lvl w:ilvl="1">
      <w:lvlJc w:val="left"/>
      <w:lvlText w:val="(%2)"/>
      <w:numFmt w:val="lowerLetter"/>
      <w:start w:val="1"/>
    </w:lvl>
  </w:abstractNum>
  <w:abstractNum w:abstractNumId="56">
    <w:nsid w:val="15B5AF5C"/>
    <w:multiLevelType w:val="hybridMultilevel"/>
    <w:lvl w:ilvl="0">
      <w:lvlJc w:val="left"/>
      <w:lvlText w:val="%1."/>
      <w:numFmt w:val="upp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7"/>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2024-04-10T06:14:00Z</dcterms:created>
  <dcterms:modified xsi:type="dcterms:W3CDTF">2024-04-10T06:14:00Z</dcterms:modified>
</cp:coreProperties>
</file>