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706120</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732155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5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3300"/>
        <w:spacing w:after="0"/>
        <w:rPr>
          <w:sz w:val="20"/>
          <w:szCs w:val="20"/>
          <w:color w:val="auto"/>
        </w:rPr>
      </w:pPr>
      <w:r>
        <w:rPr>
          <w:rFonts w:ascii="Times New Roman" w:cs="Times New Roman" w:eastAsia="Times New Roman" w:hAnsi="Times New Roman"/>
          <w:sz w:val="22"/>
          <w:szCs w:val="22"/>
          <w:color w:val="auto"/>
        </w:rPr>
        <w:t>___________________________________________</w:t>
      </w:r>
    </w:p>
    <w:p>
      <w:pPr>
        <w:spacing w:after="0" w:line="22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61" w:lineRule="exact"/>
        <w:rPr>
          <w:sz w:val="24"/>
          <w:szCs w:val="24"/>
          <w:color w:val="auto"/>
        </w:rPr>
      </w:pPr>
    </w:p>
    <w:p>
      <w:pPr>
        <w:ind w:left="3300"/>
        <w:spacing w:after="0"/>
        <w:rPr>
          <w:sz w:val="20"/>
          <w:szCs w:val="20"/>
          <w:color w:val="auto"/>
        </w:rPr>
      </w:pPr>
      <w:r>
        <w:rPr>
          <w:rFonts w:ascii="Times New Roman" w:cs="Times New Roman" w:eastAsia="Times New Roman" w:hAnsi="Times New Roman"/>
          <w:sz w:val="22"/>
          <w:szCs w:val="22"/>
          <w:color w:val="auto"/>
        </w:rPr>
        <w:t>___________________________________________</w:t>
      </w:r>
    </w:p>
    <w:p>
      <w:pPr>
        <w:spacing w:after="0" w:line="7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6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15, 2026</w:t>
      </w:r>
    </w:p>
    <w:p>
      <w:pPr>
        <w:spacing w:after="0" w:line="31" w:lineRule="exact"/>
        <w:rPr>
          <w:sz w:val="24"/>
          <w:szCs w:val="24"/>
          <w:color w:val="auto"/>
        </w:rPr>
      </w:pPr>
    </w:p>
    <w:p>
      <w:pPr>
        <w:ind w:left="3300"/>
        <w:spacing w:after="0"/>
        <w:rPr>
          <w:sz w:val="20"/>
          <w:szCs w:val="20"/>
          <w:color w:val="auto"/>
        </w:rPr>
      </w:pPr>
      <w:r>
        <w:rPr>
          <w:rFonts w:ascii="Times New Roman" w:cs="Times New Roman" w:eastAsia="Times New Roman" w:hAnsi="Times New Roman"/>
          <w:sz w:val="22"/>
          <w:szCs w:val="22"/>
          <w:color w:val="auto"/>
        </w:rPr>
        <w:t>___________________________________________</w:t>
      </w:r>
    </w:p>
    <w:p>
      <w:pPr>
        <w:spacing w:after="0" w:line="6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b w:val="1"/>
          <w:bCs w:val="1"/>
          <w:color w:val="auto"/>
        </w:rPr>
        <w:t>NURIX THERAPEUTICS, INC.</w:t>
      </w:r>
    </w:p>
    <w:p>
      <w:pPr>
        <w:spacing w:after="0" w:line="7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3300"/>
        <w:spacing w:after="0"/>
        <w:rPr>
          <w:sz w:val="20"/>
          <w:szCs w:val="20"/>
          <w:color w:val="auto"/>
        </w:rPr>
      </w:pPr>
      <w:r>
        <w:rPr>
          <w:rFonts w:ascii="Times New Roman" w:cs="Times New Roman" w:eastAsia="Times New Roman" w:hAnsi="Times New Roman"/>
          <w:sz w:val="22"/>
          <w:szCs w:val="22"/>
          <w:color w:val="auto"/>
        </w:rPr>
        <w:t>___________________________________________</w:t>
      </w:r>
    </w:p>
    <w:p>
      <w:pPr>
        <w:spacing w:after="0" w:line="116" w:lineRule="exact"/>
        <w:rPr>
          <w:sz w:val="24"/>
          <w:szCs w:val="24"/>
          <w:color w:val="auto"/>
        </w:rPr>
      </w:pPr>
    </w:p>
    <w:tbl>
      <w:tblPr>
        <w:tblLayout w:type="fixed"/>
        <w:tblInd w:w="1040" w:type="dxa"/>
        <w:tblCellMar>
          <w:top w:w="0" w:type="dxa"/>
          <w:left w:w="0" w:type="dxa"/>
          <w:bottom w:w="0" w:type="dxa"/>
          <w:right w:w="0" w:type="dxa"/>
        </w:tblCellMar>
      </w:tblPr>
      <w:tr>
        <w:trPr>
          <w:trHeight w:val="238"/>
        </w:trPr>
        <w:tc>
          <w:tcPr>
            <w:tcW w:w="2660" w:type="dxa"/>
            <w:vAlign w:val="bottom"/>
          </w:tcPr>
          <w:p>
            <w:pPr>
              <w:jc w:val="center"/>
              <w:ind w:right="13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160" w:type="dxa"/>
            <w:vAlign w:val="bottom"/>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w w:val="99"/>
              </w:rPr>
              <w:t>001-39398</w:t>
            </w:r>
          </w:p>
        </w:tc>
        <w:tc>
          <w:tcPr>
            <w:tcW w:w="168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27-0838048</w:t>
            </w:r>
          </w:p>
        </w:tc>
      </w:tr>
      <w:tr>
        <w:trPr>
          <w:trHeight w:val="205"/>
        </w:trPr>
        <w:tc>
          <w:tcPr>
            <w:tcW w:w="266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4160" w:type="dxa"/>
            <w:vAlign w:val="bottom"/>
          </w:tcPr>
          <w:p>
            <w:pPr>
              <w:jc w:val="center"/>
              <w:ind w:right="261"/>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1680" w:type="dxa"/>
            <w:vAlign w:val="bottom"/>
          </w:tcPr>
          <w:p>
            <w:pPr>
              <w:jc w:val="center"/>
              <w:ind w:left="461"/>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66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of Incorporation or Organization)</w:t>
            </w:r>
          </w:p>
        </w:tc>
        <w:tc>
          <w:tcPr>
            <w:tcW w:w="4160" w:type="dxa"/>
            <w:vAlign w:val="bottom"/>
          </w:tcPr>
          <w:p>
            <w:pPr>
              <w:jc w:val="center"/>
              <w:ind w:right="261"/>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680" w:type="dxa"/>
            <w:vAlign w:val="bottom"/>
          </w:tcPr>
          <w:p>
            <w:pPr>
              <w:jc w:val="center"/>
              <w:ind w:left="46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66"/>
        </w:trPr>
        <w:tc>
          <w:tcPr>
            <w:tcW w:w="2660" w:type="dxa"/>
            <w:vAlign w:val="bottom"/>
          </w:tcPr>
          <w:p>
            <w:pPr>
              <w:jc w:val="center"/>
              <w:ind w:right="139"/>
              <w:spacing w:after="0"/>
              <w:rPr>
                <w:sz w:val="20"/>
                <w:szCs w:val="20"/>
                <w:color w:val="auto"/>
              </w:rPr>
            </w:pPr>
            <w:r>
              <w:rPr>
                <w:rFonts w:ascii="Times New Roman" w:cs="Times New Roman" w:eastAsia="Times New Roman" w:hAnsi="Times New Roman"/>
                <w:sz w:val="18"/>
                <w:szCs w:val="18"/>
                <w:b w:val="1"/>
                <w:bCs w:val="1"/>
                <w:color w:val="auto"/>
                <w:w w:val="99"/>
              </w:rPr>
              <w:t>1600 Sierra Point Parkway,</w:t>
            </w:r>
          </w:p>
        </w:tc>
        <w:tc>
          <w:tcPr>
            <w:tcW w:w="416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38"/>
        </w:trPr>
        <w:tc>
          <w:tcPr>
            <w:tcW w:w="2660" w:type="dxa"/>
            <w:vAlign w:val="bottom"/>
          </w:tcPr>
          <w:p>
            <w:pPr>
              <w:jc w:val="center"/>
              <w:ind w:right="139"/>
              <w:spacing w:after="0"/>
              <w:rPr>
                <w:sz w:val="20"/>
                <w:szCs w:val="20"/>
                <w:color w:val="auto"/>
              </w:rPr>
            </w:pPr>
            <w:r>
              <w:rPr>
                <w:rFonts w:ascii="Times New Roman" w:cs="Times New Roman" w:eastAsia="Times New Roman" w:hAnsi="Times New Roman"/>
                <w:sz w:val="18"/>
                <w:szCs w:val="18"/>
                <w:b w:val="1"/>
                <w:bCs w:val="1"/>
                <w:color w:val="auto"/>
                <w:w w:val="99"/>
              </w:rPr>
              <w:t>Brisbane, California</w:t>
            </w:r>
          </w:p>
        </w:tc>
        <w:tc>
          <w:tcPr>
            <w:tcW w:w="4160" w:type="dxa"/>
            <w:vAlign w:val="bottom"/>
          </w:tcPr>
          <w:p>
            <w:pPr>
              <w:spacing w:after="0"/>
              <w:rPr>
                <w:sz w:val="20"/>
                <w:szCs w:val="20"/>
                <w:color w:val="auto"/>
              </w:rPr>
            </w:pPr>
          </w:p>
        </w:tc>
        <w:tc>
          <w:tcPr>
            <w:tcW w:w="168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94005</w:t>
            </w:r>
          </w:p>
        </w:tc>
      </w:tr>
      <w:tr>
        <w:trPr>
          <w:trHeight w:val="220"/>
        </w:trPr>
        <w:tc>
          <w:tcPr>
            <w:tcW w:w="266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4160" w:type="dxa"/>
            <w:vAlign w:val="bottom"/>
          </w:tcPr>
          <w:p>
            <w:pPr>
              <w:spacing w:after="0"/>
              <w:rPr>
                <w:sz w:val="19"/>
                <w:szCs w:val="19"/>
                <w:color w:val="auto"/>
              </w:rPr>
            </w:pPr>
          </w:p>
        </w:tc>
        <w:tc>
          <w:tcPr>
            <w:tcW w:w="1680" w:type="dxa"/>
            <w:vAlign w:val="bottom"/>
          </w:tcPr>
          <w:p>
            <w:pPr>
              <w:jc w:val="center"/>
              <w:ind w:left="46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417"/>
        </w:trPr>
        <w:tc>
          <w:tcPr>
            <w:tcW w:w="2660" w:type="dxa"/>
            <w:vAlign w:val="bottom"/>
          </w:tcPr>
          <w:p>
            <w:pPr>
              <w:spacing w:after="0"/>
              <w:rPr>
                <w:sz w:val="24"/>
                <w:szCs w:val="24"/>
                <w:color w:val="auto"/>
              </w:rPr>
            </w:pPr>
          </w:p>
        </w:tc>
        <w:tc>
          <w:tcPr>
            <w:tcW w:w="4160" w:type="dxa"/>
            <w:vAlign w:val="bottom"/>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9"/>
              </w:rPr>
              <w:t>(415) 660-5320</w:t>
            </w:r>
          </w:p>
        </w:tc>
        <w:tc>
          <w:tcPr>
            <w:tcW w:w="1680" w:type="dxa"/>
            <w:vAlign w:val="bottom"/>
          </w:tcPr>
          <w:p>
            <w:pPr>
              <w:spacing w:after="0"/>
              <w:rPr>
                <w:sz w:val="24"/>
                <w:szCs w:val="24"/>
                <w:color w:val="auto"/>
              </w:rPr>
            </w:pPr>
          </w:p>
        </w:tc>
      </w:tr>
      <w:tr>
        <w:trPr>
          <w:trHeight w:val="190"/>
        </w:trPr>
        <w:tc>
          <w:tcPr>
            <w:tcW w:w="2660" w:type="dxa"/>
            <w:vAlign w:val="bottom"/>
          </w:tcPr>
          <w:p>
            <w:pPr>
              <w:spacing w:after="0"/>
              <w:rPr>
                <w:sz w:val="16"/>
                <w:szCs w:val="16"/>
                <w:color w:val="auto"/>
              </w:rPr>
            </w:pPr>
          </w:p>
        </w:tc>
        <w:tc>
          <w:tcPr>
            <w:tcW w:w="4160" w:type="dxa"/>
            <w:vAlign w:val="bottom"/>
          </w:tcPr>
          <w:p>
            <w:pPr>
              <w:jc w:val="center"/>
              <w:ind w:right="281"/>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680" w:type="dxa"/>
            <w:vAlign w:val="bottom"/>
          </w:tcPr>
          <w:p>
            <w:pPr>
              <w:spacing w:after="0"/>
              <w:rPr>
                <w:sz w:val="16"/>
                <w:szCs w:val="16"/>
                <w:color w:val="auto"/>
              </w:rPr>
            </w:pPr>
          </w:p>
        </w:tc>
      </w:tr>
    </w:tbl>
    <w:p>
      <w:pPr>
        <w:spacing w:after="0" w:line="6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N/A</w:t>
      </w:r>
    </w:p>
    <w:p>
      <w:pPr>
        <w:spacing w:after="0" w:line="2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15" w:lineRule="exact"/>
        <w:rPr>
          <w:sz w:val="24"/>
          <w:szCs w:val="24"/>
          <w:color w:val="auto"/>
        </w:rPr>
      </w:pPr>
    </w:p>
    <w:p>
      <w:pPr>
        <w:ind w:left="3300"/>
        <w:spacing w:after="0"/>
        <w:rPr>
          <w:sz w:val="20"/>
          <w:szCs w:val="20"/>
          <w:color w:val="auto"/>
        </w:rPr>
      </w:pPr>
      <w:r>
        <w:rPr>
          <w:rFonts w:ascii="Times New Roman" w:cs="Times New Roman" w:eastAsia="Times New Roman" w:hAnsi="Times New Roman"/>
          <w:sz w:val="22"/>
          <w:szCs w:val="22"/>
          <w:color w:val="auto"/>
        </w:rPr>
        <w:t>___________________________________________</w:t>
      </w:r>
    </w:p>
    <w:p>
      <w:pPr>
        <w:spacing w:after="0" w:line="90" w:lineRule="exact"/>
        <w:rPr>
          <w:sz w:val="24"/>
          <w:szCs w:val="24"/>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81" w:lineRule="exact"/>
        <w:rPr>
          <w:sz w:val="24"/>
          <w:szCs w:val="24"/>
          <w:color w:val="auto"/>
        </w:rPr>
      </w:pPr>
    </w:p>
    <w:p>
      <w:pPr>
        <w:ind w:left="580" w:hanging="554"/>
        <w:spacing w:after="0"/>
        <w:tabs>
          <w:tab w:leader="none" w:pos="5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Wingdings" w:cs="Wingdings" w:eastAsia="Wingdings" w:hAnsi="Wingdings"/>
          <w:sz w:val="18"/>
          <w:szCs w:val="18"/>
          <w:b w:val="1"/>
          <w:bCs w:val="1"/>
          <w:color w:val="auto"/>
        </w:rPr>
      </w:pPr>
    </w:p>
    <w:p>
      <w:pPr>
        <w:ind w:left="580" w:hanging="554"/>
        <w:spacing w:after="0"/>
        <w:tabs>
          <w:tab w:leader="none" w:pos="5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Wingdings" w:cs="Wingdings" w:eastAsia="Wingdings" w:hAnsi="Wingdings"/>
          <w:sz w:val="18"/>
          <w:szCs w:val="18"/>
          <w:b w:val="1"/>
          <w:bCs w:val="1"/>
          <w:color w:val="auto"/>
        </w:rPr>
      </w:pPr>
    </w:p>
    <w:p>
      <w:pPr>
        <w:ind w:left="580" w:hanging="554"/>
        <w:spacing w:after="0"/>
        <w:tabs>
          <w:tab w:leader="none" w:pos="5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Wingdings" w:cs="Wingdings" w:eastAsia="Wingdings" w:hAnsi="Wingdings"/>
          <w:sz w:val="18"/>
          <w:szCs w:val="18"/>
          <w:b w:val="1"/>
          <w:bCs w:val="1"/>
          <w:color w:val="auto"/>
        </w:rPr>
      </w:pPr>
    </w:p>
    <w:p>
      <w:pPr>
        <w:ind w:left="580" w:hanging="554"/>
        <w:spacing w:after="0"/>
        <w:tabs>
          <w:tab w:leader="none" w:pos="5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19" w:lineRule="exact"/>
        <w:rPr>
          <w:sz w:val="24"/>
          <w:szCs w:val="24"/>
          <w:color w:val="auto"/>
        </w:rPr>
      </w:pPr>
    </w:p>
    <w:tbl>
      <w:tblPr>
        <w:tblLayout w:type="fixed"/>
        <w:tblInd w:w="10" w:type="dxa"/>
        <w:tblCellMar>
          <w:top w:w="0" w:type="dxa"/>
          <w:left w:w="0" w:type="dxa"/>
          <w:bottom w:w="0" w:type="dxa"/>
          <w:right w:w="0" w:type="dxa"/>
        </w:tblCellMar>
      </w:tblPr>
      <w:tr>
        <w:trPr>
          <w:trHeight w:val="206"/>
        </w:trPr>
        <w:tc>
          <w:tcPr>
            <w:tcW w:w="438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5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43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37"/>
        </w:trPr>
        <w:tc>
          <w:tcPr>
            <w:tcW w:w="4380" w:type="dxa"/>
            <w:vAlign w:val="bottom"/>
            <w:tcBorders>
              <w:left w:val="single" w:sz="8" w:color="auto"/>
              <w:bottom w:val="single" w:sz="8" w:color="auto"/>
              <w:right w:val="single" w:sz="8" w:color="auto"/>
            </w:tcBorders>
          </w:tcPr>
          <w:p>
            <w:pPr>
              <w:spacing w:after="0"/>
              <w:rPr>
                <w:sz w:val="3"/>
                <w:szCs w:val="3"/>
                <w:color w:val="auto"/>
              </w:rPr>
            </w:pPr>
          </w:p>
        </w:tc>
        <w:tc>
          <w:tcPr>
            <w:tcW w:w="2520" w:type="dxa"/>
            <w:vAlign w:val="bottom"/>
            <w:tcBorders>
              <w:bottom w:val="single" w:sz="8" w:color="auto"/>
              <w:right w:val="single" w:sz="8" w:color="auto"/>
            </w:tcBorders>
          </w:tcPr>
          <w:p>
            <w:pPr>
              <w:spacing w:after="0"/>
              <w:rPr>
                <w:sz w:val="3"/>
                <w:szCs w:val="3"/>
                <w:color w:val="auto"/>
              </w:rPr>
            </w:pPr>
          </w:p>
        </w:tc>
        <w:tc>
          <w:tcPr>
            <w:tcW w:w="4360" w:type="dxa"/>
            <w:vAlign w:val="bottom"/>
            <w:tcBorders>
              <w:bottom w:val="single" w:sz="8" w:color="auto"/>
              <w:right w:val="single" w:sz="8" w:color="auto"/>
            </w:tcBorders>
          </w:tcPr>
          <w:p>
            <w:pPr>
              <w:spacing w:after="0"/>
              <w:rPr>
                <w:sz w:val="3"/>
                <w:szCs w:val="3"/>
                <w:color w:val="auto"/>
              </w:rPr>
            </w:pPr>
          </w:p>
        </w:tc>
      </w:tr>
      <w:tr>
        <w:trPr>
          <w:trHeight w:val="237"/>
        </w:trPr>
        <w:tc>
          <w:tcPr>
            <w:tcW w:w="43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2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NRIX</w:t>
            </w:r>
          </w:p>
        </w:tc>
        <w:tc>
          <w:tcPr>
            <w:tcW w:w="4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4360" w:type="dxa"/>
            <w:vAlign w:val="bottom"/>
            <w:tcBorders>
              <w:bottom w:val="single" w:sz="8" w:color="auto"/>
              <w:right w:val="single" w:sz="8" w:color="auto"/>
            </w:tcBorders>
          </w:tcPr>
          <w:p>
            <w:pPr>
              <w:spacing w:after="0"/>
              <w:rPr>
                <w:sz w:val="2"/>
                <w:szCs w:val="2"/>
                <w:color w:val="auto"/>
              </w:rPr>
            </w:pPr>
          </w:p>
        </w:tc>
      </w:tr>
    </w:tbl>
    <w:p>
      <w:pPr>
        <w:spacing w:after="0" w:line="171" w:lineRule="exact"/>
        <w:rPr>
          <w:sz w:val="24"/>
          <w:szCs w:val="24"/>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211D1E"/>
        </w:rPr>
        <w:t>Indicate by check mark whether the registrant is an emerging growth company as defined in Rule 405 of the Securities Act of 1933 (§230.405 of this chapter) or Rule 12b-2 of the Securities Exchange Act of 1934 (§240.12b-2 of this chapter).</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211D1E"/>
        </w:rPr>
        <w:t xml:space="preserve">Emerging growth company </w:t>
      </w:r>
      <w:r>
        <w:rPr>
          <w:rFonts w:ascii="Wingdings" w:cs="Wingdings" w:eastAsia="Wingdings" w:hAnsi="Wingdings"/>
          <w:sz w:val="18"/>
          <w:szCs w:val="18"/>
          <w:b w:val="1"/>
          <w:bCs w:val="1"/>
          <w:color w:val="211D1E"/>
        </w:rPr>
        <w:t>o</w:t>
      </w:r>
    </w:p>
    <w:p>
      <w:pPr>
        <w:spacing w:after="0" w:line="104" w:lineRule="exact"/>
        <w:rPr>
          <w:sz w:val="24"/>
          <w:szCs w:val="24"/>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211D1E"/>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211D1E"/>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727075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71120</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97155</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60"/>
          </w:cols>
          <w:pgMar w:left="320" w:top="1280" w:right="319" w:bottom="1440" w:gutter="0" w:footer="0" w:header="0"/>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25" w:lineRule="exact"/>
        <w:rPr>
          <w:sz w:val="20"/>
          <w:szCs w:val="20"/>
          <w:color w:val="auto"/>
        </w:rPr>
      </w:pPr>
    </w:p>
    <w:p>
      <w:pPr>
        <w:ind w:right="40" w:firstLine="648"/>
        <w:spacing w:after="0" w:line="257" w:lineRule="auto"/>
        <w:rPr>
          <w:sz w:val="20"/>
          <w:szCs w:val="20"/>
          <w:color w:val="auto"/>
        </w:rPr>
      </w:pPr>
      <w:r>
        <w:rPr>
          <w:rFonts w:ascii="Times New Roman" w:cs="Times New Roman" w:eastAsia="Times New Roman" w:hAnsi="Times New Roman"/>
          <w:sz w:val="18"/>
          <w:szCs w:val="18"/>
          <w:color w:val="auto"/>
        </w:rPr>
        <w:t>On May 15, 2026, Nurix Therapeutics,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held its 2026 Annual Meeting of Stockholders exclusively online via live webcast (the “</w:t>
      </w:r>
      <w:r>
        <w:rPr>
          <w:rFonts w:ascii="Times New Roman" w:cs="Times New Roman" w:eastAsia="Times New Roman" w:hAnsi="Times New Roman"/>
          <w:sz w:val="18"/>
          <w:szCs w:val="18"/>
          <w:b w:val="1"/>
          <w:bCs w:val="1"/>
          <w:i w:val="1"/>
          <w:iCs w:val="1"/>
          <w:color w:val="auto"/>
        </w:rPr>
        <w:t>Annual Meeting</w:t>
      </w:r>
      <w:r>
        <w:rPr>
          <w:rFonts w:ascii="Times New Roman" w:cs="Times New Roman" w:eastAsia="Times New Roman" w:hAnsi="Times New Roman"/>
          <w:sz w:val="18"/>
          <w:szCs w:val="18"/>
          <w:color w:val="auto"/>
        </w:rPr>
        <w:t>”). At the Annual Meeting, the Company’s stockholders voted on three proposals, each of which is described in more detail in the Company’s definitive proxy statement filed with the Securities and Exchange Commission on March 27, 2026 (the “</w:t>
      </w:r>
      <w:r>
        <w:rPr>
          <w:rFonts w:ascii="Times New Roman" w:cs="Times New Roman" w:eastAsia="Times New Roman" w:hAnsi="Times New Roman"/>
          <w:sz w:val="18"/>
          <w:szCs w:val="18"/>
          <w:b w:val="1"/>
          <w:bCs w:val="1"/>
          <w:i w:val="1"/>
          <w:iCs w:val="1"/>
          <w:color w:val="auto"/>
        </w:rPr>
        <w:t>Proxy Statement</w:t>
      </w:r>
      <w:r>
        <w:rPr>
          <w:rFonts w:ascii="Times New Roman" w:cs="Times New Roman" w:eastAsia="Times New Roman" w:hAnsi="Times New Roman"/>
          <w:sz w:val="18"/>
          <w:szCs w:val="18"/>
          <w:color w:val="auto"/>
        </w:rPr>
        <w:t>”). There were 83,747,013 shares of common stock present at the Annual Meeting in person or by proxy, which represented approximately 80.98% of the voting power of the shares of common stock entitled to vote at the Annual Meeting and constituted a quorum for the transaction of business. Holders of the Company’s common stock were entitled to one vote for each share held as of the close of business on March 20, 2026.</w:t>
      </w:r>
    </w:p>
    <w:p>
      <w:pPr>
        <w:spacing w:after="0" w:line="21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stockholders of the Company voted on the following proposals at the Annual Meeting:</w:t>
      </w:r>
    </w:p>
    <w:p>
      <w:pPr>
        <w:spacing w:after="0" w:line="248" w:lineRule="exact"/>
        <w:rPr>
          <w:sz w:val="20"/>
          <w:szCs w:val="20"/>
          <w:color w:val="auto"/>
        </w:rPr>
      </w:pPr>
    </w:p>
    <w:p>
      <w:pPr>
        <w:ind w:firstLine="449"/>
        <w:spacing w:after="0" w:line="268" w:lineRule="auto"/>
        <w:tabs>
          <w:tab w:leader="none" w:pos="621"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three Class III directors, each of whom is currently serving on the Company’s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each to serve a three-year term expiring at the Company’s 2029 annual meeting of stockholders and until his successor has been elected and qualified, or until his earlier resignation or removal.</w:t>
      </w:r>
    </w:p>
    <w:p>
      <w:pPr>
        <w:spacing w:after="0" w:line="201" w:lineRule="exact"/>
        <w:rPr>
          <w:rFonts w:ascii="Times New Roman" w:cs="Times New Roman" w:eastAsia="Times New Roman" w:hAnsi="Times New Roman"/>
          <w:sz w:val="18"/>
          <w:szCs w:val="18"/>
          <w:color w:val="auto"/>
        </w:rPr>
      </w:pPr>
    </w:p>
    <w:p>
      <w:pPr>
        <w:ind w:right="360" w:firstLine="449"/>
        <w:spacing w:after="0" w:line="282" w:lineRule="auto"/>
        <w:tabs>
          <w:tab w:leader="none" w:pos="621"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PricewaterhouseCoopers LLP as the Company’s independent registered public accounting firm for the fiscal year ending November 30, 2026.</w:t>
      </w:r>
    </w:p>
    <w:p>
      <w:pPr>
        <w:spacing w:after="0" w:line="188" w:lineRule="exact"/>
        <w:rPr>
          <w:rFonts w:ascii="Times New Roman" w:cs="Times New Roman" w:eastAsia="Times New Roman" w:hAnsi="Times New Roman"/>
          <w:sz w:val="18"/>
          <w:szCs w:val="18"/>
          <w:color w:val="auto"/>
        </w:rPr>
      </w:pPr>
    </w:p>
    <w:p>
      <w:pPr>
        <w:ind w:left="440" w:right="200" w:firstLine="9"/>
        <w:spacing w:after="0" w:line="563" w:lineRule="auto"/>
        <w:tabs>
          <w:tab w:leader="none" w:pos="6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 non-binding advisory basis, the compensation of the Company’s named executive officers as disclosed in the Proxy Statement. The final voting results for each of these proposals are detailed below.</w:t>
      </w:r>
    </w:p>
    <w:p>
      <w:pPr>
        <w:spacing w:after="0" w:line="5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Proposal 1. Election of Directors</w:t>
      </w:r>
    </w:p>
    <w:p>
      <w:pPr>
        <w:spacing w:after="0" w:line="146" w:lineRule="exact"/>
        <w:rPr>
          <w:sz w:val="20"/>
          <w:szCs w:val="20"/>
          <w:color w:val="auto"/>
        </w:rPr>
      </w:pPr>
    </w:p>
    <w:tbl>
      <w:tblPr>
        <w:tblLayout w:type="fixed"/>
        <w:tblInd w:w="430" w:type="dxa"/>
        <w:tblCellMar>
          <w:top w:w="0" w:type="dxa"/>
          <w:left w:w="0" w:type="dxa"/>
          <w:bottom w:w="0" w:type="dxa"/>
          <w:right w:w="0" w:type="dxa"/>
        </w:tblCellMar>
      </w:tblPr>
      <w:tr>
        <w:trPr>
          <w:trHeight w:val="256"/>
        </w:trPr>
        <w:tc>
          <w:tcPr>
            <w:tcW w:w="2760" w:type="dxa"/>
            <w:vAlign w:val="bottom"/>
            <w:tcBorders>
              <w:top w:val="single" w:sz="8" w:color="auto"/>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Nominee</w:t>
            </w:r>
          </w:p>
        </w:tc>
        <w:tc>
          <w:tcPr>
            <w:tcW w:w="19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Votes For</w:t>
            </w:r>
          </w:p>
        </w:tc>
        <w:tc>
          <w:tcPr>
            <w:tcW w:w="1960" w:type="dxa"/>
            <w:vAlign w:val="bottom"/>
            <w:tcBorders>
              <w:top w:val="single" w:sz="8" w:color="auto"/>
              <w:right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Votes Withheld</w:t>
            </w:r>
          </w:p>
        </w:tc>
        <w:tc>
          <w:tcPr>
            <w:tcW w:w="19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27"/>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r>
      <w:tr>
        <w:trPr>
          <w:trHeight w:val="237"/>
        </w:trPr>
        <w:tc>
          <w:tcPr>
            <w:tcW w:w="27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Arthur T. Sands, M.D., Ph.D.</w:t>
            </w:r>
          </w:p>
        </w:tc>
        <w:tc>
          <w:tcPr>
            <w:tcW w:w="1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63,592,948</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16,334,570</w:t>
            </w:r>
          </w:p>
        </w:tc>
        <w:tc>
          <w:tcPr>
            <w:tcW w:w="1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3,819,495</w:t>
            </w:r>
          </w:p>
        </w:tc>
      </w:tr>
      <w:tr>
        <w:trPr>
          <w:trHeight w:val="27"/>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r>
      <w:tr>
        <w:trPr>
          <w:trHeight w:val="237"/>
        </w:trPr>
        <w:tc>
          <w:tcPr>
            <w:tcW w:w="27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Roger Dansey, M.D.</w:t>
            </w:r>
          </w:p>
        </w:tc>
        <w:tc>
          <w:tcPr>
            <w:tcW w:w="1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79,607,489</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320,029</w:t>
            </w:r>
          </w:p>
        </w:tc>
        <w:tc>
          <w:tcPr>
            <w:tcW w:w="1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3,819,495</w:t>
            </w:r>
          </w:p>
        </w:tc>
      </w:tr>
      <w:tr>
        <w:trPr>
          <w:trHeight w:val="27"/>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r>
      <w:tr>
        <w:trPr>
          <w:trHeight w:val="237"/>
        </w:trPr>
        <w:tc>
          <w:tcPr>
            <w:tcW w:w="27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Paul M. Silva</w:t>
            </w:r>
          </w:p>
        </w:tc>
        <w:tc>
          <w:tcPr>
            <w:tcW w:w="1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59,298,612</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20,628,906</w:t>
            </w:r>
          </w:p>
        </w:tc>
        <w:tc>
          <w:tcPr>
            <w:tcW w:w="1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3,819,495</w:t>
            </w:r>
          </w:p>
        </w:tc>
      </w:tr>
      <w:tr>
        <w:trPr>
          <w:trHeight w:val="27"/>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r>
    </w:tbl>
    <w:p>
      <w:pPr>
        <w:spacing w:after="0" w:line="319" w:lineRule="exact"/>
        <w:rPr>
          <w:sz w:val="20"/>
          <w:szCs w:val="20"/>
          <w:color w:val="auto"/>
        </w:rPr>
      </w:pPr>
    </w:p>
    <w:p>
      <w:pPr>
        <w:ind w:right="280" w:firstLine="441"/>
        <w:spacing w:after="0" w:line="282" w:lineRule="auto"/>
        <w:rPr>
          <w:sz w:val="20"/>
          <w:szCs w:val="20"/>
          <w:color w:val="auto"/>
        </w:rPr>
      </w:pPr>
      <w:r>
        <w:rPr>
          <w:rFonts w:ascii="Times New Roman" w:cs="Times New Roman" w:eastAsia="Times New Roman" w:hAnsi="Times New Roman"/>
          <w:sz w:val="18"/>
          <w:szCs w:val="18"/>
          <w:color w:val="auto"/>
        </w:rPr>
        <w:t>Each of the three nominees for director was elected to serve until the Company’s 2029 annual meeting of stockholders and until his successor has been elected and qualified, or until his earlier resignation or removal.</w:t>
      </w:r>
    </w:p>
    <w:p>
      <w:pPr>
        <w:spacing w:after="0" w:line="29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Proposal 2. Ratification of Appointment of Independent Registered Public Accounting Firm</w:t>
      </w:r>
    </w:p>
    <w:p>
      <w:pPr>
        <w:spacing w:after="0" w:line="146" w:lineRule="exact"/>
        <w:rPr>
          <w:sz w:val="20"/>
          <w:szCs w:val="20"/>
          <w:color w:val="auto"/>
        </w:rPr>
      </w:pPr>
    </w:p>
    <w:tbl>
      <w:tblPr>
        <w:tblLayout w:type="fixed"/>
        <w:tblInd w:w="430" w:type="dxa"/>
        <w:tblCellMar>
          <w:top w:w="0" w:type="dxa"/>
          <w:left w:w="0" w:type="dxa"/>
          <w:bottom w:w="0" w:type="dxa"/>
          <w:right w:w="0" w:type="dxa"/>
        </w:tblCellMar>
      </w:tblPr>
      <w:tr>
        <w:trPr>
          <w:trHeight w:val="257"/>
        </w:trPr>
        <w:tc>
          <w:tcPr>
            <w:tcW w:w="198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19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19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19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7"/>
        </w:trPr>
        <w:tc>
          <w:tcPr>
            <w:tcW w:w="1980" w:type="dxa"/>
            <w:vAlign w:val="bottom"/>
            <w:tcBorders>
              <w:left w:val="single" w:sz="8" w:color="auto"/>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r>
      <w:tr>
        <w:trPr>
          <w:trHeight w:val="237"/>
        </w:trPr>
        <w:tc>
          <w:tcPr>
            <w:tcW w:w="1980" w:type="dxa"/>
            <w:vAlign w:val="bottom"/>
            <w:tcBorders>
              <w:left w:val="single" w:sz="8" w:color="auto"/>
              <w:right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83,555,977</w:t>
            </w:r>
          </w:p>
        </w:tc>
        <w:tc>
          <w:tcPr>
            <w:tcW w:w="1960" w:type="dxa"/>
            <w:vAlign w:val="bottom"/>
            <w:tcBorders>
              <w:right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166,391</w:t>
            </w:r>
          </w:p>
        </w:tc>
        <w:tc>
          <w:tcPr>
            <w:tcW w:w="1980" w:type="dxa"/>
            <w:vAlign w:val="bottom"/>
            <w:tcBorders>
              <w:right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rPr>
              <w:t>24,645</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7"/>
        </w:trPr>
        <w:tc>
          <w:tcPr>
            <w:tcW w:w="1980" w:type="dxa"/>
            <w:vAlign w:val="bottom"/>
            <w:tcBorders>
              <w:left w:val="single" w:sz="8" w:color="auto"/>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r>
    </w:tbl>
    <w:p>
      <w:pPr>
        <w:spacing w:after="0" w:line="306" w:lineRule="exact"/>
        <w:rPr>
          <w:sz w:val="20"/>
          <w:szCs w:val="20"/>
          <w:color w:val="auto"/>
        </w:rPr>
      </w:pPr>
    </w:p>
    <w:p>
      <w:pPr>
        <w:ind w:right="140" w:firstLine="441"/>
        <w:spacing w:after="0" w:line="282" w:lineRule="auto"/>
        <w:rPr>
          <w:sz w:val="20"/>
          <w:szCs w:val="20"/>
          <w:color w:val="auto"/>
        </w:rPr>
      </w:pPr>
      <w:r>
        <w:rPr>
          <w:rFonts w:ascii="Times New Roman" w:cs="Times New Roman" w:eastAsia="Times New Roman" w:hAnsi="Times New Roman"/>
          <w:sz w:val="18"/>
          <w:szCs w:val="18"/>
          <w:color w:val="auto"/>
        </w:rPr>
        <w:t>The stockholders ratified the appointment of PricewaterhouseCoopers LLP as the Company’s independent registered public accounting firm for the fiscal year ending November 30, 2026.</w:t>
      </w:r>
    </w:p>
    <w:p>
      <w:pPr>
        <w:spacing w:after="0" w:line="29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Proposal 3. Approval, on a Non-binding Advisory Basis, of the Compensation of the Company’s Named Executive Officers</w:t>
      </w:r>
    </w:p>
    <w:p>
      <w:pPr>
        <w:spacing w:after="0" w:line="146" w:lineRule="exact"/>
        <w:rPr>
          <w:sz w:val="20"/>
          <w:szCs w:val="20"/>
          <w:color w:val="auto"/>
        </w:rPr>
      </w:pPr>
    </w:p>
    <w:tbl>
      <w:tblPr>
        <w:tblLayout w:type="fixed"/>
        <w:tblInd w:w="430" w:type="dxa"/>
        <w:tblCellMar>
          <w:top w:w="0" w:type="dxa"/>
          <w:left w:w="0" w:type="dxa"/>
          <w:bottom w:w="0" w:type="dxa"/>
          <w:right w:w="0" w:type="dxa"/>
        </w:tblCellMar>
      </w:tblPr>
      <w:tr>
        <w:trPr>
          <w:trHeight w:val="257"/>
        </w:trPr>
        <w:tc>
          <w:tcPr>
            <w:tcW w:w="198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19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19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19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7"/>
        </w:trPr>
        <w:tc>
          <w:tcPr>
            <w:tcW w:w="1980" w:type="dxa"/>
            <w:vAlign w:val="bottom"/>
            <w:tcBorders>
              <w:left w:val="single" w:sz="8" w:color="auto"/>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r>
      <w:tr>
        <w:trPr>
          <w:trHeight w:val="236"/>
        </w:trPr>
        <w:tc>
          <w:tcPr>
            <w:tcW w:w="1980" w:type="dxa"/>
            <w:vAlign w:val="bottom"/>
            <w:tcBorders>
              <w:left w:val="single" w:sz="8" w:color="auto"/>
              <w:right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72,458,920</w:t>
            </w:r>
          </w:p>
        </w:tc>
        <w:tc>
          <w:tcPr>
            <w:tcW w:w="1960" w:type="dxa"/>
            <w:vAlign w:val="bottom"/>
            <w:tcBorders>
              <w:right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6,895,394</w:t>
            </w:r>
          </w:p>
        </w:tc>
        <w:tc>
          <w:tcPr>
            <w:tcW w:w="1980" w:type="dxa"/>
            <w:vAlign w:val="bottom"/>
            <w:tcBorders>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573,204</w:t>
            </w:r>
          </w:p>
        </w:tc>
        <w:tc>
          <w:tcPr>
            <w:tcW w:w="1960" w:type="dxa"/>
            <w:vAlign w:val="bottom"/>
            <w:tcBorders>
              <w:right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3,819,495</w:t>
            </w:r>
          </w:p>
        </w:tc>
      </w:tr>
      <w:tr>
        <w:trPr>
          <w:trHeight w:val="27"/>
        </w:trPr>
        <w:tc>
          <w:tcPr>
            <w:tcW w:w="1980" w:type="dxa"/>
            <w:vAlign w:val="bottom"/>
            <w:tcBorders>
              <w:left w:val="single" w:sz="8" w:color="auto"/>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r>
    </w:tbl>
    <w:p>
      <w:pPr>
        <w:spacing w:after="0" w:line="3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stockholders approved, on a non-binding advisory basis, the compensation of the Company’s named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3" w:right="379" w:bottom="1440" w:gutter="0" w:footer="0" w:header="0"/>
        </w:sectPr>
      </w:pPr>
    </w:p>
    <w:bookmarkStart w:id="2" w:name="page3"/>
    <w:bookmarkEnd w:id="2"/>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ind w:left="640" w:hanging="632"/>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filed herewith and this list is intended to constitute the exhibit index:</w:t>
      </w:r>
    </w:p>
    <w:p>
      <w:pPr>
        <w:spacing w:after="0" w:line="275" w:lineRule="exact"/>
        <w:rPr>
          <w:sz w:val="20"/>
          <w:szCs w:val="20"/>
          <w:color w:val="auto"/>
        </w:rPr>
      </w:pPr>
    </w:p>
    <w:p>
      <w:pPr>
        <w:ind w:left="20"/>
        <w:spacing w:after="0"/>
        <w:tabs>
          <w:tab w:leader="none" w:pos="1580" w:val="left"/>
        </w:tabs>
        <w:rPr>
          <w:sz w:val="20"/>
          <w:szCs w:val="20"/>
          <w:color w:val="auto"/>
        </w:rPr>
      </w:pPr>
      <w:r>
        <w:rPr>
          <w:rFonts w:ascii="Times New Roman" w:cs="Times New Roman" w:eastAsia="Times New Roman" w:hAnsi="Times New Roman"/>
          <w:sz w:val="18"/>
          <w:szCs w:val="18"/>
          <w:b w:val="1"/>
          <w:bCs w:val="1"/>
          <w:color w:val="auto"/>
        </w:rPr>
        <w:t>Exhibit No.</w:t>
      </w:r>
      <w:r>
        <w:rPr>
          <w:sz w:val="20"/>
          <w:szCs w:val="20"/>
          <w:color w:val="auto"/>
        </w:rPr>
        <w:tab/>
      </w:r>
      <w:r>
        <w:rPr>
          <w:rFonts w:ascii="Times New Roman" w:cs="Times New Roman" w:eastAsia="Times New Roman" w:hAnsi="Times New Roman"/>
          <w:sz w:val="17"/>
          <w:szCs w:val="17"/>
          <w:b w:val="1"/>
          <w:bCs w:val="1"/>
          <w:color w:val="auto"/>
        </w:rPr>
        <w:t>Exhibit Title or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5" w:lineRule="exact"/>
        <w:rPr>
          <w:sz w:val="20"/>
          <w:szCs w:val="20"/>
          <w:color w:val="auto"/>
        </w:rPr>
      </w:pPr>
    </w:p>
    <w:p>
      <w:pPr>
        <w:ind w:left="1600" w:hanging="1574"/>
        <w:spacing w:after="0"/>
        <w:tabs>
          <w:tab w:leader="none" w:pos="16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 Page Interactive Data File (embedded within the Inline XBRL document)</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336" w:lineRule="exact"/>
        <w:rPr>
          <w:rFonts w:ascii="Times New Roman" w:cs="Times New Roman" w:eastAsia="Times New Roman" w:hAnsi="Times New Roman"/>
          <w:sz w:val="17"/>
          <w:szCs w:val="17"/>
          <w:color w:val="auto"/>
        </w:rPr>
      </w:pPr>
    </w:p>
    <w:p>
      <w:pPr>
        <w:ind w:left="55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43" w:right="1440" w:bottom="1440" w:gutter="0" w:footer="0" w:header="0"/>
        </w:sectPr>
      </w:pPr>
    </w:p>
    <w:bookmarkStart w:id="3" w:name="page4"/>
    <w:bookmarkEnd w:id="3"/>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12"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NURIX THERAPEUTICS, INC.</w:t>
      </w:r>
    </w:p>
    <w:p>
      <w:pPr>
        <w:spacing w:after="0" w:line="216" w:lineRule="exact"/>
        <w:rPr>
          <w:sz w:val="20"/>
          <w:szCs w:val="20"/>
          <w:color w:val="auto"/>
        </w:rPr>
      </w:pPr>
    </w:p>
    <w:p>
      <w:pPr>
        <w:ind w:left="20"/>
        <w:spacing w:after="0"/>
        <w:tabs>
          <w:tab w:leader="none" w:pos="5240" w:val="left"/>
          <w:tab w:leader="none" w:pos="5680" w:val="left"/>
        </w:tabs>
        <w:rPr>
          <w:sz w:val="20"/>
          <w:szCs w:val="20"/>
          <w:color w:val="auto"/>
        </w:rPr>
      </w:pPr>
      <w:r>
        <w:rPr>
          <w:rFonts w:ascii="Times New Roman" w:cs="Times New Roman" w:eastAsia="Times New Roman" w:hAnsi="Times New Roman"/>
          <w:sz w:val="18"/>
          <w:szCs w:val="18"/>
          <w:color w:val="auto"/>
        </w:rPr>
        <w:t>Date: May 15, 2026</w:t>
      </w:r>
      <w:r>
        <w:rPr>
          <w:sz w:val="20"/>
          <w:szCs w:val="20"/>
          <w:color w:val="auto"/>
        </w:rPr>
        <w:tab/>
      </w:r>
      <w:r>
        <w:rPr>
          <w:rFonts w:ascii="Times New Roman" w:cs="Times New Roman" w:eastAsia="Times New Roman" w:hAnsi="Times New Roman"/>
          <w:sz w:val="18"/>
          <w:szCs w:val="18"/>
          <w:color w:val="auto"/>
        </w:rPr>
        <w:t>By:</w:t>
        <w:tab/>
        <w:t>/s/ Christine 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34290</wp:posOffset>
            </wp:positionV>
            <wp:extent cx="35229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spacing w:after="0" w:line="5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Christine Ring, Ph.D., J.D.</w:t>
      </w:r>
    </w:p>
    <w:p>
      <w:pPr>
        <w:spacing w:after="0" w:line="63"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Chief Legal Officer</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4</w:t>
      </w:r>
    </w:p>
    <w:sectPr>
      <w:pgSz w:w="11900" w:h="16838" w:orient="portrait"/>
      <w:cols w:equalWidth="0" w:num="1">
        <w:col w:w="10940"/>
      </w:cols>
      <w:pgMar w:left="320" w:top="1143"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o"/>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lowerLetter"/>
      <w:start w:val="4"/>
    </w:lvl>
  </w:abstractNum>
  <w:abstractNum w:abstractNumId="3">
    <w:nsid w:val="625558EC"/>
    <w:multiLevelType w:val="hybridMultilevel"/>
    <w:lvl w:ilvl="0">
      <w:lvlJc w:val="left"/>
      <w:lvlText w:val="%1"/>
      <w:numFmt w:val="decimal"/>
      <w:start w:val="10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2026-05-15T15:14:39Z</dcterms:created>
  <dcterms:modified xsi:type="dcterms:W3CDTF">2026-05-15T15:14:39Z</dcterms:modified>
</cp:coreProperties>
</file>