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11"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16" w:lineRule="auto"/>
        <w:rPr>
          <w:sz w:val="20"/>
          <w:szCs w:val="20"/>
          <w:color w:val="auto"/>
        </w:rPr>
      </w:pPr>
      <w:r>
        <w:rPr>
          <w:rFonts w:ascii="Times New Roman" w:cs="Times New Roman" w:eastAsia="Times New Roman" w:hAnsi="Times New Roman"/>
          <w:sz w:val="20"/>
          <w:szCs w:val="20"/>
          <w:b w:val="1"/>
          <w:bCs w:val="1"/>
          <w:color w:val="auto"/>
        </w:rPr>
        <w:t>Washington, D.C. 20549</w:t>
      </w:r>
    </w:p>
    <w:p>
      <w:pPr>
        <w:ind w:left="41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ind w:left="4140"/>
        <w:spacing w:after="0" w:line="223" w:lineRule="auto"/>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November 30, 2024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6"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ectPr>
          <w:pgSz w:w="11900" w:h="16838" w:orient="portrait"/>
          <w:cols w:equalWidth="0" w:num="1">
            <w:col w:w="11220"/>
          </w:cols>
          <w:pgMar w:left="320" w:top="1205" w:right="359" w:bottom="1440" w:gutter="0" w:footer="0" w:header="0"/>
        </w:sectPr>
      </w:pPr>
    </w:p>
    <w:p>
      <w:pPr>
        <w:spacing w:after="0" w:line="5" w:lineRule="exact"/>
        <w:rPr>
          <w:sz w:val="24"/>
          <w:szCs w:val="24"/>
          <w:color w:val="auto"/>
        </w:rPr>
      </w:pPr>
    </w:p>
    <w:p>
      <w:pPr>
        <w:ind w:left="480"/>
        <w:spacing w:after="0"/>
        <w:tabs>
          <w:tab w:leader="none" w:pos="264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ectPr>
          <w:pgSz w:w="11900" w:h="16838" w:orient="portrait"/>
          <w:cols w:equalWidth="0" w:num="1">
            <w:col w:w="11220"/>
          </w:cols>
          <w:pgMar w:left="320" w:top="1205" w:right="359" w:bottom="1440" w:gutter="0" w:footer="0" w:header="0"/>
          <w:type w:val="continuous"/>
        </w:sectPr>
      </w:pPr>
    </w:p>
    <w:p>
      <w:pPr>
        <w:spacing w:after="0" w:line="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001-39398</w:t>
      </w:r>
    </w:p>
    <w:p>
      <w:pPr>
        <w:ind w:left="41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NURIX THERAPEUTICS, INC.</w:t>
      </w:r>
    </w:p>
    <w:p>
      <w:pPr>
        <w:jc w:val="center"/>
        <w:ind w:right="-39"/>
        <w:spacing w:after="0" w:line="219" w:lineRule="auto"/>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w:t>
      </w:r>
    </w:p>
    <w:p>
      <w:pPr>
        <w:sectPr>
          <w:pgSz w:w="11900" w:h="16838" w:orient="portrait"/>
          <w:cols w:equalWidth="0" w:num="1">
            <w:col w:w="11220"/>
          </w:cols>
          <w:pgMar w:left="320" w:top="1205" w:right="359" w:bottom="1440" w:gutter="0" w:footer="0" w:header="0"/>
          <w:type w:val="continuous"/>
        </w:sectPr>
      </w:pPr>
    </w:p>
    <w:p>
      <w:pPr>
        <w:spacing w:after="0" w:line="40"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27-0838048</w:t>
      </w:r>
    </w:p>
    <w:p>
      <w:pPr>
        <w:spacing w:after="0" w:line="68" w:lineRule="exact"/>
        <w:rPr>
          <w:sz w:val="24"/>
          <w:szCs w:val="24"/>
          <w:color w:val="auto"/>
        </w:rPr>
      </w:pPr>
    </w:p>
    <w:p>
      <w:pPr>
        <w:sectPr>
          <w:pgSz w:w="11900" w:h="16838" w:orient="portrait"/>
          <w:cols w:equalWidth="0" w:num="2">
            <w:col w:w="7360" w:space="720"/>
            <w:col w:w="3140"/>
          </w:cols>
          <w:pgMar w:left="320" w:top="1205" w:right="3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4" w:lineRule="exact"/>
        <w:rPr>
          <w:sz w:val="24"/>
          <w:szCs w:val="24"/>
          <w:color w:val="auto"/>
        </w:rPr>
      </w:pPr>
    </w:p>
    <w:p>
      <w:pPr>
        <w:sectPr>
          <w:pgSz w:w="11900" w:h="16838" w:orient="portrait"/>
          <w:cols w:equalWidth="0" w:num="2">
            <w:col w:w="7140" w:space="720"/>
            <w:col w:w="3360"/>
          </w:cols>
          <w:pgMar w:left="320" w:top="1205" w:right="3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1700 Owens Street, Suite 205</w:t>
      </w: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San Francisco, CA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94158</w:t>
      </w:r>
    </w:p>
    <w:p>
      <w:pPr>
        <w:spacing w:after="0" w:line="68" w:lineRule="exact"/>
        <w:rPr>
          <w:sz w:val="24"/>
          <w:szCs w:val="24"/>
          <w:color w:val="auto"/>
        </w:rPr>
      </w:pPr>
    </w:p>
    <w:p>
      <w:pPr>
        <w:sectPr>
          <w:pgSz w:w="11900" w:h="16838" w:orient="portrait"/>
          <w:cols w:equalWidth="0" w:num="2">
            <w:col w:w="7540" w:space="720"/>
            <w:col w:w="2960"/>
          </w:cols>
          <w:pgMar w:left="320" w:top="1205"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1" w:lineRule="exact"/>
        <w:rPr>
          <w:sz w:val="24"/>
          <w:szCs w:val="24"/>
          <w:color w:val="auto"/>
        </w:rPr>
      </w:pPr>
    </w:p>
    <w:p>
      <w:pPr>
        <w:sectPr>
          <w:pgSz w:w="11900" w:h="16838" w:orient="portrait"/>
          <w:cols w:equalWidth="0" w:num="2">
            <w:col w:w="7380" w:space="720"/>
            <w:col w:w="3120"/>
          </w:cols>
          <w:pgMar w:left="320" w:top="1205"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660-5320</w:t>
      </w:r>
    </w:p>
    <w:p>
      <w:pPr>
        <w:ind w:left="450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700" w:type="dxa"/>
            <w:vAlign w:val="bottom"/>
          </w:tcPr>
          <w:p>
            <w:pPr>
              <w:spacing w:after="0"/>
              <w:rPr>
                <w:sz w:val="16"/>
                <w:szCs w:val="16"/>
                <w:color w:val="auto"/>
              </w:rPr>
            </w:pPr>
          </w:p>
        </w:tc>
      </w:tr>
      <w:tr>
        <w:trPr>
          <w:trHeight w:val="23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8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NRIX</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42" w:lineRule="exact"/>
        <w:rPr>
          <w:sz w:val="24"/>
          <w:szCs w:val="24"/>
          <w:color w:val="auto"/>
        </w:rPr>
      </w:pPr>
    </w:p>
    <w:p>
      <w:pPr>
        <w:ind w:right="3600"/>
        <w:spacing w:after="0" w:line="311"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p>
    <w:p>
      <w:pPr>
        <w:spacing w:after="0" w:line="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1260"/>
              <w:spacing w:after="0"/>
              <w:rPr>
                <w:sz w:val="20"/>
                <w:szCs w:val="20"/>
                <w:color w:val="auto"/>
              </w:rPr>
            </w:pPr>
            <w:r>
              <w:rPr>
                <w:rFonts w:ascii="Wingdings" w:cs="Wingdings" w:eastAsia="Wingdings" w:hAnsi="Wingdings"/>
                <w:sz w:val="14"/>
                <w:szCs w:val="14"/>
                <w:b w:val="1"/>
                <w:bCs w:val="1"/>
                <w:color w:val="auto"/>
                <w:highlight w:val="black"/>
              </w:rPr>
              <w:t>x</w:t>
            </w:r>
          </w:p>
        </w:tc>
        <w:tc>
          <w:tcPr>
            <w:tcW w:w="3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Accelerated filer</w:t>
            </w:r>
          </w:p>
        </w:tc>
        <w:tc>
          <w:tcPr>
            <w:tcW w:w="140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w w:val="79"/>
              </w:rPr>
              <w:t>o</w:t>
            </w: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rPr>
              <w:t>o</w:t>
            </w:r>
          </w:p>
        </w:tc>
        <w:tc>
          <w:tcPr>
            <w:tcW w:w="35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0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w w:val="79"/>
              </w:rPr>
              <w:t>o</w:t>
            </w: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080" w:type="dxa"/>
            <w:vAlign w:val="bottom"/>
          </w:tcPr>
          <w:p>
            <w:pPr>
              <w:ind w:left="1280"/>
              <w:spacing w:after="0"/>
              <w:rPr>
                <w:sz w:val="20"/>
                <w:szCs w:val="20"/>
                <w:color w:val="auto"/>
              </w:rPr>
            </w:pPr>
            <w:r>
              <w:rPr>
                <w:rFonts w:ascii="Wingdings" w:cs="Wingdings" w:eastAsia="Wingdings" w:hAnsi="Wingdings"/>
                <w:sz w:val="14"/>
                <w:szCs w:val="14"/>
                <w:b w:val="1"/>
                <w:bCs w:val="1"/>
                <w:color w:val="auto"/>
                <w:highlight w:val="black"/>
              </w:rPr>
              <w:t>o</w:t>
            </w:r>
          </w:p>
        </w:tc>
        <w:tc>
          <w:tcPr>
            <w:tcW w:w="354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109"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p>
    <w:p>
      <w:pPr>
        <w:spacing w:after="0" w:line="42"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highlight w:val="black"/>
        </w:rPr>
        <w:t>x</w:t>
      </w:r>
    </w:p>
    <w:p>
      <w:pPr>
        <w:spacing w:after="0" w:line="1" w:lineRule="exact"/>
        <w:rPr>
          <w:sz w:val="24"/>
          <w:szCs w:val="24"/>
          <w:color w:val="auto"/>
        </w:rPr>
      </w:pPr>
    </w:p>
    <w:p>
      <w:pPr>
        <w:jc w:val="both"/>
        <w:ind w:right="140"/>
        <w:spacing w:after="0" w:line="243"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the Registrant’s common stock on May 31, 2024 (the last business day of the Registrant’s most recently completed second fiscal quarter) as reported by the Nasdaq Global Market on such date was approximately $995.9 million. This calculation does not reflect 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determination that certain persons are affiliates of the Registrant for any other purpose.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24, 2025, the Registrant had 75,886,817 shares of common stock, $0.001 par value per share, outstanding.</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7" w:lineRule="exact"/>
        <w:rPr>
          <w:sz w:val="24"/>
          <w:szCs w:val="24"/>
          <w:color w:val="auto"/>
        </w:rPr>
      </w:pPr>
    </w:p>
    <w:p>
      <w:pPr>
        <w:jc w:val="both"/>
        <w:ind w:right="120"/>
        <w:spacing w:after="0" w:line="234" w:lineRule="auto"/>
        <w:rPr>
          <w:sz w:val="20"/>
          <w:szCs w:val="20"/>
          <w:color w:val="auto"/>
        </w:rPr>
      </w:pPr>
      <w:r>
        <w:rPr>
          <w:rFonts w:ascii="Times New Roman" w:cs="Times New Roman" w:eastAsia="Times New Roman" w:hAnsi="Times New Roman"/>
          <w:sz w:val="14"/>
          <w:szCs w:val="14"/>
          <w:color w:val="auto"/>
        </w:rPr>
        <w:t>Certain sections of the Registrant’s definitive Proxy Statement to be filed in connection with the Registrant’s 2025 Annual Meeting of Stockholders are incorporated by reference into Part III of this Annual Report on Form 10-K where indicated. Such definitive Proxy Statement will be filed with the Securities and Exchange Commission pursuant to Regulation 14A within 120 days of the Registrant’s fiscal year ended November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8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400" w:type="dxa"/>
            <w:vAlign w:val="bottom"/>
            <w:gridSpan w:val="2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1B.</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000" w:type="dxa"/>
            <w:vAlign w:val="bottom"/>
            <w:gridSpan w:val="1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040" w:type="dxa"/>
            <w:vAlign w:val="bottom"/>
            <w:gridSpan w:val="1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700" w:type="dxa"/>
            <w:vAlign w:val="bottom"/>
            <w:gridSpan w:val="1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54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50"/>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8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8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8.</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6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9A.</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72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50"/>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9C.</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54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10.</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0"/>
                <w:szCs w:val="20"/>
                <w:color w:val="auto"/>
              </w:rPr>
            </w:pPr>
          </w:p>
        </w:tc>
        <w:tc>
          <w:tcPr>
            <w:tcW w:w="496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12.</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6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60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54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16.</w:t>
            </w: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5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053"/>
        </w:trPr>
        <w:tc>
          <w:tcPr>
            <w:tcW w:w="13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31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08"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All statements contained in this Annual Report on Form 10-K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82" w:lineRule="exact"/>
        <w:rPr>
          <w:sz w:val="20"/>
          <w:szCs w:val="20"/>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 programs for our lead drug candidates NX-5948, NX-2127 and NX-1607 and other drug candidates, including statements regarding the timing of data and anticipated announcements, the selection of new development candidates and the initiation of clinical trials;</w:t>
      </w:r>
    </w:p>
    <w:p>
      <w:pPr>
        <w:spacing w:after="0" w:line="82"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marketing approvals for our lead drug candidates NX-5948, NX-2127 and NX-1607 and other drug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investigational new drug application (IND) submissions for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DEL-AI platform, our drug candidates and degrader antibody conjugates (DACs);</w:t>
      </w:r>
    </w:p>
    <w:p>
      <w:pPr>
        <w:spacing w:after="0" w:line="10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scientific approach, our DEL-AI platform, protein degradation, antibody-drug conjugation, and DACs may potentially address a broad range of diseases;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arrangements with Gilead Sciences, Inc., Sanofi S.A. and Seagen Inc. (now a part of Pfizer Inc.);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 from future sales of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manufacturing of our drug candidates;</w:t>
      </w:r>
    </w:p>
    <w:p>
      <w:pPr>
        <w:spacing w:after="0" w:line="103"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global business, political and macroeconomic conditions, including inflation, interest rate fluctuations and volatile market conditions, uncertainty with respect to the federal budget and debt ceiling and potential government shutdowns related thereto, cybersecurity events, instability in the global banking system, and global events, including regional conflicts around the world, on our business, clinical trials, financial condition, liquidity and results of operations;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achievement of milestones and receipt of royalty payments under our collaborations;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4" w:lineRule="exact"/>
        <w:rPr>
          <w:sz w:val="20"/>
          <w:szCs w:val="20"/>
          <w:color w:val="auto"/>
        </w:rPr>
      </w:pPr>
    </w:p>
    <w:p>
      <w:pPr>
        <w:ind w:right="20" w:firstLine="648"/>
        <w:spacing w:after="0" w:line="212" w:lineRule="exact"/>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These risks include, among others, the following:</w:t>
      </w:r>
    </w:p>
    <w:p>
      <w:pPr>
        <w:spacing w:after="0" w:line="40" w:lineRule="exact"/>
        <w:rPr>
          <w:sz w:val="20"/>
          <w:szCs w:val="20"/>
          <w:color w:val="auto"/>
        </w:rPr>
      </w:pPr>
    </w:p>
    <w:p>
      <w:pPr>
        <w:ind w:left="660" w:right="2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at least the next several years and may never achieve or maintain profitability.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0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660" w:right="10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may increase the difficulty and cost for us, and any collaborators, to obtain marketing approval of and commercialize our drug candidates and affect the prices we, or they, may obtain.</w:t>
      </w:r>
    </w:p>
    <w:p>
      <w:pPr>
        <w:spacing w:after="0" w:line="54" w:lineRule="exact"/>
        <w:rPr>
          <w:rFonts w:ascii="Times New Roman" w:cs="Times New Roman" w:eastAsia="Times New Roman" w:hAnsi="Times New Roman"/>
          <w:sz w:val="18"/>
          <w:szCs w:val="18"/>
          <w:color w:val="auto"/>
        </w:rPr>
      </w:pPr>
    </w:p>
    <w:p>
      <w:pPr>
        <w:ind w:left="660" w:right="70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early-stage clinical trials may not be predictive of future results. Initial success in clinical trials may not be indicative of results obtained in later-stage trials or when these trials are completed.</w:t>
      </w:r>
    </w:p>
    <w:p>
      <w:pPr>
        <w:spacing w:after="0" w:line="40"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1"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spacing w:after="0" w:line="61"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5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82" w:lineRule="exact"/>
        <w:rPr>
          <w:rFonts w:ascii="Times New Roman" w:cs="Times New Roman" w:eastAsia="Times New Roman" w:hAnsi="Times New Roman"/>
          <w:sz w:val="18"/>
          <w:szCs w:val="18"/>
          <w:color w:val="auto"/>
        </w:rPr>
      </w:pPr>
    </w:p>
    <w:p>
      <w:pPr>
        <w:ind w:left="660" w:right="6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86"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stock price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 w:name="page5"/>
    <w:bookmarkEnd w:id="4"/>
    <w:p>
      <w:pPr>
        <w:ind w:left="328" w:right="340"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67" w:lineRule="exact"/>
        <w:rPr>
          <w:rFonts w:ascii="Times New Roman" w:cs="Times New Roman" w:eastAsia="Times New Roman" w:hAnsi="Times New Roman"/>
          <w:sz w:val="18"/>
          <w:szCs w:val="18"/>
          <w:color w:val="auto"/>
        </w:rPr>
      </w:pPr>
    </w:p>
    <w:p>
      <w:pPr>
        <w:ind w:left="328" w:hanging="328"/>
        <w:spacing w:after="0" w:line="296" w:lineRule="auto"/>
        <w:tabs>
          <w:tab w:leader="none" w:pos="32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200" w:lineRule="exact"/>
        <w:rPr>
          <w:sz w:val="20"/>
          <w:szCs w:val="20"/>
          <w:color w:val="auto"/>
        </w:rPr>
      </w:pPr>
    </w:p>
    <w:p>
      <w:pPr>
        <w:spacing w:after="0" w:line="330"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3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When used in this report, unless otherwise indicated, “Nurix,” “Company,” “we,” “us” and “our” refers to Nurix Therapeutics, Inc. and its wholly owned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artificial intelligence (AI)-integrated discovery engine capable of tackling any protein class, and coupled with leading ligase expertise, Nurix has built a significant advantage in translating the science of protein degradation into clinical advancements with the aim of establishing degrader-based treatments at the forefront of patient care. Our wholly owned, clinical stage pipeline includes three investigational drug candidates designed with the goal to be first-in-class or best-in-class therapeutics: NX-5948, a highly selective degrader of Bruton’s tyrosine kinase (BTK); NX-2127, a dual degrader of BTK and transcription factors IKZF1(Ikaros) and IKZF3 (Aiolos); and NX-1607, an inhibitor of Casitas B-lineage lymphoma proto-oncogene B (CBL-B), an E3 ligase that regulates activation of multiple immune cell types including T cells and NK cells. We are also advancing multiple potentially first-in-class or best-in-class degraders and degrader antibody conjugates (DACs) in our preclinical pipeline. Our partnered drug discovery pipeline consists of preclinical stage degraders of IRAK4, STAT6 and multiple currently undisclosed targets under collaboration agreements with Gilead Sciences, Inc. (Gilead), Sanofi S.A. (Sanofi) and Pfizer Inc. (Pfizer). Within these collaborations, we retain certain options for co-development, co-commercialization and profit sharing in the United States for multiple drug candidates. Both our wholly owned and partnered pipelines are driven by our DEL-AI discovery engine which employs advanced machine learning to enable all aspects of discovery, starting with DNA encoded library (DEL) hit-finding and degrader design, followed by automated chemistry synthesis and direct-to-biology screening and optimization, to rapidly generate degraders and DACs as new chemical entity drug candidates. By leveraging hundreds of billions of DEL compound binding signatures derived from thousands of DEL affinity screens collected from a diverse set of highly validated protein targets, our DEL-AI engine can prospectively identify binders as starting points for drug discovery for virtually any pharmaceutically relevant target.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and Preclinical Development Pipeline</w:t>
      </w:r>
    </w:p>
    <w:p>
      <w:pPr>
        <w:spacing w:after="0" w:line="12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Our wholly owned pipeline of drug candidates comprises three clinical stage oncology programs and multiple preclinical stage Targeted Protein Degrader (TPD) and Degrader Antibody Conjugate (DAC) programs spanning the therapeutic areas of oncology, inflammation and immunology. Our partnered pipeline further expands our reach into rheumatoid arthritis and Type 2 inflammation, as well as solid tumor oncology via multiple undisclosed programs. This combination of wholly owned and partnered portfolios across a range of indications and modalities demonstrates our ability to discover and advance novel medicines, many of which selectively target disease proteins previously thought to be undruggable. The following chart summarizes our clinical and preclinical pipelines and ongoing clinical studies:</w:t>
      </w:r>
    </w:p>
    <w:p>
      <w:pPr>
        <w:spacing w:after="0" w:line="200" w:lineRule="exact"/>
        <w:rPr>
          <w:sz w:val="20"/>
          <w:szCs w:val="20"/>
          <w:color w:val="auto"/>
        </w:rPr>
      </w:pPr>
    </w:p>
    <w:p>
      <w:pPr>
        <w:spacing w:after="0" w:line="37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826135</wp:posOffset>
            </wp:positionV>
            <wp:extent cx="5657850" cy="2751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65785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Pipeline</w:t>
      </w:r>
    </w:p>
    <w:p>
      <w:pPr>
        <w:spacing w:after="0" w:line="80" w:lineRule="exact"/>
        <w:rPr>
          <w:sz w:val="20"/>
          <w:szCs w:val="20"/>
          <w:color w:val="auto"/>
        </w:rPr>
      </w:pPr>
    </w:p>
    <w:p>
      <w:pPr>
        <w:ind w:right="20" w:firstLine="648"/>
        <w:spacing w:after="0" w:line="231" w:lineRule="exact"/>
        <w:rPr>
          <w:sz w:val="20"/>
          <w:szCs w:val="20"/>
          <w:color w:val="auto"/>
        </w:rPr>
      </w:pPr>
      <w:r>
        <w:rPr>
          <w:rFonts w:ascii="Times New Roman" w:cs="Times New Roman" w:eastAsia="Times New Roman" w:hAnsi="Times New Roman"/>
          <w:sz w:val="18"/>
          <w:szCs w:val="18"/>
          <w:color w:val="auto"/>
        </w:rPr>
        <w:t>Our portfolio of targeted protein degraders of the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BTK comprises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investigational, orally bioavailable, highly selective BTK degrader for the treatment of relapsed or refractory B-cell malignancies and potentially autoimmune diseases,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investigational, orally bioavailable degrader that simultaneously degrades BTK and two well-characterized cereblon neosubstrates IKZF1 (Ikaros) and IKZF3 (Aiolos) that are clinically validated transcription factor targets for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w:t>
      </w:r>
    </w:p>
    <w:p>
      <w:pPr>
        <w:spacing w:after="0" w:line="4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Status of NX-5948: </w:t>
      </w:r>
      <w:r>
        <w:rPr>
          <w:rFonts w:ascii="Times New Roman" w:cs="Times New Roman" w:eastAsia="Times New Roman" w:hAnsi="Times New Roman"/>
          <w:sz w:val="18"/>
          <w:szCs w:val="18"/>
          <w:color w:val="auto"/>
        </w:rPr>
        <w:t>We are currently conducting a Phase 1b cohort expansion study of NX-5948 in patients with relapsed or refractory B-cell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malignancies. In January 2024, the U.S. Food and Drug Administration (FDA) granted Fast Track designation for NX-5948 for the treatment of adult patients with relapsed or refractory chronic lymphocytic leukemia (CLL) or small lymphocytic lymphoma (SLL) after at least two lines of therapy, including a BTK inhibitor and a B-cell lymphoma 2 (BCL2) inhibitor. In November 2024, the European Medicines Agency (EMA) granted Priority Medicine (PRIME) designation for NX-5948 in CLL or SLL after at least a BTK inhibitor and a BCL-2 inhibitor. In December 2024, the FDA granted Fast Track designation for NX-5948 for the treatment of adult patients with Waldenstrom’s macroglobulinemia (WM) after at least two lines of therapy, including a BTK inhibitor.</w:t>
      </w:r>
    </w:p>
    <w:p>
      <w:pPr>
        <w:spacing w:after="0" w:line="31" w:lineRule="exact"/>
        <w:rPr>
          <w:sz w:val="20"/>
          <w:szCs w:val="20"/>
          <w:color w:val="auto"/>
        </w:rPr>
      </w:pPr>
    </w:p>
    <w:p>
      <w:pPr>
        <w:ind w:right="120" w:firstLine="648"/>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Status of NX</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2127: </w:t>
      </w:r>
      <w:r>
        <w:rPr>
          <w:rFonts w:ascii="Times New Roman" w:cs="Times New Roman" w:eastAsia="Times New Roman" w:hAnsi="Times New Roman"/>
          <w:sz w:val="18"/>
          <w:szCs w:val="18"/>
          <w:color w:val="auto"/>
        </w:rPr>
        <w:t>We are currently conducting a Phase 1a/1b dose-escalation and cohort expansion study of NX-2127 in patients with relapsed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refractory B-cell malignancies. We previously initiated Phase 1b expansion cohorts for patients with relapsed CLL, diffuse large B-cell lymphoma (DLBCL) and mantle cell lymphoma (MCL). Enrollment was paused in 2023 due to a partial clinical hold stemming from a manufacturing change designed to produce a chirally controlled form of NX-2127. Enrollment of new patients in this clinical trial recommenced in August 2024 following resolution of the partial hold by the FDA. Dose escalation with the new drug form is ongoing with a focus on patients with aggressive forms of B-cell lymphoma, such as DLBCL and MCL.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1018540</wp:posOffset>
            </wp:positionH>
            <wp:positionV relativeFrom="paragraph">
              <wp:posOffset>-746760</wp:posOffset>
            </wp:positionV>
            <wp:extent cx="6413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5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addition to our BTK degrader portfolio, we are also advancing a novel immune-oncology inhibitor of the E3 ligase CBL-B. CBL-B is a RING-type E3 ligase that regulates the activation of multiple immune cell types including T cells and NK cells through protein degradation. NX-1607 is an orally bioavailable inhibitor of CBL-B that has the potential to relieve T cell anergy and promote anti-cancer immune cell activity. NX-1607 is currently being explored in a variety of solid tumor indications.</w:t>
      </w:r>
    </w:p>
    <w:p>
      <w:pPr>
        <w:spacing w:after="0" w:line="7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Status of NX-1607: </w:t>
      </w:r>
      <w:r>
        <w:rPr>
          <w:rFonts w:ascii="Times New Roman" w:cs="Times New Roman" w:eastAsia="Times New Roman" w:hAnsi="Times New Roman"/>
          <w:sz w:val="18"/>
          <w:szCs w:val="18"/>
          <w:color w:val="auto"/>
        </w:rPr>
        <w:t>We are currently conducting a Phase 1a/1b dose-escalation and cohort expansion study of NX-1607 in patients with a range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oncology indications. This study also includes a cohort within the Phase 1a dose escalation study testing NX-1607 in combination with paclitaxel, a taxane chemotherapy commonly used across a range of relapsed and refractory solid tumor indications. In 2022, NX-1607 was awarded an Innovation Passport from the United Kingdom (UK) Medicines and Healthcare products Regulatory Agency to accelerate time to market and facilitate patient access to novel drugs to treat serious and life-threatening diseases.</w:t>
      </w:r>
    </w:p>
    <w:p>
      <w:pPr>
        <w:spacing w:after="0" w:line="200" w:lineRule="exact"/>
        <w:rPr>
          <w:sz w:val="20"/>
          <w:szCs w:val="20"/>
          <w:color w:val="auto"/>
        </w:rPr>
      </w:pPr>
    </w:p>
    <w:p>
      <w:pPr>
        <w:spacing w:after="0" w:line="37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Pipeline</w:t>
      </w:r>
    </w:p>
    <w:p>
      <w:pPr>
        <w:spacing w:after="0" w:line="121"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In addition to our clinical stage drug candidates, we are advancing multiple preclinical-stage programs within our protein degradation portfolio, both on our own and with partners, by developing new targeted protein degraders and degrader antibody conjugates for several therapeutic indications that currently lack treatment options or where current therapies are ineffective. These existing and future programs have the potential to provide patients with better options in therapeutic indications with significant unmet needs, including cancer, inflammation, autoimmunity and other challenging therapeutic areas.</w:t>
      </w:r>
    </w:p>
    <w:p>
      <w:pPr>
        <w:spacing w:after="0" w:line="8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We have entered into several revenue generating collaborations with large biopharmaceutical companies, including Gilead, Sanofi and Pfizer, to leverage our DEL-AI platform for drug discovery. As of November 30, 2024, we have received a total of $435.0 million in non-dilutive financing from our collaborators, and we are eligible to receive up to $7.1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strategy is to discover and develop breakthrough therapies for patients with significant unmet clinical need by developing highly</w:t>
      </w:r>
    </w:p>
    <w:p>
      <w:pPr>
        <w:spacing w:after="0" w:line="27"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differentiated targeted protein degrader drugs that eliminate disease-causing or disease-associated biological targets that to date have been ineffectively drugged or have been considered undruggable with existing modalities. The key elements of our strategy are to:</w:t>
      </w:r>
    </w:p>
    <w:p>
      <w:pPr>
        <w:spacing w:after="0" w:line="68" w:lineRule="exact"/>
        <w:rPr>
          <w:sz w:val="20"/>
          <w:szCs w:val="20"/>
          <w:color w:val="auto"/>
        </w:rPr>
      </w:pPr>
    </w:p>
    <w:p>
      <w:pPr>
        <w:ind w:left="660" w:right="260" w:hanging="328"/>
        <w:spacing w:after="0" w:line="25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our lead program, NX-5948, into late-stage clinical development in CLL and potentially other B-cell malignancies. </w:t>
      </w:r>
      <w:r>
        <w:rPr>
          <w:rFonts w:ascii="Times New Roman" w:cs="Times New Roman" w:eastAsia="Times New Roman" w:hAnsi="Times New Roman"/>
          <w:sz w:val="18"/>
          <w:szCs w:val="18"/>
          <w:color w:val="auto"/>
        </w:rPr>
        <w:t>Enrollment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ongoing in our Phase 1b clinical trial of NX-5948 in adults with relapsed or refractory B-cell malignancies. In 2025, we intend to commence enrollment of a suite of additional trials designed to support the potential future registration of the drug in multiple regulatory jurisdictions. We plan to leverage the Fast Track designation from the FDA in CLL and WM as well as the PRIME designation from the EMA to accelerate the clinical development and registrational path for NX-5948 in oncology.</w:t>
      </w:r>
    </w:p>
    <w:p>
      <w:pPr>
        <w:spacing w:after="0" w:line="65" w:lineRule="exact"/>
        <w:rPr>
          <w:rFonts w:ascii="Times New Roman" w:cs="Times New Roman" w:eastAsia="Times New Roman" w:hAnsi="Times New Roman"/>
          <w:sz w:val="18"/>
          <w:szCs w:val="18"/>
          <w:color w:val="auto"/>
        </w:rPr>
      </w:pPr>
    </w:p>
    <w:p>
      <w:pPr>
        <w:ind w:left="660" w:right="6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Explore the therapeutic applications of our lead BTK degrader, NX-5948, for the treatment of patients with diseases caused by inflammation and autoimmunity. </w:t>
      </w:r>
      <w:r>
        <w:rPr>
          <w:rFonts w:ascii="Times New Roman" w:cs="Times New Roman" w:eastAsia="Times New Roman" w:hAnsi="Times New Roman"/>
          <w:sz w:val="18"/>
          <w:szCs w:val="18"/>
          <w:color w:val="auto"/>
        </w:rPr>
        <w:t>BTK mediates signaling downstream of the B-cell receptor (BCR), toll-like receptors (TLRs), and Fc receptors (FcRs),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making it an attractive therapeutic target in antibody-mediated autoimmune and inflammatory diseases. Targeting BTK can reduce the production of new antibodies and mitigate inflammation induced by a variety of inflammatory signals, addressing key challenges in inflammatory and autoimmune diseases. We believe that NX-5948 may offer unique advantages over currently available BTK inhibitors in these disease indications by addressing both the enzymatic and scaffold activities of BTK, which are key to its function. In 2025, we plan to expand the current Phase 1b trial in patients with CLL to include patients who are also suffering from immune-mediated cytopenias such as anemia, a common co-morbidity associated with CLL. In 2025, we may further explore the utility of NX-5948 in autoimmune and inflammatory diseases with a separate clinical program which will require an IND with a separate division at the FDA.</w:t>
      </w:r>
    </w:p>
    <w:p>
      <w:pPr>
        <w:spacing w:after="0" w:line="6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Continue development of NX-2127 through dose escalation with a focus on aggressive lymphomas including MCL and DLBCL. </w:t>
      </w:r>
      <w:r>
        <w:rPr>
          <w:rFonts w:ascii="Times New Roman" w:cs="Times New Roman" w:eastAsia="Times New Roman" w:hAnsi="Times New Roman"/>
          <w:sz w:val="18"/>
          <w:szCs w:val="18"/>
          <w:color w:val="auto"/>
        </w:rPr>
        <w:t>Enrollment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patients in our Phase 1a/1b clinical trial of NX-2127 has resumed in adults with relapsed or refractory B-cell malignancies. In 2025, we expect to define doses to enable a Phase 1b cohort expansion.</w:t>
      </w:r>
    </w:p>
    <w:p>
      <w:pPr>
        <w:spacing w:after="0" w:line="56" w:lineRule="exact"/>
        <w:rPr>
          <w:rFonts w:ascii="Times New Roman" w:cs="Times New Roman" w:eastAsia="Times New Roman" w:hAnsi="Times New Roman"/>
          <w:sz w:val="18"/>
          <w:szCs w:val="18"/>
          <w:b w:val="1"/>
          <w:bCs w:val="1"/>
          <w:i w:val="1"/>
          <w:iCs w:val="1"/>
          <w:color w:val="auto"/>
        </w:rPr>
      </w:pPr>
    </w:p>
    <w:p>
      <w:pPr>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development of NX-1607 through dose escalation in a range of solid tumor indications. </w:t>
      </w:r>
      <w:r>
        <w:rPr>
          <w:rFonts w:ascii="Times New Roman" w:cs="Times New Roman" w:eastAsia="Times New Roman" w:hAnsi="Times New Roman"/>
          <w:sz w:val="18"/>
          <w:szCs w:val="18"/>
          <w:color w:val="auto"/>
        </w:rPr>
        <w:t>Enrollment is ongoing in our Phase 1a/1b trial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NX-1607 in adults with multiple solid tumor types. In 2025, we expect to define doses and potential indications to enable a Phase 1b cohort expansion.</w:t>
      </w:r>
    </w:p>
    <w:p>
      <w:pPr>
        <w:spacing w:after="0" w:line="56" w:lineRule="exact"/>
        <w:rPr>
          <w:rFonts w:ascii="Times New Roman" w:cs="Times New Roman" w:eastAsia="Times New Roman" w:hAnsi="Times New Roman"/>
          <w:sz w:val="18"/>
          <w:szCs w:val="18"/>
          <w:color w:val="auto"/>
        </w:rPr>
      </w:pPr>
    </w:p>
    <w:p>
      <w:pPr>
        <w:ind w:left="660" w:right="120" w:hanging="328"/>
        <w:spacing w:after="0" w:line="243"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Advance our portfolio of preclinical programs to generate development candidates and license agreements for our partnered pipeline.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efforts are focused on the advancement of a robust and sustainable pipeline in collaboration with our partners Gilead, Sanofi, and Pfizer. In our more mature partnerships with Gilead and Sanofi, multiple disclosed and undisclosed programs are advancing through lead optimization and IND-enablement. In March 2023, Gilead licensed our IRAK4 TPD program under the collaboration, and in March of 2024, Gilead extended the research term of multiple TPD programs. In April 2024, Sanofi extended its research term for a STAT6 targeted protein degrader with the goal of selecting a development candidate in the first half of 2025. In our partnership with Pfizer, which was announced in September 2023 under an agreement with Seagen, Inc., we have achieved two preclinical milestones to date, qualifying for $10.0 million in milestone payments. We expect to earn multiple additional preclinical and clinical milestones across our three active partnerships in 2025, which may allow us to secure additional license and development candidate events in subsequent years.</w:t>
      </w:r>
    </w:p>
    <w:p>
      <w:pPr>
        <w:spacing w:after="0" w:line="200" w:lineRule="exact"/>
        <w:rPr>
          <w:sz w:val="20"/>
          <w:szCs w:val="20"/>
          <w:color w:val="auto"/>
        </w:rPr>
      </w:pPr>
    </w:p>
    <w:p>
      <w:pPr>
        <w:spacing w:after="0" w:line="3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8" w:name="page9"/>
    <w:bookmarkEnd w:id="8"/>
    <w:p>
      <w:pPr>
        <w:ind w:left="328" w:right="40" w:hanging="328"/>
        <w:spacing w:after="0" w:line="257" w:lineRule="auto"/>
        <w:tabs>
          <w:tab w:leader="none" w:pos="32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 our proprietary portfolio of preclinical programs toward additional INDs. </w:t>
      </w:r>
      <w:r>
        <w:rPr>
          <w:rFonts w:ascii="Times New Roman" w:cs="Times New Roman" w:eastAsia="Times New Roman" w:hAnsi="Times New Roman"/>
          <w:sz w:val="17"/>
          <w:szCs w:val="17"/>
          <w:color w:val="auto"/>
        </w:rPr>
        <w:t>The leading edge of our proprietary preclinical portfolio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includes our pan-mutant BRAF program, which is designed to specifically target and degrade multiple mutant forms of the BRAF protein for the treatment of solid tumors including melanoma, colorectal cancer and non-small cell lung cancer. Lead compounds from this program show potency against the most common class I V600E BRAF mutation, but also potently degrade a broad spectrum of other BRAF driver mutations including those characterized as class II or III, all while sparing wild-type BRAF activity. The series of mutant BRAF degrader compounds has been optimized for oral bioavailability and CNS exposure, a profile that is critical in the setting of relapsed BRAF-driven disease. We believe our degraders will be clinically advantageous over existing therapies based on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preclinical models that show improved potency against clinically relevant BRAF mutations and superior efficacy compared to other clinical and preclinical BRAF and RAF agents. Our BRAF degraders are likely to provide a greater therapeutic window compared to existing BRAF agents because they avoid paradoxical pathway activation while preserving normal wild-type BRAF function. We believe that a pan-mutant BRAF degrader will provide more sustained MAPK pathway suppression through its catalytic mechanism of action with the potential to target relapsed and refractory BRAF-mutant positive class I patient populations as well as class II and III BRAF patients for which there exists no approved BRAF therapies. In addition to targeted protein degraders of mutant BRAF, we are advancing multiple other proprietary programs targeting mutant proteins or other disease-drivers that are currently at various stages of preclinical discovery from DNA-encoded library screening to lead optimization and development candidate nomination.</w:t>
      </w:r>
    </w:p>
    <w:p>
      <w:pPr>
        <w:spacing w:after="0" w:line="79" w:lineRule="exact"/>
        <w:rPr>
          <w:rFonts w:ascii="Times New Roman" w:cs="Times New Roman" w:eastAsia="Times New Roman" w:hAnsi="Times New Roman"/>
          <w:sz w:val="17"/>
          <w:szCs w:val="17"/>
          <w:color w:val="auto"/>
        </w:rPr>
      </w:pPr>
    </w:p>
    <w:p>
      <w:pPr>
        <w:ind w:left="328" w:hanging="328"/>
        <w:spacing w:after="0" w:line="243" w:lineRule="auto"/>
        <w:tabs>
          <w:tab w:leader="none" w:pos="3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a leading platform for discovery of degrader antibody conjugates. </w:t>
      </w:r>
      <w:r>
        <w:rPr>
          <w:rFonts w:ascii="Times New Roman" w:cs="Times New Roman" w:eastAsia="Times New Roman" w:hAnsi="Times New Roman"/>
          <w:sz w:val="18"/>
          <w:szCs w:val="18"/>
          <w:color w:val="auto"/>
        </w:rPr>
        <w:t>DACs combine the selective and potent catalytic activity of targeted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 degraders with the cell- and tissue-specific delivery capabilities of antibodies. DACs represent the next generation of antibody drug conjugate technology that is designed to allow for the application of uniquely targeted payloads that can deliver more precise drug action while also providing multiple layers of cellular and molecular selectivity to potentially achieve both enhanced safety and improved efficacy. As part of our strategy to accelerate DAC discovery and demonstrate value, we have partnered with Pfizer, the leading pharmaceutical company in the antibody drug conjugate space, to advance this cutting-edge modality. By combining Nurix’s experience in machine learning, automated chemistry and targeted protein degraders with Pfizer’s expertise in antibody conjugate design, optimization and development, we believe we can achieve technical synergies that could allow us to redefine the application of antibody conjugates for not only oncology but also non-oncology indications. In addition to the DACs in the Pfizer collaboration, we are pursuing multiple wholly owned DAC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67945</wp:posOffset>
            </wp:positionV>
            <wp:extent cx="2545715" cy="2897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4571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035" w:right="359" w:bottom="1440" w:gutter="0" w:footer="0" w:header="0"/>
        </w:sectPr>
      </w:pPr>
    </w:p>
    <w:bookmarkStart w:id="9" w:name="page10"/>
    <w:bookmarkEnd w:id="9"/>
    <w:p>
      <w:pPr>
        <w:ind w:left="660" w:right="20" w:hanging="328"/>
        <w:spacing w:after="0" w:line="24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proprietary pipeline by expanding the capabilities of our DEL-AI platform. </w:t>
      </w:r>
      <w:r>
        <w:rPr>
          <w:rFonts w:ascii="Times New Roman" w:cs="Times New Roman" w:eastAsia="Times New Roman" w:hAnsi="Times New Roman"/>
          <w:sz w:val="18"/>
          <w:szCs w:val="18"/>
          <w:color w:val="auto"/>
        </w:rPr>
        <w:t>Targeted protein degradation is rapidly becoming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therapeutic modality of choice for an increasing list of pharmaceutical targets. To unlock the full potential of TPD, it is essential to have ready access to chemical starting points for biological pathways and targets that historically have been considered undruggable but now are rendered tractable by this more versatile approach. We believe we are uniquely positioned to identify novel chemical starting points to undruggable proteins and ligases. We have developed a suite of AI tools applicable across the breadth of our technical workflows, but with a specific focus on prospective ligand discovery informed by our years of accumulated DEL know-how and screening data. Using our SP3-enriched, proprietary DNA-encoded libraries and complementary E3 ligase-enriched DEL screening data, we have created a leading AI-powered platform which is designed to quickly generate multiple potential starting points for degrader drugs, thereby opening access to hundreds of unprecedented drug targets and target families. Further, the predictive power of this platform extends our drug development capabilities into a broadening range of induced proximity modalities including novel molecular glue degraders and protein stabilizers. Our DEL-AI platform can reduce reliance on serial wet-lab protein chemistry and screening efforts on challenging targets and instead can provide nearly instant access to drug-like and selective DEL binders to potentially any target or target class. By employing advanced machine learning models informed by empirical degrader assay datasets we amassed, which include a compendium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pharmacokinetic and pharmacodynamic readouts from tens of thousands of targeted protein degrader compounds, we have the ability to reduce the number of design-make-test cycles in our optimization campaigns, eliminate optimization bottlenecks, and shorten the overall project timelines required to achieve desired TPD target product profiles. We plan to continue to invest in and leverage our purpose-built machine learning capabilities and DEL-AI research engine, which we believe will enable us to enhance our position as a leader in degrader drug discovery and deliver a robust and sustainable drug pipeline.</w:t>
      </w:r>
    </w:p>
    <w:p>
      <w:pPr>
        <w:spacing w:after="0" w:line="98" w:lineRule="exact"/>
        <w:rPr>
          <w:rFonts w:ascii="Times New Roman" w:cs="Times New Roman" w:eastAsia="Times New Roman" w:hAnsi="Times New Roman"/>
          <w:sz w:val="18"/>
          <w:szCs w:val="18"/>
          <w:color w:val="auto"/>
        </w:rPr>
      </w:pPr>
    </w:p>
    <w:p>
      <w:pPr>
        <w:ind w:left="660" w:hanging="328"/>
        <w:spacing w:after="0" w:line="244"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Explore additional strategic collaborations to maximize the commercial potential of our existing pipeline assets as well as our DEL-AI and DAC platforms. </w:t>
      </w:r>
      <w:r>
        <w:rPr>
          <w:rFonts w:ascii="Times New Roman" w:cs="Times New Roman" w:eastAsia="Times New Roman" w:hAnsi="Times New Roman"/>
          <w:sz w:val="18"/>
          <w:szCs w:val="18"/>
          <w:color w:val="auto"/>
        </w:rPr>
        <w:t>As of November 30, 2024, we have received a total of $435.0 million in non-dilutive funding from our collaborations, which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enabled us to invest in our own research and development activities. Under our Gilead, Sanofi and Pfizer collaborations, we have the potential to receive up to $7.1 billion in future fees and milestone payments, as well as royalties on future sales, and we retain certain options for co-development, co-commercialization and profit sharing in the United States for multiple drug candidates. We currently retain worldwide development and commercialization rights to our BTK and CBL-B clinical portfolios as well as numerous preclinical-stage projects, including our BRAF program. We intend to become a fully integrated biopharmaceutical company by building a targeted sales force in the United States and potentially other countries to support the commercialization of our approved drug candidates. In addition, we plan to selectively pursue technology collaborations and commercialization partnerships with partners whose capabilities complement our own, while retaining significant commercial rights in key geographic territories.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BTK’s role in B-cell malignancy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BTK is a key component of the B-cell receptor signaling pathway and has been clinically validated as a target in the treatment of B-cell</w:t>
      </w:r>
    </w:p>
    <w:p>
      <w:pPr>
        <w:spacing w:after="0" w:line="16"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18"/>
          <w:szCs w:val="18"/>
          <w:color w:val="auto"/>
        </w:rPr>
        <w:t>malignancies, most notably in CLL but also in NHL. It is estimated that in 2024, in the United States, over 20,000 patients were diagnosed with CLL and over 80,000 patients were diagnosed with NHLs. Approximately 85% of NHLs are a result of B-cell malignancies. The natural progression of NHL varies widely and takes multiple forms, ranging from aggressive subtypes such as DLBCL, to more indolent forms such as follicular lymphoma (FL).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on BTK inhibitors and immunomodulatory drugs for B-cell malignancies</w:t>
      </w:r>
    </w:p>
    <w:p>
      <w:pPr>
        <w:spacing w:after="0" w:line="119"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The first generation BTK inhibitor Imbruvica, or ibrutinib, is approved for the treatment of CLL, WM and chronic graft versus host disease. Second generation BTK inhibitors include Calquence, or acalabrutinib, which is approved for use in CLL and MCL, and Brukinsa, or zanubrutinib, which is approved for use in CLL, MCL, WM and marginal zone lymphoma (MZL). These BTK inhibitors bind covalently to cysteine C481 of the BTK protein and irreversibly inhibit BTK; however, all have some off-target binding to other kinases, which leads to unwanted side effects. In addition, acquired resistance, most commonly through mutations in C481, may limit the long-term efficacy of first and second generation covalent BTK inhibitors. A number of noncovalent BTK inhibitors are currently being investigated in clinical trials as potential therapies for patients with relapsed and refractory disease, including Jaypirca, or pirtobrutinib, which was recently approved for use in CLL and MCL. However, noncovalent inhibitors are also subject to acquired resistance, and treatment with such agents has led to the discovery of a broad range of new resistance mutations. Based on reported sales to date, we estimate that sales of BTK inhibitors were approximately $8.8 billion in 2023.</w:t>
      </w:r>
    </w:p>
    <w:p>
      <w:pPr>
        <w:spacing w:after="0" w:line="200" w:lineRule="exact"/>
        <w:rPr>
          <w:sz w:val="20"/>
          <w:szCs w:val="20"/>
          <w:color w:val="auto"/>
        </w:rPr>
      </w:pPr>
    </w:p>
    <w:p>
      <w:pPr>
        <w:spacing w:after="0" w:line="37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BTK degraders possess several unique properties that offer potential advantages over inhibitors:</w:t>
      </w:r>
    </w:p>
    <w:p>
      <w:pPr>
        <w:spacing w:after="0" w:line="100" w:lineRule="exact"/>
        <w:rPr>
          <w:sz w:val="20"/>
          <w:szCs w:val="20"/>
          <w:color w:val="auto"/>
        </w:rPr>
      </w:pPr>
    </w:p>
    <w:p>
      <w:pPr>
        <w:ind w:left="66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Addresses scaffold function of BTK</w:t>
      </w:r>
      <w:r>
        <w:rPr>
          <w:rFonts w:ascii="Times New Roman" w:cs="Times New Roman" w:eastAsia="Times New Roman" w:hAnsi="Times New Roman"/>
          <w:sz w:val="18"/>
          <w:szCs w:val="18"/>
          <w:color w:val="auto"/>
        </w:rPr>
        <w:t>. Removal of the BTK protein rather than inactivating the kinase domain addresses the scaffolding activity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BTK, more completely blocking the signaling activity of both wild-type and mutant forms of BTK.</w:t>
      </w:r>
    </w:p>
    <w:p>
      <w:pPr>
        <w:spacing w:after="0" w:line="33" w:lineRule="exact"/>
        <w:rPr>
          <w:rFonts w:ascii="Times New Roman" w:cs="Times New Roman" w:eastAsia="Times New Roman" w:hAnsi="Times New Roman"/>
          <w:sz w:val="18"/>
          <w:szCs w:val="18"/>
          <w:color w:val="auto"/>
        </w:rPr>
      </w:pPr>
    </w:p>
    <w:p>
      <w:pPr>
        <w:jc w:val="both"/>
        <w:ind w:left="660" w:right="5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 BTK inhibitor resistance mutations through event-driven pharmacology. </w:t>
      </w:r>
      <w:r>
        <w:rPr>
          <w:rFonts w:ascii="Times New Roman" w:cs="Times New Roman" w:eastAsia="Times New Roman" w:hAnsi="Times New Roman"/>
          <w:sz w:val="18"/>
          <w:szCs w:val="18"/>
          <w:color w:val="auto"/>
        </w:rPr>
        <w:t>BTK degraders do not require strong and prolonged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to BTK to trigger degradation, which increases the ability of degraders to act on mutated BTK and may decrease the probability of forming new resistance mutations.</w:t>
      </w:r>
    </w:p>
    <w:p>
      <w:pPr>
        <w:spacing w:after="0" w:line="56" w:lineRule="exact"/>
        <w:rPr>
          <w:rFonts w:ascii="Times New Roman" w:cs="Times New Roman" w:eastAsia="Times New Roman" w:hAnsi="Times New Roman"/>
          <w:sz w:val="18"/>
          <w:szCs w:val="18"/>
          <w:color w:val="auto"/>
        </w:rPr>
      </w:pPr>
    </w:p>
    <w:p>
      <w:pPr>
        <w:ind w:left="660" w:right="100" w:hanging="328"/>
        <w:spacing w:after="0" w:line="27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Catalytic activity</w:t>
      </w:r>
      <w:r>
        <w:rPr>
          <w:rFonts w:ascii="Times New Roman" w:cs="Times New Roman" w:eastAsia="Times New Roman" w:hAnsi="Times New Roman"/>
          <w:sz w:val="18"/>
          <w:szCs w:val="18"/>
          <w:color w:val="auto"/>
        </w:rPr>
        <w:t>. A single degrader molecule is able to trigger degradation of thousands of BTK target proteins sequentially without the need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constantly bound to the target.</w:t>
      </w:r>
    </w:p>
    <w:p>
      <w:pPr>
        <w:spacing w:after="0" w:line="6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that targeted protein degradation of BTK may be a superior approach to existing covalent or noncovalent BTK inhibitors, particularly in the relapsed and refractory setting, and in the setting of resistance mutations to both covalent and noncovalent inhibitors.</w:t>
      </w:r>
    </w:p>
    <w:p>
      <w:pPr>
        <w:spacing w:after="0" w:line="5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Immunomodulatory drugs, including Revlimid, or lenalidomide, and Pomalyst, or pomalidomide, are analogs of Thalomid, or thalidomide. These drugs possess several anti-tumor properties, including anti-angiogenic and anti-proliferative effects. They also have multiple effects on the immune system, including the enhancement of T-cell mediated and NK-cell mediated immunity. Revlimid, the market leader in this class by global sales, was first approved in 2006 for the treatment of multiple myeloma. In May 2019, Revlimid in combination with Rituxan received a supplemental indication approval for previously treated FL, MZL and MCL, and in August 2020, Revlimid in combination with Monjuvi received a supplemental indication in DLBCL, thus validating the importance of this drug class in these indications. Based on reported sales to date, global sales of this drug class, including Revlimid and Pomalyst, peaked in 2021 at approximately $16.2 billion, prior to the introduction of generic competition. Subsequent to their approval and successful commercialization, studies demonstrated that these immunomodulatory drugs exert their therapeutic effect by triggering the degradation of specific proteins including Ikaros and Aiolos through the E3 ligase activity of cereblon, and hence were identified retrospectively as the first approved drugs to target an E3 ligase.</w:t>
      </w:r>
    </w:p>
    <w:p>
      <w:pPr>
        <w:spacing w:after="0" w:line="9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Recently published studies have reported early clinical data showing that combining a BTK inhibitor with an immunomodulatory drug may have the potential to augment clinical activity of certain standard of care agents in some hematologic malignancies such as non-germinal center B-cell like (non-GCB) DLBCL. Further, earlier scientific publications have described synthetic lethality in a DLBCL cell line treated with both ibrutinib and lenalidomide. By targeting both BTK and cereblon-mediated immunomodulatory pathways simultaneously, it is believed that the survival mechanisms driven by accumulated mutations within certain cancers can be overcome, thereby preventing escape and disease relapse. This may be especially effective if each pathway not only has different functions but also shares certain critical components. One possible intersection pathway is the suppression of interferon regulatory factor 4 (IRF4), a member of a family of transcription factors leading to a cell-lethal increase in interferon production. The early clinical study referenced above was particularly noteworthy because, prior to that study, few combinations have produced promising results in DLBCL. The findings suggest that simultaneous degradation of BTK combined with cereblon-mediated immunomodulatory activity by a single agent could produce an additive or synergistic effect in certain B-cell malignancies.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advantages of BTK degraders</w:t>
      </w:r>
    </w:p>
    <w:p>
      <w:pPr>
        <w:spacing w:after="0" w:line="11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We have conducted extensive preclinical studies of our two clinical stage BTK degraders. We have demonstrated that both NX-5948 and NX-2127 can induce BTK degradation and inhibit tumor growth with oral administration in xenograft mouse models implanted with both wild-type and ibrutinib-resistant lymphoma cell lines. We have also demonstrated the ability of both NX-5948 and NX-2127 to degrade BTK in circulating B cells of non-human primates and in B-cell lymphoma patients following once daily oral dosing in ongoing Phase 1 trials. We have specifically designed NX-5948 to degrade BTK with limited or no degradation of cereblon neosubstrates.</w:t>
      </w:r>
    </w:p>
    <w:p>
      <w:pPr>
        <w:spacing w:after="0" w:line="200" w:lineRule="exact"/>
        <w:rPr>
          <w:sz w:val="20"/>
          <w:szCs w:val="20"/>
          <w:color w:val="auto"/>
        </w:rPr>
      </w:pPr>
    </w:p>
    <w:p>
      <w:pPr>
        <w:spacing w:after="0" w:line="3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603250</wp:posOffset>
            </wp:positionV>
            <wp:extent cx="2468880" cy="312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designed NX-2127 as a dual degrader of BTK and the cereblon neosubstrates Ikaros and Aiolos, for potential applications in indications where adding immunomodulatory activity may be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200660</wp:posOffset>
            </wp:positionV>
            <wp:extent cx="3120390" cy="2322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039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optimized NX-5948 and NX-2127 to be able to degrade both wild-type BTK and the C481S variant of BTK that has been identified as the most common mutation in patients who have become resistant to ibrutinib therapy over time. Both agents have subsequently demonstrated the ability to degrade additional mutant variants of BTK associated with resistance to BTK inhibitors including L528W, T474I, M437R and V416L.</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In our model of DLBCL cell line (TM8) harboring the most common resistance mutations, both NX-5948 and NX-2127 retained activity against all of the common clinical BTK inhibitor resistance mutations, while all tested inhibitors demonstrated a major decrease in activity against at least one of these prevalent mutations. The figure below shows a heat map of the relative activity of NX-5948 and NX-2127 compared to a panel of both covalent and non-covalent BTK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-12700</wp:posOffset>
            </wp:positionV>
            <wp:extent cx="3943350" cy="2383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studies for NX-5948</w:t>
      </w:r>
    </w:p>
    <w:p>
      <w:pPr>
        <w:spacing w:after="0" w:line="119" w:lineRule="exact"/>
        <w:rPr>
          <w:sz w:val="20"/>
          <w:szCs w:val="20"/>
          <w:color w:val="auto"/>
        </w:rPr>
      </w:pPr>
    </w:p>
    <w:p>
      <w:pPr>
        <w:jc w:val="both"/>
        <w:ind w:right="120" w:firstLine="648"/>
        <w:spacing w:after="0" w:line="296" w:lineRule="auto"/>
        <w:rPr>
          <w:sz w:val="20"/>
          <w:szCs w:val="20"/>
          <w:color w:val="auto"/>
        </w:rPr>
      </w:pPr>
      <w:r>
        <w:rPr>
          <w:rFonts w:ascii="Times New Roman" w:cs="Times New Roman" w:eastAsia="Times New Roman" w:hAnsi="Times New Roman"/>
          <w:sz w:val="17"/>
          <w:szCs w:val="17"/>
          <w:color w:val="auto"/>
        </w:rPr>
        <w:t>We are studying the pharmacology, safety, and clinical activity of NX-5948 in multiple subtypes of relapsed and refractory B-cell malignancies, including those in which ibrutinib has shown only modest effects or is ineffective, as in the case of CLL patients with BTK inhibitor resistance mutations.</w:t>
      </w:r>
    </w:p>
    <w:p>
      <w:pPr>
        <w:spacing w:after="0" w:line="4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As illustrated in the diagram below, we are conducting a Phase 1a/1b dose-escalation and cohort expansion study of NX-5948 in patients with relapsed or refractory CLL and NHL. We completed enrollment in the Phase 1a portion and commenced the Phase 1b portion of the trial in the second half of 2024 with two doses, 200 mg and 600 mg, in patients with CLL, MZL, FL, and WM. The patients in the study represent a heavily pre-treated population with a variety of previous treatments. Some patients also have mutations associated with BTK inhibitor resistance and other high risk molecular and clinical features. The study is currently enrolling in the United States, the UK, and in selected sites in Europe.</w:t>
      </w:r>
    </w:p>
    <w:p>
      <w:pPr>
        <w:spacing w:after="0" w:line="6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NX-5948 Phase 1 Clinical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173990</wp:posOffset>
            </wp:positionV>
            <wp:extent cx="5657850" cy="2400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NX-5948 Phase 1 clinical findings in chronic lymphocytic leukemia</w:t>
      </w:r>
    </w:p>
    <w:p>
      <w:pPr>
        <w:spacing w:after="0" w:line="119"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Clinical findings from the NX-5948 Phase 1 trial were presented at the 66th American Society of Hematology annual meeting in December 2024 (ASH 2024). These results included safety findings from a total of 125 patients as of the October 10, 2024 data cut and included efficacy findings from among the 60 CLL patients enrolled at that time. NX-5948 was well tolerated across all doses evaluated, and safety findings in the CLL/SLL cohort were consistent with the overall population as well as previous safety analyses. Among the CLL/SLL patients, the most common treatment emergent adverse events were purpura/contusion (36.7%, all grade 1 or 2), fatigue (26.7%, all grade 1 or 2), petechiae (26.7%, all grade 1 or 2), neutropenia (23.3%, 18.3% grade 3 or higher), and rash (23.3%, 1.7% grade 3 or higher). Importantly, across the entire population, there was only one case of grade 1 atrial fibrillation in a patient with pre-existing atrial fibrillation.</w:t>
      </w:r>
    </w:p>
    <w:p>
      <w:pPr>
        <w:spacing w:after="0" w:line="7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Among the efficacy evaluable patients with CLL/SLL (n=49), NX-5948 treatment resulted in an objective response rate (ORR) of 75.5% across all doses tested (see table below), with the majority of responses occurring at the first assessment (Week 8). With longer time on treatment, the ORR increased to 84.2% based on an exploratory efficacy analysis of patients who had at least two response assessments (Week 16). Responses were observed across all populations regardless of prior treatment, baseline mutations, high-risk molecular features, or central nervous system (CNS) involvement. This includes patients with baseline BTK mutations associated with treatment resistance to both covalent and non-covalent BTK inhibitors. Robust BTK degradation was observed in all patients, including those with baseline BTK mutations. NX-5948 was well tolerated across B-cell malignancies, with no additional safety signals observed with longer duration on study or increased dose.</w:t>
      </w:r>
    </w:p>
    <w:p>
      <w:pPr>
        <w:spacing w:after="0" w:line="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NX-5948 Overall Response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80010</wp:posOffset>
            </wp:positionV>
            <wp:extent cx="5657850" cy="2108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Objective response rate includes CR + PR + PR-L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 Patients who progressed prior to their first response assessment and patients who discontinued for any reason after their first response assessment are included in the denominators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 Patients without identified target lesion(s) at baseline are evalueated as disease-evaluable per iwCLL, while they may not be represented in waterfall plot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CLL</w:t>
      </w:r>
      <w:r>
        <w:rPr>
          <w:rFonts w:ascii="Times New Roman" w:cs="Times New Roman" w:eastAsia="Times New Roman" w:hAnsi="Times New Roman"/>
          <w:sz w:val="11"/>
          <w:szCs w:val="11"/>
          <w:color w:val="auto"/>
        </w:rPr>
        <w:t>, chronic lymphocytic leukemia;</w:t>
      </w:r>
      <w:r>
        <w:rPr>
          <w:rFonts w:ascii="Times New Roman" w:cs="Times New Roman" w:eastAsia="Times New Roman" w:hAnsi="Times New Roman"/>
          <w:sz w:val="11"/>
          <w:szCs w:val="11"/>
          <w:b w:val="1"/>
          <w:bCs w:val="1"/>
          <w:color w:val="auto"/>
        </w:rPr>
        <w:t xml:space="preserve"> CR</w:t>
      </w:r>
      <w:r>
        <w:rPr>
          <w:rFonts w:ascii="Times New Roman" w:cs="Times New Roman" w:eastAsia="Times New Roman" w:hAnsi="Times New Roman"/>
          <w:sz w:val="11"/>
          <w:szCs w:val="11"/>
          <w:color w:val="auto"/>
        </w:rPr>
        <w:t>, complete response;</w:t>
      </w:r>
      <w:r>
        <w:rPr>
          <w:rFonts w:ascii="Times New Roman" w:cs="Times New Roman" w:eastAsia="Times New Roman" w:hAnsi="Times New Roman"/>
          <w:sz w:val="11"/>
          <w:szCs w:val="11"/>
          <w:b w:val="1"/>
          <w:bCs w:val="1"/>
          <w:color w:val="auto"/>
        </w:rPr>
        <w:t xml:space="preserve"> iwCLL</w:t>
      </w:r>
      <w:r>
        <w:rPr>
          <w:rFonts w:ascii="Times New Roman" w:cs="Times New Roman" w:eastAsia="Times New Roman" w:hAnsi="Times New Roman"/>
          <w:sz w:val="11"/>
          <w:szCs w:val="11"/>
          <w:color w:val="auto"/>
        </w:rPr>
        <w:t>, International Workshop on CLL;</w:t>
      </w:r>
      <w:r>
        <w:rPr>
          <w:rFonts w:ascii="Times New Roman" w:cs="Times New Roman" w:eastAsia="Times New Roman" w:hAnsi="Times New Roman"/>
          <w:sz w:val="11"/>
          <w:szCs w:val="11"/>
          <w:b w:val="1"/>
          <w:bCs w:val="1"/>
          <w:color w:val="auto"/>
        </w:rPr>
        <w:t xml:space="preserve"> ORR</w:t>
      </w:r>
      <w:r>
        <w:rPr>
          <w:rFonts w:ascii="Times New Roman" w:cs="Times New Roman" w:eastAsia="Times New Roman" w:hAnsi="Times New Roman"/>
          <w:sz w:val="11"/>
          <w:szCs w:val="11"/>
          <w:color w:val="auto"/>
        </w:rPr>
        <w:t>, objective response rate;</w:t>
      </w:r>
      <w:r>
        <w:rPr>
          <w:rFonts w:ascii="Times New Roman" w:cs="Times New Roman" w:eastAsia="Times New Roman" w:hAnsi="Times New Roman"/>
          <w:sz w:val="11"/>
          <w:szCs w:val="11"/>
          <w:b w:val="1"/>
          <w:bCs w:val="1"/>
          <w:color w:val="auto"/>
        </w:rPr>
        <w:t xml:space="preserve"> PD</w:t>
      </w:r>
      <w:r>
        <w:rPr>
          <w:rFonts w:ascii="Times New Roman" w:cs="Times New Roman" w:eastAsia="Times New Roman" w:hAnsi="Times New Roman"/>
          <w:sz w:val="11"/>
          <w:szCs w:val="11"/>
          <w:color w:val="auto"/>
        </w:rPr>
        <w:t>, progressive disease;</w:t>
      </w:r>
      <w:r>
        <w:rPr>
          <w:rFonts w:ascii="Times New Roman" w:cs="Times New Roman" w:eastAsia="Times New Roman" w:hAnsi="Times New Roman"/>
          <w:sz w:val="11"/>
          <w:szCs w:val="11"/>
          <w:b w:val="1"/>
          <w:bCs w:val="1"/>
          <w:color w:val="auto"/>
        </w:rPr>
        <w:t xml:space="preserve"> PR</w:t>
      </w:r>
      <w:r>
        <w:rPr>
          <w:rFonts w:ascii="Times New Roman" w:cs="Times New Roman" w:eastAsia="Times New Roman" w:hAnsi="Times New Roman"/>
          <w:sz w:val="11"/>
          <w:szCs w:val="11"/>
          <w:color w:val="auto"/>
        </w:rPr>
        <w:t>, partial response;</w:t>
      </w:r>
      <w:r>
        <w:rPr>
          <w:rFonts w:ascii="Times New Roman" w:cs="Times New Roman" w:eastAsia="Times New Roman" w:hAnsi="Times New Roman"/>
          <w:sz w:val="11"/>
          <w:szCs w:val="11"/>
          <w:b w:val="1"/>
          <w:bCs w:val="1"/>
          <w:color w:val="auto"/>
        </w:rPr>
        <w:t xml:space="preserve"> PR-L</w:t>
      </w:r>
      <w:r>
        <w:rPr>
          <w:rFonts w:ascii="Times New Roman" w:cs="Times New Roman" w:eastAsia="Times New Roman" w:hAnsi="Times New Roman"/>
          <w:sz w:val="11"/>
          <w:szCs w:val="11"/>
          <w:color w:val="auto"/>
        </w:rPr>
        <w:t>, partial response with rebound lymphocytosis;</w:t>
      </w:r>
      <w:r>
        <w:rPr>
          <w:rFonts w:ascii="Times New Roman" w:cs="Times New Roman" w:eastAsia="Times New Roman" w:hAnsi="Times New Roman"/>
          <w:sz w:val="11"/>
          <w:szCs w:val="11"/>
          <w:b w:val="1"/>
          <w:bCs w:val="1"/>
          <w:color w:val="auto"/>
        </w:rPr>
        <w:t xml:space="preserve"> SD</w:t>
      </w:r>
      <w:r>
        <w:rPr>
          <w:rFonts w:ascii="Times New Roman" w:cs="Times New Roman" w:eastAsia="Times New Roman" w:hAnsi="Times New Roman"/>
          <w:sz w:val="11"/>
          <w:szCs w:val="11"/>
          <w:color w:val="auto"/>
        </w:rPr>
        <w:t>, stable disease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NX-5948 Phase 1 clinical findings in Waldenstrom’s macroglobulinemia</w:t>
      </w:r>
    </w:p>
    <w:p>
      <w:pPr>
        <w:spacing w:after="0" w:line="119"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Clinical findings from the NX-5948 Phase 1 trial were presented at the 12th International Workshop on Waldenstrom’s Macroglobulinemia in Prague, Czech Republic, in October 2024. These results, also from the October 10, 2024 data cut included the baseline characteristics of the first 13 patients with WM enrolled across both the Phase 1a and Phase 1b portions of the trial, clinical response assessments in nine response-evaluable patients, and duration on study for all 13 patients. Among the nine patients who were evaluable for response, seven patients (77.8%) had an objective response, and two patients experienced stable disease (22.2%). All seven responses were observed at the first assessment at eight weeks, and five remained on treatment, with two patients on treatment for longer than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NX-2127</w:t>
      </w:r>
    </w:p>
    <w:p>
      <w:pPr>
        <w:spacing w:after="0" w:line="78" w:lineRule="exact"/>
        <w:rPr>
          <w:sz w:val="20"/>
          <w:szCs w:val="20"/>
          <w:color w:val="auto"/>
        </w:rPr>
      </w:pPr>
    </w:p>
    <w:p>
      <w:pPr>
        <w:ind w:right="80" w:firstLine="648"/>
        <w:spacing w:after="0" w:line="232" w:lineRule="exact"/>
        <w:rPr>
          <w:sz w:val="20"/>
          <w:szCs w:val="20"/>
          <w:color w:val="auto"/>
        </w:rPr>
      </w:pPr>
      <w:r>
        <w:rPr>
          <w:rFonts w:ascii="Times New Roman" w:cs="Times New Roman" w:eastAsia="Times New Roman" w:hAnsi="Times New Roman"/>
          <w:sz w:val="18"/>
          <w:szCs w:val="18"/>
          <w:color w:val="auto"/>
        </w:rPr>
        <w:t>We are studying the pharmacology, safety and clinical activity of NX-2127 in multiple subtypes of relapsed and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 including CLL, DLBCL, MCL, MZL and FL. We plan to focus development in indications where NX-2127 shows evidence of compelling clinical activity and where there is high unmet need.</w:t>
      </w:r>
    </w:p>
    <w:p>
      <w:pPr>
        <w:spacing w:after="0" w:line="200" w:lineRule="exact"/>
        <w:rPr>
          <w:sz w:val="20"/>
          <w:szCs w:val="20"/>
          <w:color w:val="auto"/>
        </w:rPr>
      </w:pPr>
    </w:p>
    <w:p>
      <w:pPr>
        <w:spacing w:after="0" w:line="3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4" w:name="page15"/>
    <w:bookmarkEnd w:id="14"/>
    <w:p>
      <w:pPr>
        <w:ind w:firstLine="648"/>
        <w:spacing w:after="0" w:line="245" w:lineRule="auto"/>
        <w:rPr>
          <w:sz w:val="20"/>
          <w:szCs w:val="20"/>
          <w:color w:val="auto"/>
        </w:rPr>
      </w:pPr>
      <w:r>
        <w:rPr>
          <w:rFonts w:ascii="Times New Roman" w:cs="Times New Roman" w:eastAsia="Times New Roman" w:hAnsi="Times New Roman"/>
          <w:sz w:val="18"/>
          <w:szCs w:val="18"/>
          <w:color w:val="auto"/>
        </w:rPr>
        <w:t>The Phase 1a/1b dose escalation and cohort expansion study was initiated in 2021. Enrollment was paused in the fourth quarter of 2023 due to a partial clinical hold stemming from a manufacturing change designed to produce a chirally controlled form of NX-2127. Enrollment of new patients in the NX-2127 clinical trial recommenced in August 2024, following resolution of the partial hold by the FDA. Dose escalation with the new drug form is ongoing with a focus on patients with aggressive forms of B-cell lymphoma. As illustrated in the diagram below, the Phase 1a/1b trial is currently evaluating doses of the new drug product ranging from 100 mg to 450 mg, with potential expansion cohorts for patients with DLBCL, MCL, FL, MZL, and WM. Patients enrolled in the clinical study who are deriving clinical benefit on the original drug product may continue to receive treatment in accordance with the ongoing study protocol, but all new patients are being treated with the new drug product.</w:t>
      </w:r>
    </w:p>
    <w:p>
      <w:pPr>
        <w:spacing w:after="0" w:line="6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NX-2127 Phase 1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88265</wp:posOffset>
            </wp:positionV>
            <wp:extent cx="5657850" cy="2357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a</w:t>
      </w:r>
      <w:r>
        <w:rPr>
          <w:rFonts w:ascii="Times New Roman" w:cs="Times New Roman" w:eastAsia="Times New Roman" w:hAnsi="Times New Roman"/>
          <w:sz w:val="11"/>
          <w:szCs w:val="11"/>
          <w:color w:val="auto"/>
        </w:rPr>
        <w:t xml:space="preserve">Planned number of evaluable patients (i.e., meeting DLT evaluability criteria); </w:t>
      </w:r>
      <w:r>
        <w:rPr>
          <w:rFonts w:ascii="Times New Roman" w:cs="Times New Roman" w:eastAsia="Times New Roman" w:hAnsi="Times New Roman"/>
          <w:sz w:val="14"/>
          <w:szCs w:val="14"/>
          <w:color w:val="auto"/>
          <w:vertAlign w:val="superscript"/>
        </w:rPr>
        <w:t>b</w:t>
      </w:r>
      <w:r>
        <w:rPr>
          <w:rFonts w:ascii="Times New Roman" w:cs="Times New Roman" w:eastAsia="Times New Roman" w:hAnsi="Times New Roman"/>
          <w:sz w:val="11"/>
          <w:szCs w:val="11"/>
          <w:color w:val="auto"/>
        </w:rPr>
        <w:t>Planned number of evaluable patients (i.e., meeting efficacy evaluability criteria)</w:t>
      </w:r>
    </w:p>
    <w:p>
      <w:pPr>
        <w:ind w:right="80"/>
        <w:spacing w:after="0" w:line="236" w:lineRule="auto"/>
        <w:rPr>
          <w:sz w:val="20"/>
          <w:szCs w:val="20"/>
          <w:color w:val="auto"/>
        </w:rPr>
      </w:pPr>
      <w:r>
        <w:rPr>
          <w:rFonts w:ascii="Times New Roman" w:cs="Times New Roman" w:eastAsia="Times New Roman" w:hAnsi="Times New Roman"/>
          <w:sz w:val="11"/>
          <w:szCs w:val="11"/>
          <w:b w:val="1"/>
          <w:bCs w:val="1"/>
          <w:color w:val="auto"/>
        </w:rPr>
        <w:t>CLL</w:t>
      </w:r>
      <w:r>
        <w:rPr>
          <w:rFonts w:ascii="Times New Roman" w:cs="Times New Roman" w:eastAsia="Times New Roman" w:hAnsi="Times New Roman"/>
          <w:sz w:val="11"/>
          <w:szCs w:val="11"/>
          <w:color w:val="auto"/>
        </w:rPr>
        <w:t>, chronic lymphocytic leukemia;</w:t>
      </w:r>
      <w:r>
        <w:rPr>
          <w:rFonts w:ascii="Times New Roman" w:cs="Times New Roman" w:eastAsia="Times New Roman" w:hAnsi="Times New Roman"/>
          <w:sz w:val="11"/>
          <w:szCs w:val="11"/>
          <w:b w:val="1"/>
          <w:bCs w:val="1"/>
          <w:color w:val="auto"/>
        </w:rPr>
        <w:t xml:space="preserve"> DLBCL</w:t>
      </w:r>
      <w:r>
        <w:rPr>
          <w:rFonts w:ascii="Times New Roman" w:cs="Times New Roman" w:eastAsia="Times New Roman" w:hAnsi="Times New Roman"/>
          <w:sz w:val="11"/>
          <w:szCs w:val="11"/>
          <w:color w:val="auto"/>
        </w:rPr>
        <w:t>, diffuse large B-cell lymphoma;</w:t>
      </w:r>
      <w:r>
        <w:rPr>
          <w:rFonts w:ascii="Times New Roman" w:cs="Times New Roman" w:eastAsia="Times New Roman" w:hAnsi="Times New Roman"/>
          <w:sz w:val="11"/>
          <w:szCs w:val="11"/>
          <w:b w:val="1"/>
          <w:bCs w:val="1"/>
          <w:color w:val="auto"/>
        </w:rPr>
        <w:t xml:space="preserve"> DLT</w:t>
      </w:r>
      <w:r>
        <w:rPr>
          <w:rFonts w:ascii="Times New Roman" w:cs="Times New Roman" w:eastAsia="Times New Roman" w:hAnsi="Times New Roman"/>
          <w:sz w:val="11"/>
          <w:szCs w:val="11"/>
          <w:color w:val="auto"/>
        </w:rPr>
        <w:t>, dose-limiting toxicity;</w:t>
      </w:r>
      <w:r>
        <w:rPr>
          <w:rFonts w:ascii="Times New Roman" w:cs="Times New Roman" w:eastAsia="Times New Roman" w:hAnsi="Times New Roman"/>
          <w:sz w:val="11"/>
          <w:szCs w:val="11"/>
          <w:b w:val="1"/>
          <w:bCs w:val="1"/>
          <w:color w:val="auto"/>
        </w:rPr>
        <w:t xml:space="preserve"> FL</w:t>
      </w:r>
      <w:r>
        <w:rPr>
          <w:rFonts w:ascii="Times New Roman" w:cs="Times New Roman" w:eastAsia="Times New Roman" w:hAnsi="Times New Roman"/>
          <w:sz w:val="11"/>
          <w:szCs w:val="11"/>
          <w:color w:val="auto"/>
        </w:rPr>
        <w:t>, follicular lymphoma;</w:t>
      </w:r>
      <w:r>
        <w:rPr>
          <w:rFonts w:ascii="Times New Roman" w:cs="Times New Roman" w:eastAsia="Times New Roman" w:hAnsi="Times New Roman"/>
          <w:sz w:val="11"/>
          <w:szCs w:val="11"/>
          <w:b w:val="1"/>
          <w:bCs w:val="1"/>
          <w:color w:val="auto"/>
        </w:rPr>
        <w:t xml:space="preserve"> MCL</w:t>
      </w:r>
      <w:r>
        <w:rPr>
          <w:rFonts w:ascii="Times New Roman" w:cs="Times New Roman" w:eastAsia="Times New Roman" w:hAnsi="Times New Roman"/>
          <w:sz w:val="11"/>
          <w:szCs w:val="11"/>
          <w:color w:val="auto"/>
        </w:rPr>
        <w:t>, mantle cell lymphoma;</w:t>
      </w:r>
      <w:r>
        <w:rPr>
          <w:rFonts w:ascii="Times New Roman" w:cs="Times New Roman" w:eastAsia="Times New Roman" w:hAnsi="Times New Roman"/>
          <w:sz w:val="11"/>
          <w:szCs w:val="11"/>
          <w:b w:val="1"/>
          <w:bCs w:val="1"/>
          <w:color w:val="auto"/>
        </w:rPr>
        <w:t xml:space="preserve"> MTD</w:t>
      </w:r>
      <w:r>
        <w:rPr>
          <w:rFonts w:ascii="Times New Roman" w:cs="Times New Roman" w:eastAsia="Times New Roman" w:hAnsi="Times New Roman"/>
          <w:sz w:val="11"/>
          <w:szCs w:val="11"/>
          <w:color w:val="auto"/>
        </w:rPr>
        <w:t>, maximum tolerated dose;</w:t>
      </w:r>
      <w:r>
        <w:rPr>
          <w:rFonts w:ascii="Times New Roman" w:cs="Times New Roman" w:eastAsia="Times New Roman" w:hAnsi="Times New Roman"/>
          <w:sz w:val="11"/>
          <w:szCs w:val="11"/>
          <w:b w:val="1"/>
          <w:bCs w:val="1"/>
          <w:color w:val="auto"/>
        </w:rPr>
        <w:t xml:space="preserve"> MZL</w:t>
      </w:r>
      <w:r>
        <w:rPr>
          <w:rFonts w:ascii="Times New Roman" w:cs="Times New Roman" w:eastAsia="Times New Roman" w:hAnsi="Times New Roman"/>
          <w:sz w:val="11"/>
          <w:szCs w:val="11"/>
          <w:color w:val="auto"/>
        </w:rPr>
        <w:t>, marginal zone lymphoma;</w:t>
      </w:r>
      <w:r>
        <w:rPr>
          <w:rFonts w:ascii="Times New Roman" w:cs="Times New Roman" w:eastAsia="Times New Roman" w:hAnsi="Times New Roman"/>
          <w:sz w:val="11"/>
          <w:szCs w:val="11"/>
          <w:b w:val="1"/>
          <w:bCs w:val="1"/>
          <w:color w:val="auto"/>
        </w:rPr>
        <w:t xml:space="preserve"> PD</w:t>
      </w:r>
      <w:r>
        <w:rPr>
          <w:rFonts w:ascii="Times New Roman" w:cs="Times New Roman" w:eastAsia="Times New Roman" w:hAnsi="Times New Roman"/>
          <w:sz w:val="11"/>
          <w:szCs w:val="11"/>
          <w:color w:val="auto"/>
        </w:rPr>
        <w:t>, pharmacodynamics;</w:t>
      </w:r>
      <w:r>
        <w:rPr>
          <w:rFonts w:ascii="Times New Roman" w:cs="Times New Roman" w:eastAsia="Times New Roman" w:hAnsi="Times New Roman"/>
          <w:sz w:val="11"/>
          <w:szCs w:val="11"/>
          <w:b w:val="1"/>
          <w:bCs w:val="1"/>
          <w:color w:val="auto"/>
        </w:rPr>
        <w:t xml:space="preserve"> PK</w:t>
      </w:r>
      <w:r>
        <w:rPr>
          <w:rFonts w:ascii="Times New Roman" w:cs="Times New Roman" w:eastAsia="Times New Roman" w:hAnsi="Times New Roman"/>
          <w:sz w:val="11"/>
          <w:szCs w:val="11"/>
          <w:color w:val="auto"/>
        </w:rPr>
        <w:t>, pharmacokinetics;</w:t>
      </w:r>
      <w:r>
        <w:rPr>
          <w:rFonts w:ascii="Times New Roman" w:cs="Times New Roman" w:eastAsia="Times New Roman" w:hAnsi="Times New Roman"/>
          <w:sz w:val="11"/>
          <w:szCs w:val="11"/>
          <w:b w:val="1"/>
          <w:bCs w:val="1"/>
          <w:color w:val="auto"/>
        </w:rPr>
        <w:t xml:space="preserve"> PCNSL</w:t>
      </w:r>
      <w:r>
        <w:rPr>
          <w:rFonts w:ascii="Times New Roman" w:cs="Times New Roman" w:eastAsia="Times New Roman" w:hAnsi="Times New Roman"/>
          <w:sz w:val="11"/>
          <w:szCs w:val="11"/>
          <w:color w:val="auto"/>
        </w:rPr>
        <w:t>, primary central nervous system lymphoma;</w:t>
      </w:r>
      <w:r>
        <w:rPr>
          <w:rFonts w:ascii="Times New Roman" w:cs="Times New Roman" w:eastAsia="Times New Roman" w:hAnsi="Times New Roman"/>
          <w:sz w:val="11"/>
          <w:szCs w:val="11"/>
          <w:b w:val="1"/>
          <w:bCs w:val="1"/>
          <w:color w:val="auto"/>
        </w:rPr>
        <w:t xml:space="preserve"> SLL</w:t>
      </w:r>
      <w:r>
        <w:rPr>
          <w:rFonts w:ascii="Times New Roman" w:cs="Times New Roman" w:eastAsia="Times New Roman" w:hAnsi="Times New Roman"/>
          <w:sz w:val="11"/>
          <w:szCs w:val="11"/>
          <w:color w:val="auto"/>
        </w:rPr>
        <w:t>, small lymphocytic lymphoma;</w:t>
      </w:r>
      <w:r>
        <w:rPr>
          <w:rFonts w:ascii="Times New Roman" w:cs="Times New Roman" w:eastAsia="Times New Roman" w:hAnsi="Times New Roman"/>
          <w:sz w:val="11"/>
          <w:szCs w:val="11"/>
          <w:b w:val="1"/>
          <w:bCs w:val="1"/>
          <w:color w:val="auto"/>
        </w:rPr>
        <w:t xml:space="preserve"> WM</w:t>
      </w:r>
      <w:r>
        <w:rPr>
          <w:rFonts w:ascii="Times New Roman" w:cs="Times New Roman" w:eastAsia="Times New Roman" w:hAnsi="Times New Roman"/>
          <w:sz w:val="11"/>
          <w:szCs w:val="11"/>
          <w:color w:val="auto"/>
        </w:rPr>
        <w:t>, Waldenstrom's macroglobulinemia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NX-2127 Clinical findings</w:t>
      </w:r>
    </w:p>
    <w:p>
      <w:pPr>
        <w:spacing w:after="0" w:line="11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Positive data from the NX-2127 clinical study was presented at the 65th ASH annual meeting in December 2023 (ASH 2023) and ASH 2024, in patients with NHL and CLL, confirming a manageable safety profile that is consistent with previous reports for BTK-targeted and immunomodulatory therapies.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BTK degradation was demonstrated at all dose levels in patient samples,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8890</wp:posOffset>
            </wp:positionV>
            <wp:extent cx="2957195" cy="2297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719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Source: Danilov et al., ASH 2023, Poster #4463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5" w:name="page16"/>
    <w:bookmarkEnd w:id="15"/>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To evaluate the immunomodulatory effects of NX-2127, circulating patient PBMCs were collected at baseline, after 1 week (C1D8, acute assessment), and following one treatment cycle (C2D1, sustained effects; 28-day cycle). Single-cell sequencing analysis was performed to compare gene signatures between responders (R; patients achieving a best response of PR or PR with lymphocytosis) and non-responders (NR; patients achieving SD or PD).</w:t>
      </w:r>
    </w:p>
    <w:p>
      <w:pPr>
        <w:spacing w:after="0" w:line="69"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analysis revealed distinct differences between responders and non-responders within CD4+ and CD8+ T-cell subpopulations. In CD4+ T cells, as shown in Figure A, responders exhibited increased expression of activation markers, including CD69 and ICOS, as well as upregulation of oxidative phosphorylation-related genes, such as COX7B and NDUFA5. In CD8+ T cells, as shown in Figure B, non-responders displayed higher expression of exhaustion markers, including TOX, PD-1, and TIGIT, consistent with immune dysfunction. The fold-change plot in Figure B illustrates the progressive increase in TOX expression in non-responders relative to responders over time, highlighting these differences. These findings provide evidence supporting the potential of NX-2127 to modulate T-cell function, which may contribute to its observed clinical activity in patients with CLL.</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NX-2127 modulates patient T cells, contributing to its clinical efficacy in CLL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19685</wp:posOffset>
            </wp:positionV>
            <wp:extent cx="5657850" cy="2108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Source: Tiana et al., ASH 2024, Oral Presentation</w:t>
      </w:r>
    </w:p>
    <w:p>
      <w:pPr>
        <w:spacing w:after="0" w:line="119"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The findings from the study confirmed the manageable and predictable safety profile. The most common TEAEs (any grade) were fatigue, neutropenia, hypertension, bruising/contusion, and diarrhea. The most common grade ≥3 TEAEs were neutropenia, hypertension and anemia. Atrial fibrillation was observed in six patients (11.1%; down from 17% reported previously), with three patients (5.6%) having grade ≥3 events. Twenty-one patients (38.9%) had serious TEAEs, of whom eight (14.8%) had SAEs considered related to NX-2127 treatment. Two patients experienced dose limiting toxicities (cognitive disturbance, neutropenia; both at the 300 mg dose).</w:t>
      </w:r>
    </w:p>
    <w:p>
      <w:pPr>
        <w:spacing w:after="0" w:line="87"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Efficacy findings showed promising clinical activity: For patients with NHL, encouraging and durable responses were observed, including two complete responses and two partial responses, each at week eight. For patients with CLL, despite a median of five prior lines of treatment and BTK mutations present in 36% of patients, NX-2127 treatment resulted in an objective overall response rate of 40.7%, including partial responses in 11 patients, with treatment ongoing in 13 patients. Tumor shrinkage and clinical responses were observed in patients regardless of prior lines of therapy or baseline BTK mutations.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NX-2127 NHL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19685</wp:posOffset>
            </wp:positionV>
            <wp:extent cx="5657850" cy="2743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NX-2127 CLL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242570</wp:posOffset>
            </wp:positionV>
            <wp:extent cx="5657850" cy="2991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Source: Danilov et al, ASH 2023, Poster #4463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on CBL-B as a regulator of T-cell activation</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 cells are central to the cell-mediated adaptive immune response. Their activation, expansion, and function require carefully balanced positive and negative feedback mechanisms at each step. Multiple factors impair effective anti-tumor responses, including insufficient tumor antigen expression, defective antigen presentation, and the presence of inhibitory signals (e.g., immune checkpoints, suppressive factors, or T-cell exhaustion).</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27" w:right="619" w:bottom="1440" w:gutter="0" w:footer="0" w:header="0"/>
        </w:sectPr>
      </w:pPr>
    </w:p>
    <w:bookmarkStart w:id="17" w:name="page18"/>
    <w:bookmarkEnd w:id="17"/>
    <w:p>
      <w:pPr>
        <w:ind w:firstLine="648"/>
        <w:spacing w:after="0" w:line="258" w:lineRule="auto"/>
        <w:rPr>
          <w:sz w:val="20"/>
          <w:szCs w:val="20"/>
          <w:color w:val="auto"/>
        </w:rPr>
      </w:pPr>
      <w:r>
        <w:rPr>
          <w:rFonts w:ascii="Times New Roman" w:cs="Times New Roman" w:eastAsia="Times New Roman" w:hAnsi="Times New Roman"/>
          <w:sz w:val="18"/>
          <w:szCs w:val="18"/>
          <w:color w:val="auto"/>
        </w:rPr>
        <w:t>CBL-B is an E3 ubiquitin ligase expressed in multiple immune cell lineages, where it negatively regulates T-cell activation and limits the function of NK cells, B cells, and dendritic cells. By promoting T-cell exhaustion, anergy, and cell death, CBL-B downregulates immune responses. CBL-B is highly expressed in human CD4+ and CD8+ T cells, with its expression tightly regulated by co-stimulatory (CD28) and inhibitory (CTLA-4) signals.</w:t>
      </w:r>
    </w:p>
    <w:p>
      <w:pPr>
        <w:spacing w:after="0" w:line="6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Typically, T cells require two signals for activation: (1) TCR recognition of antigen–MHC complexes and (2) co-stimulatory signals. CBL-B influences the TCR pathway by requiring adequate co-stimulation for a full immune response. Accordingly, CBL-B–deficient T cells have reduced activation thresholds and resist T-cell anergy, displaying higher proliferation rates and elevated cytokine production (e.g., IL-2). However, inhibiting CBL-B alone does not activate T cells in the absence of TCR engagement, highlighting its potential as a therapeutic target to enhance anti-tumor immunity without indiscriminate T-cell activation.</w:t>
      </w: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Mechanism of action of NX-1607, an orally bioavailable small molecule inhibitor of the E3 ligase CBL-B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88265</wp:posOffset>
            </wp:positionV>
            <wp:extent cx="3943350" cy="263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4335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NX-1607: An Oral CBL-B Inhibitor for Immuno-Oncology</w:t>
      </w:r>
    </w:p>
    <w:p>
      <w:pPr>
        <w:spacing w:after="0" w:line="11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NX-1607 is an investigational, orally bioavailable, and potent CBL-B inhibitor that enhances T-cell-mediated anti-tumor responses.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demonstrated that NX-1607 treatment resulted in a dose-dependent increase in T-cell activation in TCR-stimulated primary human T cells in the presence and, to a lesser extent, in the absence of CD28 co-stimulation, a potential advantage in a suppressive tumor microenvironment. NX-1607 does not appear to activate T cells in the absence of TCR engagement.</w:t>
      </w:r>
    </w:p>
    <w:p>
      <w:pPr>
        <w:spacing w:after="0" w:line="7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effects of orally administered NX-1607 were evaluated as a single agent in several mouse models of cancer. In the experiments shown in the figure below on the left, oral treatment with NX-1607 significantly increased survival in this neoadjuvant model of metastatic triple-negative breast cancer in which treatment was initiated just prior to surgical primary tumor resection (shaded area indicates dosing period). Without further treatment, all mice in the vehicle group (black line) died by day 60 as a result of disseminated tumor metastases in the lung, liver and brain. By contrast, animals treated with NX-1607 (blue line) administered as a daily oral dose starting at day seven and continuing through day 46 demonstrated a highly significant prolongation of survival. In the figure below on the right, oral treatment with NX-1607 (blue squares) significantly reduced the size of tumors and the rate of tumor growth compared to the vehicle group (black circles) in a B-cell lymphoma model.</w:t>
      </w:r>
    </w:p>
    <w:p>
      <w:pPr>
        <w:spacing w:after="0" w:line="200" w:lineRule="exact"/>
        <w:rPr>
          <w:sz w:val="20"/>
          <w:szCs w:val="20"/>
          <w:color w:val="auto"/>
        </w:rPr>
      </w:pPr>
    </w:p>
    <w:p>
      <w:pPr>
        <w:spacing w:after="0" w:line="37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1802765</wp:posOffset>
            </wp:positionH>
            <wp:positionV relativeFrom="page">
              <wp:posOffset>603250</wp:posOffset>
            </wp:positionV>
            <wp:extent cx="3943350" cy="2288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39433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effects of orally administered NX-1607 were evaluated in combination with an antibody to PD-1 in several mouse models of cancer as shown in the figure below. In the left and middle panels, the combination of oral NX-1607 plus anti-PD-1 (light blue lines) demonstrated increased survival in two separate colorectal cancer models compared with animals treated with either NX-1607 alone (blue line), anti-PD-1 alone (red line) or vehicle (black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-13335</wp:posOffset>
            </wp:positionV>
            <wp:extent cx="3934460" cy="2383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3446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NX-1607</w:t>
      </w:r>
    </w:p>
    <w:p>
      <w:pPr>
        <w:spacing w:after="0" w:line="121"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We are studying the pharmacology, safety and clinical activity of single-agent NX-1607 and the combination of NX-1607 with taxane chemotherapy in multiple solid tumor indications. The solid tumors selected for this initial assessment include three different immune phenotypes: checkpoint-resistant tumors, tumors with an immunosuppressive microenvironment and tumors that are poorly immunogenic. We believe that there is a scientific rationale for the role of CBL-B inhibition in each of these immune phenotypes.</w:t>
      </w:r>
    </w:p>
    <w:p>
      <w:pPr>
        <w:spacing w:after="0" w:line="69" w:lineRule="exact"/>
        <w:rPr>
          <w:sz w:val="20"/>
          <w:szCs w:val="20"/>
          <w:color w:val="auto"/>
        </w:rPr>
      </w:pPr>
    </w:p>
    <w:p>
      <w:pPr>
        <w:jc w:val="both"/>
        <w:ind w:right="360" w:firstLine="648"/>
        <w:spacing w:after="0" w:line="258" w:lineRule="auto"/>
        <w:rPr>
          <w:sz w:val="20"/>
          <w:szCs w:val="20"/>
          <w:color w:val="auto"/>
        </w:rPr>
      </w:pPr>
      <w:r>
        <w:rPr>
          <w:rFonts w:ascii="Times New Roman" w:cs="Times New Roman" w:eastAsia="Times New Roman" w:hAnsi="Times New Roman"/>
          <w:sz w:val="18"/>
          <w:szCs w:val="18"/>
          <w:color w:val="auto"/>
        </w:rPr>
        <w:t>As illustrated in the diagram below, we are conducting a Phase 1a/1b dose-escalation and cohort expansion study of NX-1607 in patients with relapsed or refractory solid tumors and lymphoma. We are currently enrolling patients in the Phase 1a dose escalation portion of the monotherapy trial, which includes assessment of both once daily (QD) and twice daily (BID) dosing.</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NX-1607 Phase 1 Clinical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19685</wp:posOffset>
            </wp:positionV>
            <wp:extent cx="5657850" cy="2922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Interim data from patients treated at 5, 15, 25, and 50 mg QD show linear pharmacokinetics (half-life of four to nine hours), dose-proportional exposure, and no apparent accumulation as indicated in figure below.</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NX-1607-101: Interim PK results suggest linear PK (Cycle 1 Day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19685</wp:posOffset>
            </wp:positionV>
            <wp:extent cx="5589270" cy="20142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927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Biomarker Strategy: Proximal Markers of CBL-B Inhibition</w:t>
      </w:r>
    </w:p>
    <w:p>
      <w:pPr>
        <w:spacing w:after="0" w:line="11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Nurix identified multiple proximal biomarkers of CBL-B inhibition that correlate with anti-tumor activity in syngeneic models. Using flow cytometry-based phosphorylation profiling and mass spectrometry–based ubiquitination assays, phosphorylated hematopoietic lineage cell-specific protein 1 (pHS1) emerged as a robust indicator of CBL-B inhibition in whole blood. Pharmacodynamic analyses in the Phase 1a NX-1607-101 trial (below figure) shows maximal pharmacodynamic profiles in patients treated with 5 to 60 mg of total daily dose of NX-1607, either once daily (QD) or twice daily (BID). Whole blood was collected at pre- and post-dosing timepoints in TruCulture tubes containing no stimulant (Null) or anti-CD3/CD28 (CD3/CD28). Collectively, these findings demonstrate the dose-dependent pharmacodynamic activity of NX-1607, providing robust evidence of target engagement and aligning with preclinical data supporting its potential efficacy in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bookmarkStart w:id="20" w:name="page21"/>
    <w:bookmarkEnd w:id="20"/>
    <w:p>
      <w:pPr>
        <w:jc w:val="center"/>
        <w:ind w:left="380" w:right="60"/>
        <w:spacing w:after="0" w:line="286" w:lineRule="auto"/>
        <w:rPr>
          <w:sz w:val="20"/>
          <w:szCs w:val="20"/>
          <w:color w:val="auto"/>
        </w:rPr>
      </w:pPr>
      <w:r>
        <w:rPr>
          <w:rFonts w:ascii="Times New Roman" w:cs="Times New Roman" w:eastAsia="Times New Roman" w:hAnsi="Times New Roman"/>
          <w:sz w:val="18"/>
          <w:szCs w:val="18"/>
          <w:b w:val="1"/>
          <w:bCs w:val="1"/>
          <w:color w:val="auto"/>
        </w:rPr>
        <w:t>NX-1607-101: Interim PD results show dose-proportionate increases of proximal biomarker pHS1, which correspond with levels associated with potent anti-tumor activity in mouse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-24130</wp:posOffset>
            </wp:positionV>
            <wp:extent cx="5589270" cy="2520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927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Source: ASH, 2024</w:t>
      </w:r>
    </w:p>
    <w:p>
      <w:pPr>
        <w:spacing w:after="0" w:line="11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are also exploring step-up dosing and the use of anti-emetic prophylaxis medication to achieve target drug levels and minimize potential gastrointestinal tolerability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DEL-AI Platform and Research Engine</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disease settings where existing treatments are limited by suboptimal efficacy, safety, or rapid mutational resistance, or in settings that lack treatment options because the relevant disease drivers are not druggable by conventional means, we believe targeted protein degradation represents a promising treatment paradigm with the potential to greatly expand the number of pharmaceutically tractable biological disease targets and thereby significantly improve patient care. Early disclosures from an ever-increasing number of TPD clinical trials highlight the broad therapeutic potential of harnessing E3 ligases to promote targeted protein degradation of both established and unprecedented therapeutic targets. Using our DEL-AI research engine, we have identified many novel small molecule starting points and have progressed their development into differentiated therapies for patients lacking treatment options. Leveraging the wealth of chemical information that we have generated against hundreds of disease targets and E3 ligase proteins using our customized collection of 5 billion unique DEL compounds along with the knowledge we have accumulated by employing empirical degrader discovery workflows, we have constructed a powerful suite of machine learning models and tools that can enable us to predict proprietary binders for virtually any disease-relevant protein, including challenging targets like E3 ligases and transcription factors, and rapidly translate those binders into effective degrader drugs for a growing set of high value protein targets and target families. Our DEL-AI research engine is scalable and disease/target agnostic, providing us with the ability to support not only our wholly owned pipeline but also current and potential future discovery partnerships.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premise of Nurix’s drug discovery: proteins as targets in treating disease</w:t>
      </w:r>
    </w:p>
    <w:p>
      <w:pPr>
        <w:spacing w:after="0" w:line="12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Each cell type within the body is comprised of proteins that define its biochemistry and biological function. When proteins are expressed and regulated correctly, the health of each individual cell as well as the body as a whole is maintained. However, disease can occur when normal cellular processes are dysregulated as a result of changes in protein structure, function, expression levels or pathway regulation. Factors such as genetic mutations, infection, exposure to toxins, diet and behavior can lead to dysregulation of cellular processes and, if unchecked, a disease process.</w:t>
      </w:r>
    </w:p>
    <w:p>
      <w:pPr>
        <w:spacing w:after="0" w:line="83"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The traditional approach to discovering treatments for disease has involved the development of small molecule drugs that bind to a protein’s surface and modulate its activity. These “druggable” proteins contain distinct structural features called active sites that mediate protein function which can be exploited when identifying and optimizing compounds that disrupt protein activity. However, the vast majority of the body’s proteins do not have distinct active sites that can be targeted using traditional discovery methods. Because dysregulation and disease are not restricted to these “druggable” proteins, a significant number of therapeutically relevant proteins have not been addressed by traditional small molecule drugs. In addition, many existing small molecule drugs fail to fully block protein and pathway function, leading to incomplete disease resolution or rapid drug resistance. Other modalities, including antibody- and protein-based therapies, genetic medicines and cell therapies, have emerged to attempt to address these issues but are still limited by their modes of delivery, their scalability and their therapeutic applications.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Harnessing the activity of E3 ligases to create a new treatment modality</w:t>
      </w:r>
    </w:p>
    <w:p>
      <w:pPr>
        <w:spacing w:after="0" w:line="12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Normal cellular physiology requires highly orchestrated and regulated processes that operate at the level of individual proteins. The ability of proteins to respond to stimuli quickly and in a coordinated fashion requires protein function to be readily controllable. One of the most exquisitely ordered biochemical systems governing cellular protein activity is the ubiquitin proteasome system (UPS). A key class of enzymes within the UPS are E3 ligases which mediate this process with a high degree of specificity by recognizing individual proteins and catalyzing the attachment of ubiquitin protein tags to their surface. Proteins marked with chains of ubiquitin are then shuttled to the proteasome for degradation and removal from the cell. In addition to protein degradation, E3 ligases also mediate other functions such as protein localization, receptor internalization, protein signaling and protein quality control. There are over 600 E3 ligases encoded within the human genome, representing more than 5% of genes. The prevalence of the E3 ligase class of enzymes reflects the diversity of their physiological roles and biological significance and may allow for the creation of a wide spectrum of ligase-targeted therapeutics.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Controlling protein levels through small molecule therapeutics targeting E3 ligases</w:t>
      </w:r>
    </w:p>
    <w:p>
      <w:pPr>
        <w:spacing w:after="0" w:line="12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Advances in our understanding of the UPS suggest broad potential for the development of new therapies that co-opt E3 ligases in the context of diseases such as cancer and autoimmune disorders. An example are the so-called immunomodulatory drugs, Revlimid (lenalidomide) and Pomalyst (pomalidomide), which are approved cancer drugs. These drugs exert their therapeutic effects by binding to the E3 ligase cereblon and redirecting its activity toward proteins it would not normally degrade, known as neosubstrates, such as Ikaros and Aiolos (also known as IKZF1 and IKZF3), transcription factors regulating immune cell function. Elucidation of this mechanism led to the recognition that pharmacological control of E3 ligase activity could more generally represent a promising new paradigm for small molecule drug action. This idea has since translated into the development of a growing number of clinical stage targeted protein degraders, which we believe have significant therapeutic potential. In addition, we believe the largely unexplored area of inhibiting E3 ligases directly to modulate the levels of their native substrate proteins and potentially enhance pathway signaling may also represent a promising therapeutic approach.</w:t>
      </w:r>
    </w:p>
    <w:p>
      <w:pPr>
        <w:spacing w:after="0" w:line="73" w:lineRule="exact"/>
        <w:rPr>
          <w:sz w:val="20"/>
          <w:szCs w:val="20"/>
          <w:color w:val="auto"/>
        </w:rPr>
      </w:pPr>
    </w:p>
    <w:p>
      <w:pPr>
        <w:ind w:left="660" w:right="120" w:hanging="328"/>
        <w:spacing w:after="0" w:line="24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Harnessing E3 ligases to degrade pharmaceutically relevant proteins. </w:t>
      </w:r>
      <w:r>
        <w:rPr>
          <w:rFonts w:ascii="Times New Roman" w:cs="Times New Roman" w:eastAsia="Times New Roman" w:hAnsi="Times New Roman"/>
          <w:sz w:val="18"/>
          <w:szCs w:val="18"/>
          <w:color w:val="auto"/>
        </w:rPr>
        <w:t>Targeted protein degradation harnesses the natural activity of ligases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 novel neosubstrates, thereby removing specific proteins from the cell. Targeted protein degradation is accomplished by using a small molecule capable of creating a potent interaction between an E3 ligase and a Protein of Interest (POI) such that the E3 ligase can covalently label the POI with a ubiquitin chain, the cellular signal for proteasome-mediated destruction. Unlike traditional small molecule inhibition which requires prolonged active site occupancy, targeted protein degradation requires only a brief interaction with a POI, through event-driven pharmacology, allowing one degrader molecule to induce the degradation of hundreds to thousands of copies of the protein target in a catalytic fashion, thereby enabling complete elimination of a protein target and all of its associated functionality. Further, since the effect is mediated through binding rather than through enzymatic inhibition, proteins lacking enzymatic activity are targetable, greatly expanding the spectrum of both proteins and diseases amenable to small molecule therapeutic intervention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Some of the key advantages of targeted protein degradation over existing modalities are:</w:t>
      </w:r>
    </w:p>
    <w:p>
      <w:pPr>
        <w:spacing w:after="0" w:line="69" w:lineRule="exact"/>
        <w:rPr>
          <w:rFonts w:ascii="Times New Roman" w:cs="Times New Roman" w:eastAsia="Times New Roman" w:hAnsi="Times New Roman"/>
          <w:sz w:val="18"/>
          <w:szCs w:val="18"/>
          <w:color w:val="auto"/>
        </w:rPr>
      </w:pPr>
    </w:p>
    <w:p>
      <w:pPr>
        <w:ind w:left="1300" w:right="300" w:hanging="320"/>
        <w:spacing w:after="0" w:line="286"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Degraders can eliminate all of a protein’s functionality. </w:t>
      </w:r>
      <w:r>
        <w:rPr>
          <w:rFonts w:ascii="Times New Roman" w:cs="Times New Roman" w:eastAsia="Times New Roman" w:hAnsi="Times New Roman"/>
          <w:sz w:val="18"/>
          <w:szCs w:val="18"/>
          <w:color w:val="auto"/>
        </w:rPr>
        <w:t>Removing a protein from the cell by targeting it for proteasomal destruction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eliminates all of a protein’s functionality, in contrast to small molecule inhibitors that only block enzymatic function.</w:t>
      </w:r>
    </w:p>
    <w:p>
      <w:pPr>
        <w:spacing w:after="0" w:line="33" w:lineRule="exact"/>
        <w:rPr>
          <w:rFonts w:ascii="Times New Roman" w:cs="Times New Roman" w:eastAsia="Times New Roman" w:hAnsi="Times New Roman"/>
          <w:sz w:val="18"/>
          <w:szCs w:val="18"/>
          <w:color w:val="auto"/>
        </w:rPr>
      </w:pPr>
    </w:p>
    <w:p>
      <w:pPr>
        <w:jc w:val="both"/>
        <w:ind w:left="1300" w:right="140" w:hanging="320"/>
        <w:spacing w:after="0" w:line="252"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Degraders can access an expanded range of target space. </w:t>
      </w:r>
      <w:r>
        <w:rPr>
          <w:rFonts w:ascii="Times New Roman" w:cs="Times New Roman" w:eastAsia="Times New Roman" w:hAnsi="Times New Roman"/>
          <w:sz w:val="18"/>
          <w:szCs w:val="18"/>
          <w:color w:val="auto"/>
        </w:rPr>
        <w:t>Conventional small molecule drug development is limited to protein classes,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typically enzymes, that exhibit biochemical activities that can be reliably measured and inhibited through the binding of a compound to the target’s active site. In contrast, proteasomal degradation of a target protein is accomplished by inducing brief proximity of the target protein to an E3 ligase, a process that is agnostic to target structure and function.</w:t>
      </w:r>
    </w:p>
    <w:p>
      <w:pPr>
        <w:spacing w:after="0" w:line="62" w:lineRule="exact"/>
        <w:rPr>
          <w:rFonts w:ascii="Times New Roman" w:cs="Times New Roman" w:eastAsia="Times New Roman" w:hAnsi="Times New Roman"/>
          <w:sz w:val="18"/>
          <w:szCs w:val="18"/>
          <w:color w:val="auto"/>
        </w:rPr>
      </w:pPr>
    </w:p>
    <w:p>
      <w:pPr>
        <w:ind w:left="1300" w:right="40" w:hanging="320"/>
        <w:spacing w:after="0" w:line="252"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Degraders show differentiated pharmacology. </w:t>
      </w:r>
      <w:r>
        <w:rPr>
          <w:rFonts w:ascii="Times New Roman" w:cs="Times New Roman" w:eastAsia="Times New Roman" w:hAnsi="Times New Roman"/>
          <w:sz w:val="18"/>
          <w:szCs w:val="18"/>
          <w:color w:val="auto"/>
        </w:rPr>
        <w:t>TPDs act catalytically to eliminate their corresponding target proteins from a cell,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requiring just a few degrader molecules to eliminate thousands of protein molecules and forcing the cell to resynthesize the target protein to restore functionality. This creates a disconnect between degrader pharmacokinetics and degrader pharmacodynamics, greatly reducing the amplitude and duration of drug exposure required to maintain target suppression.</w:t>
      </w:r>
    </w:p>
    <w:p>
      <w:pPr>
        <w:spacing w:after="0" w:line="62" w:lineRule="exact"/>
        <w:rPr>
          <w:rFonts w:ascii="Times New Roman" w:cs="Times New Roman" w:eastAsia="Times New Roman" w:hAnsi="Times New Roman"/>
          <w:sz w:val="18"/>
          <w:szCs w:val="18"/>
          <w:color w:val="auto"/>
        </w:rPr>
      </w:pPr>
    </w:p>
    <w:p>
      <w:pPr>
        <w:ind w:left="1300" w:right="40" w:hanging="320"/>
        <w:spacing w:after="0" w:line="252"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Degraders are mutationally tolerant. </w:t>
      </w:r>
      <w:r>
        <w:rPr>
          <w:rFonts w:ascii="Times New Roman" w:cs="Times New Roman" w:eastAsia="Times New Roman" w:hAnsi="Times New Roman"/>
          <w:sz w:val="18"/>
          <w:szCs w:val="18"/>
          <w:color w:val="auto"/>
        </w:rPr>
        <w:t>Minor changes in the amino acid sequence of a target protein, as a consequence of somatic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inhibitor-induced resistance mutations, do not necessarily preclude degrader activity, even in cases where the mutations occur within the degrader binding site. This is in strong contrast to the propensity of amino acid point mutations to disrupt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and efficacy of inhibitor drugs.</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2" w:name="page23"/>
    <w:bookmarkEnd w:id="22"/>
    <w:p>
      <w:pPr>
        <w:ind w:left="1300" w:right="60" w:hanging="320"/>
        <w:spacing w:after="0" w:line="26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Degraders can penetrate the CNS. </w:t>
      </w:r>
      <w:r>
        <w:rPr>
          <w:rFonts w:ascii="Times New Roman" w:cs="Times New Roman" w:eastAsia="Times New Roman" w:hAnsi="Times New Roman"/>
          <w:sz w:val="18"/>
          <w:szCs w:val="18"/>
          <w:color w:val="auto"/>
        </w:rPr>
        <w:t>Small molecule drugs and, most prominently beyond-the-rule-of-five compounds rarely achieve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 CNS exposure or activity. However, TPDs are increasingly cited for their ability to penetrate and show pharmacology in the CNS, in part due to the minimal plasma exposure required for these catalytic agents to exhibit target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-17780</wp:posOffset>
            </wp:positionV>
            <wp:extent cx="2134235" cy="3051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3423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hanging="320"/>
        <w:spacing w:after="0" w:line="245"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Inhibiting E3 ligases to control pathway activation. </w:t>
      </w:r>
      <w:r>
        <w:rPr>
          <w:rFonts w:ascii="Times New Roman" w:cs="Times New Roman" w:eastAsia="Times New Roman" w:hAnsi="Times New Roman"/>
          <w:sz w:val="18"/>
          <w:szCs w:val="18"/>
          <w:color w:val="auto"/>
        </w:rPr>
        <w:t>By inhibiting the function of E3 ligases it is possible to rapidly increase the levels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protein substrates to control biological pathways. Raising the levels of distinct sets of proteins within a single biological pathway could be a powerful approach to blocking pathological processes and restoring normal physiology. While there is enthusiasm in the scientific community around the therapeutic potential of E3 ligase inhibition, the discovery of such inhibitors has been impeded by the limited understanding of this biochemically and structurally complex class of proteins and the limited availability of chemical matter for this historically intractable protein class.</w:t>
      </w:r>
    </w:p>
    <w:p>
      <w:pPr>
        <w:spacing w:after="0" w:line="32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believe that co-opting E3 ligase functionality to effect pharmaceutical control of critical disease-associated proteins represents a powerful therapeutic frontier that retains the favorable attributes of small molecule treatment modalities while addressing some major limitations. In addition to the points above, we believe other key differentiating attributes of our treatment modality include:</w:t>
      </w:r>
    </w:p>
    <w:p>
      <w:pPr>
        <w:spacing w:after="0" w:line="78" w:lineRule="exact"/>
        <w:rPr>
          <w:sz w:val="20"/>
          <w:szCs w:val="20"/>
          <w:color w:val="auto"/>
        </w:rPr>
      </w:pPr>
    </w:p>
    <w:p>
      <w:pPr>
        <w:ind w:left="660" w:right="260" w:hanging="328"/>
        <w:spacing w:after="0" w:line="27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Expansive therapeutic potential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UPS and its associated E3 ligases function across the majority of cell types and organ systems, making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to modulate virtually any protein of interest for a wide range of diseases.</w:t>
      </w:r>
    </w:p>
    <w:p>
      <w:pPr>
        <w:spacing w:after="0" w:line="45"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Deliverable and tunable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Oral delivery of small molecule compounds lends itself to broad medical applicability in a range of patient populations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delivery that may be readily calibrated through dosing schedule and quantity.</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Ease of manufacturing</w:t>
      </w:r>
      <w:r>
        <w:rPr>
          <w:rFonts w:ascii="Times New Roman" w:cs="Times New Roman" w:eastAsia="Times New Roman" w:hAnsi="Times New Roman"/>
          <w:sz w:val="17"/>
          <w:szCs w:val="17"/>
          <w:color w:val="auto"/>
        </w:rPr>
        <w:t>. Development and manufacturing of small molecules utilizes established, cost-efficient processes that are readily scalable.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attributes and applications of our DEL-AI platform and research engine</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approach to pharmaceutical development relies on harnessing the innate specificity and the natural function of the UPS to regulate the cellular proteome for therapeutic effect. Until recently, development of therapies that co-opt E3 ligases and other UPS effectors has been limited by the lack of available chemical matter for this class of proteins, as well as by the relative lack of biochemical, biological and mechanistic understanding of these critical protein families. Through our focused efforts and investment over the past several years, we have developed proprietary tools, in-depth knowledge and a wealth of chemical matter to enable the broader use of E3 ligases in drug discovery. In addition, we have further expanded our reach by leveraging our E3 ligase knowledge base using purpose-built machine learning to prospectively access even more chemical matter capable of engaging this highly sought-after therapeutic target class.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3" w:name="page24"/>
    <w:bookmarkEnd w:id="23"/>
    <w:p>
      <w:pPr>
        <w:ind w:firstLine="648"/>
        <w:spacing w:after="0" w:line="246" w:lineRule="auto"/>
        <w:rPr>
          <w:sz w:val="20"/>
          <w:szCs w:val="20"/>
          <w:color w:val="auto"/>
        </w:rPr>
      </w:pPr>
      <w:r>
        <w:rPr>
          <w:rFonts w:ascii="Times New Roman" w:cs="Times New Roman" w:eastAsia="Times New Roman" w:hAnsi="Times New Roman"/>
          <w:sz w:val="18"/>
          <w:szCs w:val="18"/>
          <w:color w:val="auto"/>
        </w:rPr>
        <w:t>Significant investments in E3 ligase protein sciences and DEL methodology developments along with a liberal application of our DEL resource across hundreds of proprietary and partnered POIs has allowed us to generate large, high-quality datasets predominantly representing target classes relevant to protein degradation. Using advanced machine learning techniques trained on our DEL data compendium, we have developed powerful tools that can prospectively predict ligands to an arbitrarily large number of protein targets. This technology has greatly broadened the set of proteins ligandable by our methodologies, both in scope and in scale.</w:t>
      </w:r>
    </w:p>
    <w:p>
      <w:pPr>
        <w:spacing w:after="0" w:line="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shown below, these capabilities and insights have allowed us to develop DEL-AI, a powerful technology to identify and advance novel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-21590</wp:posOffset>
            </wp:positionV>
            <wp:extent cx="4543425" cy="2966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4342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DEL-AI research engine is a fully integrated, machine-learning powered drug discovery engine that leverages large empirical DEL and TPD datasets to write the rulebook of degrader drug design.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 technology taps enormous chemical space to overcome “druggability” limits</w:t>
      </w:r>
    </w:p>
    <w:p>
      <w:pPr>
        <w:spacing w:after="0" w:line="121"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Our DEL compound collection comprises several billion individually DNA-labeled drug-like small molecules in contrast to conventional screening collections which contain less than a few million untagged compounds. This increased scale and traceability provides the necessary chemical diversity to identify chemical starting points for a broad set of biological targets, including many of the more challenging protein families that have been considered undruggable by other approaches. DEL technology evaluates each library compound simultaneously in a single experiment, enabling a more accurate biophysical assessment of compound behavior which translates into higher fidelity hit finding. In addition, because DEL drug discovery is performed by measuring compound binding rather than biochemical activity, it can be applied to almost any protein, most notably to proteins considered intractable because enzymatic screening assays are lacking or not feasible. Further, the relative ease with which binding screens can be performed and interpreted provides sufficient flexibility to allow evaluation of structurally complicated proteins like transcription factors and E3 ligases, which display distinct conformations and activity states that are rarely accessible in conventional biochemical screening assays. Lastly, a chemical linker attaches each DEL compound to a strand of DNA that functions as a barcode defining its unique chemical structure and allowing drug starting points to be easily identified through DNA sequencing. DEL’s built-in chemical linker is also an advantage in the context of TPD design, as it biases toward the discovery of binders that tolerate linker attachment, a critical prerequisite for bifunctional degrader construction.</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Our DEL technology was designed to identify ligands to drug the undrugged</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methods rely on proprietary DELs we have specifically engineered to enable access to selective binders for a diverse group of target protein classes, including transcription factors, E3 ligases, disease-specific mutant proteins including fusions, as well as many other targets that have not previously been drugged. Key features of our DEL platform include:</w:t>
      </w:r>
    </w:p>
    <w:p>
      <w:pPr>
        <w:spacing w:after="0" w:line="57" w:lineRule="exact"/>
        <w:rPr>
          <w:sz w:val="20"/>
          <w:szCs w:val="20"/>
          <w:color w:val="auto"/>
        </w:rPr>
      </w:pPr>
    </w:p>
    <w:p>
      <w:pPr>
        <w:ind w:left="660" w:hanging="328"/>
        <w:spacing w:after="0" w:line="24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Custom-synthesized DELs. </w:t>
      </w:r>
      <w:r>
        <w:rPr>
          <w:rFonts w:ascii="Times New Roman" w:cs="Times New Roman" w:eastAsia="Times New Roman" w:hAnsi="Times New Roman"/>
          <w:sz w:val="18"/>
          <w:szCs w:val="18"/>
          <w:color w:val="auto"/>
        </w:rPr>
        <w:t>Our libraries have been designed to incorporate hundreds of custom-synthesized chemical scaffolds that impart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desirable, drug-like chemical properties like solubility into each library compound in a manner that cannot be achieved when building DEL collections solely from commercial inputs. The three-dimensional design of our proprietary, SP3-enriched scaffolds allows our DEL compounds to better-complement the shallow surfaces of these more difficult to drug protein types, making them ideal for hit finding screens directed against targets that have proven to be undruggable by conventional approaches. For 75% of the undruggable targets screened to date, our scaffold libraries have provided the sole source of progressible hits. Often these binders interact with previously unappreciated binding sites on the surface of the target protein, or they interact with rare or unexpected conformational states, offering new ways to potentially target disease processes specifically. Most importantly, using our collection of over 5 billion DNA-linked and readily traceable compounds in thousands of screen reactions has allowed us to amass an enormous compendium of highly ordered binding data that is directly applicable to machine learning.</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Design and Differentiation of the Nurix DEL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19685</wp:posOffset>
            </wp:positionV>
            <wp:extent cx="5657850" cy="2305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right="300" w:hanging="328"/>
        <w:spacing w:after="0" w:line="25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Many screens, one protein target. </w:t>
      </w:r>
      <w:r>
        <w:rPr>
          <w:rFonts w:ascii="Times New Roman" w:cs="Times New Roman" w:eastAsia="Times New Roman" w:hAnsi="Times New Roman"/>
          <w:sz w:val="18"/>
          <w:szCs w:val="18"/>
          <w:color w:val="auto"/>
        </w:rPr>
        <w:t>Protein targets have many potentially ligandable surfaces and can also exist in multiple conformation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approach uses comprehensive parallel screening campaigns to interrogate numerous states and surfaces of the target protein by combining multiple protein constructs with a variety of known substrates, binders, or cofactors in empirically replicated screening assays</w:t>
      </w:r>
      <w:r>
        <w:rPr>
          <w:rFonts w:ascii="Times New Roman" w:cs="Times New Roman" w:eastAsia="Times New Roman" w:hAnsi="Times New Roman"/>
          <w:sz w:val="18"/>
          <w:szCs w:val="18"/>
          <w:b w:val="1"/>
          <w:bCs w:val="1"/>
          <w:i w:val="1"/>
          <w:iCs w:val="1"/>
          <w:color w:val="auto"/>
        </w:rPr>
        <w:t>.</w:t>
      </w:r>
    </w:p>
    <w:p>
      <w:pPr>
        <w:spacing w:after="0" w:line="77" w:lineRule="exact"/>
        <w:rPr>
          <w:rFonts w:ascii="Times New Roman" w:cs="Times New Roman" w:eastAsia="Times New Roman" w:hAnsi="Times New Roman"/>
          <w:sz w:val="18"/>
          <w:szCs w:val="18"/>
          <w:color w:val="auto"/>
        </w:rPr>
      </w:pPr>
    </w:p>
    <w:p>
      <w:pPr>
        <w:ind w:left="660" w:right="40" w:hanging="328"/>
        <w:spacing w:after="0" w:line="247"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Proprietary data analysis and hit confirmation technologies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built a suite of custom analytical tools for interpretation and prioritization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DEL binder outputs, which routinely contain thousands of productive hits. By leveraging data collected from thousands of DEL screens, we can rapidly recognize and eliminate background signal and reveal the most promising target-specific ligands. We have also developed high throughput methods for nanoscale hit resynthesis and affinity selection mass spectroscopy that allow a more comprehensive and industrialized process for rapidly confirming the best chemical starting points for future pipeline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ligase know-how enables us to address diverse therapeutic applications</w:t>
      </w:r>
    </w:p>
    <w:p>
      <w:pPr>
        <w:spacing w:after="0" w:line="121" w:lineRule="exact"/>
        <w:rPr>
          <w:sz w:val="20"/>
          <w:szCs w:val="20"/>
          <w:color w:val="auto"/>
        </w:rPr>
      </w:pPr>
    </w:p>
    <w:p>
      <w:pPr>
        <w:ind w:right="120" w:firstLine="648"/>
        <w:spacing w:after="0" w:line="264" w:lineRule="auto"/>
        <w:rPr>
          <w:sz w:val="20"/>
          <w:szCs w:val="20"/>
          <w:color w:val="auto"/>
        </w:rPr>
      </w:pPr>
      <w:r>
        <w:rPr>
          <w:rFonts w:ascii="Times New Roman" w:cs="Times New Roman" w:eastAsia="Times New Roman" w:hAnsi="Times New Roman"/>
          <w:sz w:val="17"/>
          <w:szCs w:val="17"/>
          <w:color w:val="auto"/>
        </w:rPr>
        <w:t>We have expanded the universe of E3 ligases available for therapeutic manipulation from the two predominantly used in the field, cereblon and VHL, by screening more than 100 E3 ligases to date to identify novel harnesses or molecular glues for use in TPD. We have carefully selected these E3 ligases based on their potential degradative function, level of processivity, lack of regulation, and desirable cell or tissue expression pattern. We consider the unique biological function of each ligase and the therapeutic requirements of the disease state when prioritizing discovery workflows. E3 ligases that are required for cancer cell survival are also of high interest for cancer indications to reduce the risk of intrinsic resistance to degrader action. We continue to actively grow our collection of chemical matter for E3 ligases to better tailor our TPD product profiles to our expanding range of therapeutic areas.</w:t>
      </w: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industrialized degrader design, synthesis and testing workflows are scaled for empirical learning</w:t>
      </w:r>
    </w:p>
    <w:p>
      <w:pPr>
        <w:spacing w:after="0" w:line="117" w:lineRule="exact"/>
        <w:rPr>
          <w:sz w:val="20"/>
          <w:szCs w:val="20"/>
          <w:color w:val="auto"/>
        </w:rPr>
      </w:pPr>
    </w:p>
    <w:p>
      <w:pPr>
        <w:ind w:left="660" w:hanging="328"/>
        <w:spacing w:after="0" w:line="25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 automated chemistry. </w:t>
      </w:r>
      <w:r>
        <w:rPr>
          <w:rFonts w:ascii="Times New Roman" w:cs="Times New Roman" w:eastAsia="Times New Roman" w:hAnsi="Times New Roman"/>
          <w:sz w:val="18"/>
          <w:szCs w:val="18"/>
          <w:color w:val="auto"/>
        </w:rPr>
        <w:t>Our advanced automated chemistry robotic suite allows for rapid synthesis of both binders and fully assembled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degrader molecules. Application of on-resin chemistry methods allows us to achieve high reaction yields with fidelity such that we can forego purification steps and move rapidly from synthesis to cell-based testing of hundreds of degrader analogs per design cycle. This automation enables us to sample unprecedented chemical space and allows for faster design-make-test cycles, accelerating drug discovery projects</w:t>
      </w:r>
    </w:p>
    <w:p>
      <w:pPr>
        <w:spacing w:after="0" w:line="62" w:lineRule="exact"/>
        <w:rPr>
          <w:rFonts w:ascii="Times New Roman" w:cs="Times New Roman" w:eastAsia="Times New Roman" w:hAnsi="Times New Roman"/>
          <w:sz w:val="18"/>
          <w:szCs w:val="18"/>
          <w:color w:val="auto"/>
        </w:rPr>
      </w:pPr>
    </w:p>
    <w:p>
      <w:pPr>
        <w:ind w:left="660" w:right="60" w:hanging="328"/>
        <w:spacing w:after="0" w:line="25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throughput proteomics. </w:t>
      </w:r>
      <w:r>
        <w:rPr>
          <w:rFonts w:ascii="Times New Roman" w:cs="Times New Roman" w:eastAsia="Times New Roman" w:hAnsi="Times New Roman"/>
          <w:sz w:val="18"/>
          <w:szCs w:val="18"/>
          <w:color w:val="auto"/>
        </w:rPr>
        <w:t>A key advantage of the targeted protein degradation modality in contrast to traditional small molecule inhibitor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is that the precision and selectivity of protein degradation can be measured globally in any cell type to define on- and off-target drug behavior discretely at a cellular level, something not possible for nearly any other pharmaceutical modality. This proteome-wide data is ideally suited to inform machine learning models.</w:t>
      </w:r>
    </w:p>
    <w:p>
      <w:pPr>
        <w:spacing w:after="0" w:line="75" w:lineRule="exact"/>
        <w:rPr>
          <w:rFonts w:ascii="Times New Roman" w:cs="Times New Roman" w:eastAsia="Times New Roman" w:hAnsi="Times New Roman"/>
          <w:sz w:val="18"/>
          <w:szCs w:val="18"/>
          <w:color w:val="auto"/>
        </w:rPr>
      </w:pPr>
    </w:p>
    <w:p>
      <w:pPr>
        <w:ind w:left="660" w:right="260" w:hanging="328"/>
        <w:spacing w:after="0" w:line="25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Early and scaled </w:t>
      </w:r>
      <w:r>
        <w:rPr>
          <w:rFonts w:ascii="Times New Roman" w:cs="Times New Roman" w:eastAsia="Times New Roman" w:hAnsi="Times New Roman"/>
          <w:sz w:val="18"/>
          <w:szCs w:val="18"/>
          <w:b w:val="1"/>
          <w:bCs w:val="1"/>
          <w:color w:val="auto"/>
        </w:rPr>
        <w:t>in vivo</w:t>
      </w:r>
      <w:r>
        <w:rPr>
          <w:rFonts w:ascii="Times New Roman" w:cs="Times New Roman" w:eastAsia="Times New Roman" w:hAnsi="Times New Roman"/>
          <w:sz w:val="18"/>
          <w:szCs w:val="18"/>
          <w:b w:val="1"/>
          <w:bCs w:val="1"/>
          <w:i w:val="1"/>
          <w:iCs w:val="1"/>
          <w:color w:val="auto"/>
        </w:rPr>
        <w:t xml:space="preserve"> pharmacokinetics and pharmacodynamics of bifunctional degraders. </w:t>
      </w:r>
      <w:r>
        <w:rPr>
          <w:rFonts w:ascii="Times New Roman" w:cs="Times New Roman" w:eastAsia="Times New Roman" w:hAnsi="Times New Roman"/>
          <w:sz w:val="18"/>
          <w:szCs w:val="18"/>
          <w:color w:val="auto"/>
        </w:rPr>
        <w:t>Our degrader optimization workflows employ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 throughput in vivo screens for oral bioavailability which has enabled us to empirically determine the complex spectrum of property combinations that correlate with potent pharmacodynamic activity.</w:t>
      </w:r>
    </w:p>
    <w:p>
      <w:pPr>
        <w:spacing w:after="0" w:line="77" w:lineRule="exact"/>
        <w:rPr>
          <w:rFonts w:ascii="Times New Roman" w:cs="Times New Roman" w:eastAsia="Times New Roman" w:hAnsi="Times New Roman"/>
          <w:sz w:val="18"/>
          <w:szCs w:val="18"/>
          <w:color w:val="auto"/>
        </w:rPr>
      </w:pPr>
    </w:p>
    <w:p>
      <w:pPr>
        <w:ind w:left="660" w:right="100" w:hanging="328"/>
        <w:spacing w:after="0" w:line="25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Structure based drug design and ternary complex modeling. </w:t>
      </w:r>
      <w:r>
        <w:rPr>
          <w:rFonts w:ascii="Times New Roman" w:cs="Times New Roman" w:eastAsia="Times New Roman" w:hAnsi="Times New Roman"/>
          <w:sz w:val="18"/>
          <w:szCs w:val="18"/>
          <w:color w:val="auto"/>
        </w:rPr>
        <w:t>Ternary complex stability, optimal ligase-to-target protein orientation, and minimal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degrader molecular weight are core tenets of any TPD discovery campaign. Our workflows prioritize the empirical determination of a variety of biophysical properties and behaviors, including protein x-ray structures, ternary complex x-ray or cryo-EM structures, and an array of protein-protein and ligand-protein modeling exercises that deliver valuable datasets for informing TPD design.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Cohesive integration of advanced machine learning to every aspect of our discovery process</w:t>
      </w:r>
    </w:p>
    <w:p>
      <w:pPr>
        <w:spacing w:after="0" w:line="12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Targeted protein degradation has unlocked novel avenues for delivering effective therapies, leveraging unprecedented mechanisms of action to eliminate disease-causing proteins. These molecules involve new biology and new chemistry, necessitating extensive research along many dimensions of our drug candidates to achieve desirable profiles for our TPDs. To navigate this new paradigm in drug discovery, we have taken an empirical approach. We have invested heavily in high-throughput data generation workflows such as our 5 billion compound DEL resource as well as our automated chemistry and assay platforms. As a result, we have amassed one of the industry’s largest datasets singularly generated from experiments relevant to discovery, validation and optimization of targeted protein degradation.</w:t>
      </w:r>
    </w:p>
    <w:p>
      <w:pPr>
        <w:spacing w:after="0" w:line="7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research engine harnesses our expansive, empirical data streams to write the rulebook for TPD drug design. Through the integration of high-quality data emerging from our discovery and development workflows and application of deep learning and generative design, our powerful research engine is delivering a rapidly growing portfolio of early leads and optimized drug candidates.</w:t>
      </w:r>
    </w:p>
    <w:p>
      <w:pPr>
        <w:spacing w:after="0" w:line="57" w:lineRule="exact"/>
        <w:rPr>
          <w:sz w:val="20"/>
          <w:szCs w:val="20"/>
          <w:color w:val="auto"/>
        </w:rPr>
      </w:pPr>
    </w:p>
    <w:p>
      <w:pPr>
        <w:ind w:left="660" w:right="420" w:hanging="328"/>
        <w:spacing w:after="0" w:line="27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 Foundation. </w:t>
      </w:r>
      <w:r>
        <w:rPr>
          <w:rFonts w:ascii="Times New Roman" w:cs="Times New Roman" w:eastAsia="Times New Roman" w:hAnsi="Times New Roman"/>
          <w:sz w:val="18"/>
          <w:szCs w:val="18"/>
          <w:color w:val="auto"/>
        </w:rPr>
        <w:t>A foundation machine learning model built on our high-quality and high-volume DEL datasets which enables prospective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binder identification for diverse POI and Ligase targets.</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Degrader activity</w:t>
      </w:r>
      <w:r>
        <w:rPr>
          <w:rFonts w:ascii="Times New Roman" w:cs="Times New Roman" w:eastAsia="Times New Roman" w:hAnsi="Times New Roman"/>
          <w:sz w:val="17"/>
          <w:szCs w:val="17"/>
          <w:color w:val="auto"/>
        </w:rPr>
        <w:t>. Program-specific models trained on our proprietary degrader activity datasets to better understand and optimize degrader MOA.</w:t>
      </w:r>
    </w:p>
    <w:p>
      <w:pPr>
        <w:spacing w:after="0" w:line="115" w:lineRule="exact"/>
        <w:rPr>
          <w:rFonts w:ascii="Times New Roman" w:cs="Times New Roman" w:eastAsia="Times New Roman" w:hAnsi="Times New Roman"/>
          <w:sz w:val="17"/>
          <w:szCs w:val="17"/>
          <w:color w:val="auto"/>
        </w:rPr>
      </w:pPr>
    </w:p>
    <w:p>
      <w:pPr>
        <w:ind w:left="660" w:right="200" w:hanging="328"/>
        <w:spacing w:after="0" w:line="27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Multiparameter property optimization. </w:t>
      </w:r>
      <w:r>
        <w:rPr>
          <w:rFonts w:ascii="Times New Roman" w:cs="Times New Roman" w:eastAsia="Times New Roman" w:hAnsi="Times New Roman"/>
          <w:sz w:val="18"/>
          <w:szCs w:val="18"/>
          <w:color w:val="auto"/>
        </w:rPr>
        <w:t>A suite of models tuned to predict a range of important molecular and pharmacokinetic properties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unique chemical space occupied by TPD molecules.</w:t>
      </w:r>
    </w:p>
    <w:p>
      <w:pPr>
        <w:spacing w:after="0" w:line="59"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Generative molecular design. </w:t>
      </w:r>
      <w:r>
        <w:rPr>
          <w:rFonts w:ascii="Times New Roman" w:cs="Times New Roman" w:eastAsia="Times New Roman" w:hAnsi="Times New Roman"/>
          <w:sz w:val="18"/>
          <w:szCs w:val="18"/>
          <w:color w:val="auto"/>
        </w:rPr>
        <w:t>An integrated infrastructure leveraging the range of DEL Foundation, Degrader Activity, and Property Optimization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models within an advanced generative machine learning framework.</w:t>
      </w:r>
    </w:p>
    <w:p>
      <w:pPr>
        <w:spacing w:after="0" w:line="45" w:lineRule="exact"/>
        <w:rPr>
          <w:rFonts w:ascii="Times New Roman" w:cs="Times New Roman" w:eastAsia="Times New Roman" w:hAnsi="Times New Roman"/>
          <w:sz w:val="18"/>
          <w:szCs w:val="18"/>
          <w:color w:val="auto"/>
        </w:rPr>
      </w:pPr>
    </w:p>
    <w:p>
      <w:pPr>
        <w:ind w:left="660" w:right="40" w:hanging="328"/>
        <w:spacing w:after="0" w:line="24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Harnessing our data generation pipelines with machine learning. </w:t>
      </w:r>
      <w:r>
        <w:rPr>
          <w:rFonts w:ascii="Times New Roman" w:cs="Times New Roman" w:eastAsia="Times New Roman" w:hAnsi="Times New Roman"/>
          <w:sz w:val="18"/>
          <w:szCs w:val="18"/>
          <w:color w:val="auto"/>
        </w:rPr>
        <w:t>Our investment in scalable science has created large data streams stemming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our DEL, automated chemistry, and high-throughput experimental platforms. As a result, Nurix has amassed one of the industry’s largest datasets singularly generated from experiments relevant to targeted protein degradation. Through the integration of this data spanning the range of our degrader development activities with deep learning and generative design, our researchers leverage our machine learning platform to identify and deliver novel, optimized compounds at any stage along the research pipeline.</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Our DAC platform can drive the discovery of cell-specific targeted therapies with the potential for an increased therapeutic windows</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Antibody drug conjugates (ADCs) are a rapidly growing modality in targeted therapy. Traditional ADCs combine the selectivity of monoclonal antibodies with the potency of broadly cytotoxic payloads to effect malignant cell killing. While this modality can be agnostic to oncogenic mechanism, the pleiotropic effects of these payloads cannot be completely controlled by delivery, and therefore often lead to dose-limiting toxicity. We believe DACs, formed by conjugating a disease- or cell-type-selective antibody to a targeted protein degrader, can overcome the limitations of traditional ADCs. First, the degrader payload of a DAC swaps the polypharmacology of a payload toxin, not all of which is required for disease control, with the potent and precise pathway blockade that can be achieved by targeted protein degradation. Second, since degraders are catalytic, delivery of just a few degrader molecules to any one cell is sufficient to catalyze complete removal of a target protein and provide prolonged pharmacodynamic effect. Third, the tissue distribution of the degrader target protein and the co-opted E3 ligase afford two additional layers of selectivity to delimit DAC activity beyond what can be achieved through antibody delivery alone, mitigating the common ADC toxicities and providing the potential for superior safety while maintaining ADC-equivalent biological potency. In comparison, other novel antibody payloads, such as enzyme inhibitors, require high levels of payload delivery to be effective. An added benefit of the DAC modality is that it expands the repertoire of biological targets and E3 ligases that would make suitable combinations to achieving disease efficacy through TPD. This added flexibility enables us to further tap the potential of our DEL-AI platform to harvest a larger spectrum of Nurix’s existing chemical matter and know-how.</w:t>
      </w:r>
    </w:p>
    <w:p>
      <w:pPr>
        <w:spacing w:after="0" w:line="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a proof-of-concept for the DAC approach, we conjugated one of our potent BTK degraders to B-cell targeting (anti-CD19) and non-targeting (anti-Her2) monoclonal antibodies via a diverse set of chemical linkers leveraging our existing platform capabilities. The resulting B-cell targeting anti-CD19-BTK DACs, and non-targeting anti-Her2-BTK control conjugates were tested for BTK degradation in CD19+ malignant B cells. As illustrated in the figure below, we were able to show that only the anti-CD19 DAC (blue) had comparable degradation potency to that of the unconjugated degrader, validating the power and feasibility of antigen-specific antibody-mediated delivery of the DAC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55880</wp:posOffset>
            </wp:positionV>
            <wp:extent cx="5657850" cy="2691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entered into the First Amendment and the Second Amendment, respectively, to the Gilead Agreement to clarify certain language of the Gilead Agreement. In February 2024 and March 2024, as part of the existing collaboration agreement, Gilead elected to extend the five-year initial research term by two years for certain drug targets (Gilead Research Term Extension). The Gilead Research Term Extension triggered a $15.0 million payment, which we received in the second quarter of fiscal year 2024.</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7" w:name="page28"/>
    <w:bookmarkEnd w:id="27"/>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w:t>
      </w:r>
    </w:p>
    <w:p>
      <w:pPr>
        <w:spacing w:after="0" w:line="92"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spacing w:after="0" w:line="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Upon signing the Gilead Agreement, Gilead paid us an upfront payment of $45.0 million, plus $3.0 million in additional fees. In addition, from the signing of the Gilead Agreement to November 30, 2024, we received payments of $47.0 million for research milestones and additional payments,</w:t>
      </w:r>
    </w:p>
    <w:p>
      <w:pPr>
        <w:ind w:right="80"/>
        <w:spacing w:after="0" w:line="241" w:lineRule="auto"/>
        <w:rPr>
          <w:sz w:val="20"/>
          <w:szCs w:val="20"/>
          <w:color w:val="auto"/>
        </w:rPr>
      </w:pPr>
      <w:r>
        <w:rPr>
          <w:rFonts w:ascii="Times New Roman" w:cs="Times New Roman" w:eastAsia="Times New Roman" w:hAnsi="Times New Roman"/>
          <w:sz w:val="18"/>
          <w:szCs w:val="18"/>
          <w:color w:val="auto"/>
        </w:rPr>
        <w:t>$20.0 million for a license option exercise payment and $15.0 million in research term extension fees. As of November 30, 2024, we are eligible to receive up to approximately $1.8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spacing w:after="0" w:line="7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 to expire option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spacing w:after="0" w:line="7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Also in July 2022, Sanofi elected to replace certain drug targets, and the substitution extended the research term of those targets by one year to 5.25 years. In August 2022 and November 2023, we entered into the Fourth Amendment and Fifth Amendment, respectively, to the Sanofi Agreement to modify the research plan for certain targets. In March 2024, we entered into the Sixth Amendment to the Sanofi Agreement to extend the research term for the collaboration target STAT6 (signal transducer and activator of transcription 6), a key drug target in type 2 inflammation, by two years.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spacing w:after="0" w:line="9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spacing w:after="0" w:line="7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November 30, 2024, we received payments of $13.0 million for research milestones. As of November 30, 2024, we are eligible to receive up to approximately $1.9 billion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spacing w:after="0" w:line="87"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DACs, a new class of medicines for use in cancer treatment, and advancing these DAC drug candidates through preclinical and clinical development and commercialization.</w:t>
      </w:r>
    </w:p>
    <w:p>
      <w:pPr>
        <w:spacing w:after="0" w:line="8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spacing w:after="0" w:line="6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Under the terms of the Pfizer Agreement, we received an upfront payment of $60.0 million. In addition, from the signing of the Pfizer Agreement to November 30, 2024, we received a payment of $5.0 million in connection with the achievement of a research milestone in May 2024.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facilities for product manufacturing, packaging, storage and distribution, or testing. We rely on and expect to continue to rely on contract manufacturing organizations (CMOs) for both drug substance and finished drug product. We have personnel or engaged consultants with extensive technical, manufacturing, analytical and quality experience and good project management to oversee contract manufacturing and testing activities. We have engaged third-party manufacturers to supply the drug substances for NX-5948, NX-2127 and NX-1607 and to develop and manufacture finished drug products for use in our clinical trials. Should any of these manufacturers become unavailable to us for any reason, we believe that there are a number of potential replacements, although we may incur some delay in identifying and qualifying such replacements.</w:t>
      </w:r>
    </w:p>
    <w:p>
      <w:pPr>
        <w:spacing w:after="0" w:line="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All of our drug candidates are organic compounds of low molecular weight, generally called small molecules, but which are larger than traditional small molecule therapeutics. We have selected these compounds not only on the basis that they could have potentially favorable efficacy and safety profiles, but also for their ease of synthesis and the reasonable cost of their starting materials. In particular, our lead drug candidates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cost-effectively at contract manufacturing facilities.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rapidly advancing technologies, intense competition and a strong emphasis on intellectual property and proprietary products. While we believe that our technology, development experience, scientific knowledge and intellectual property portfolio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drug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71"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Our focus is the discovery and development of innovative small molecules and antibody therapies designed to degrade protein levels, including targeted protein degraders. We are aware of multiple companies that primarily focus on developing small molecules that degrade target proteins. Drug candidates from our BTK degrader and CBL-B inhibitor programs may face competition from drugs with similar mechanisms of action. We are also aware of clinical-staged BTK degraders currently in development by multiple companies, and we are aware of at least once company currently developing a clinical-staged CBL-B inhibitor.</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lead drug candidates target hematologic cancers and immune-mediated diseases. The most common methods of treating patients in oncologic indications are surgery, radiation and drug therapy, including chemotherapy, hormone therapy and targeted drug therapy. There are a variety of available drug therapies marketed for cancer, including hematologic cancers.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7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addition to currently marketed drugs, there are also several drug candidates in late-stage clinical development for the treatment of oncologic indications and immune-mediated diseases. These products in development may provide efficacy, safety, convenience and other benefits that are not provided by currently marketed therapies. As a result, they may provide significant competition for any of our drug candidates for which we obtain market approval.</w:t>
      </w:r>
    </w:p>
    <w:p>
      <w:pPr>
        <w:spacing w:after="0" w:line="6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any of our drug candidates are approved for the indications for which we currently are conducting clinical trials or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0" w:name="page31"/>
    <w:bookmarkEnd w:id="30"/>
    <w:p>
      <w:pPr>
        <w:ind w:firstLine="648"/>
        <w:spacing w:after="0" w:line="24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strategic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opportunities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8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our programs, if approved, are likely to be their efficacy, safety, convenience, price, level of generic competition and availability of reimbursement.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platforms, drug candidates and improvements thereof that are commercially important to our business, including obtaining, maintaining and defending patent rights, whether developed internally or licensed from third parties. Our policy is to seek to protect our proprietary position by, among, other methods, pursuing patent protection in the United States and in jurisdictions outside of the United States related to our proprietary technology, inventions, improvements, platforms and drug candidates that are important to the development and implementation of our business. Our patent portfolio is intended to cover, but is not limited to, our technology platforms, drug candidates and components thereof and their methods of use, and any other inventions that are commercially important to our business.</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also rely on trade secret protection of our confidential information and know-how relating to our proprietary technology, platforms and drug candidates and continuing innovation to develop, strengthen and maintain our position in our DEL-AI platform and drug candidates. Trade secrets are difficult to protect and provide us with only limited protection.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 applications; to defend against challenges and assertions by third parties of their purported intellectual property rights; and to operate without infringement of valid and enforceable patents and other proprietary rights of third parties. For risks related to our intellectual property, please see “Risk Factors—Risks Related to Our Intellectual Property.”</w:t>
      </w:r>
    </w:p>
    <w:p>
      <w:pPr>
        <w:spacing w:after="0" w:line="92"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believe that we have a strong global intellectual property position and substantial know how and trade secrets relating to our DEL-AI platform and drug candidates. As of December 31, 2024, we have 10 U.S. patents, 26 U.S. patent applications, 10 foreign patents and 134 foreign applications that we own, and three U.S. patents, four pending U.S. patent applications, one foreign patent and 26 foreign patent applications that we co-own with Gilead. The expected expirations for issued patents and patents that may issue from pending applications covering our clinical candidates are between the years 2039 and 2044 for NX-5948; 2039 and 2042 for NX-2127; and 2040 and 2043 for NX-1607.</w:t>
      </w:r>
    </w:p>
    <w:p>
      <w:pPr>
        <w:spacing w:after="0" w:line="7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most countries in which we file, including the United States, the patent term is 20 years from the earliest date of filing of a non-provisional patent application in the applicable country. However, the patent term of U.S. patents may, in certain cases, be adjusted for administrative delays by the United States Patent and Trademark Office (USPTO) in examining and granting a patent or may be shortened if a patent is terminally disclaimed over an earlier filed patent. In addition, the term of a patent may be extended as compensation for the patent term lost during the FDA regulatory review process. For example, for drugs that are regulated by the FDA under the Hatch-Waxman Act, it is permitted to extend the term of a patent that covers such drug for up to five years beyond the normal expiration date of the patent. For more information on patent term extensions, see “Business—Government Regulation—The Hatch-Waxman Act—Patent term extension.” In the future, if and when our pharmaceutical drug candidates receive FDA approval, we expect to apply for patent term extensions on patents, if issued, covering those drug candidates. We intend to seek patent term extensions to any of our patents, if issued, in any jurisdiction where these are available; however, there is no guarantee that the applicable authorities, including the USPTO and FDA, will agree with our assessment of whether such extensions should be granted, and even if granted, the length of such extensions.</w:t>
      </w:r>
    </w:p>
    <w:p>
      <w:pPr>
        <w:spacing w:after="0" w:line="200" w:lineRule="exact"/>
        <w:rPr>
          <w:sz w:val="20"/>
          <w:szCs w:val="20"/>
          <w:color w:val="auto"/>
        </w:rPr>
      </w:pPr>
    </w:p>
    <w:p>
      <w:pPr>
        <w:spacing w:after="0" w:line="3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1" w:name="page32"/>
    <w:bookmarkEnd w:id="31"/>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6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also rely on trade secret protection for our know-how, confidential and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confidential and proprietary information as trade secrets, including through contractual means with our employees, consultants, outside scientific collaborators, sponsored researchers and other advisors, competitors or other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Despite these efforts, we cannot provide any assurances that all such agreements have been duly executed, and any of these parties may breach the agreements and disclose our proprietary information, and we may not be able to obtain adequate remedies for such breaches.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sections titled “Risk Factors— Risks Related to Our Intellectual Property” and “Risk Factors—Risks Related to Regulatory Approval and Marketing of Our Drug Candidates.”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In the United States, biological and pharmaceutical products are subject to extensive regulation by the FDA. The Federal Food, Drug, and Cosmetic Act (FDCA), Public Health Service Act (PHSA), and other federal and state statutes and regulations govern, among other things, the research, development, testing, manufacture, quality control, packaging, storage, recordkeeping, approval, labeling, promotion, advertising and marketing, distribution, post-approval monitoring and reporting, sampling, tracking and tracing and import and export of biological and pharmaceutical products. Failure to comply with applicable U.S. requirements may subject a company to a variety of administrative or judicial sanctions, such as FDA refusal to approve pending new drug applications (NDAs) or biologics licensure applications (BLAs), withdrawal of an approval, imposition of a clinical hold, warning or untitled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w:t>
      </w:r>
    </w:p>
    <w:p>
      <w:pPr>
        <w:spacing w:after="0" w:line="93"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18"/>
          <w:szCs w:val="18"/>
          <w:color w:val="auto"/>
        </w:rPr>
        <w:t>Biological or pharmaceutical product development for a new product or certain changes to an approved or licensed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a drug, or the safety, purity, or potency of a biological product, for each indication for which FDA approval is sought. Satisfaction of FDA pre-market approval and licensure requirements typically takes many years and the actual time required may vary substantially based upon the type, complexity and novelty of the product or disease.</w:t>
      </w:r>
    </w:p>
    <w:p>
      <w:pPr>
        <w:spacing w:after="0" w:line="7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Preclinical tests include laboratory evaluation of product chemistry, formulation and toxicity,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trials to assess the characteristics and potential safety and efficacy of the product for initial testing in humans and to establish a rationale for therapeutic use.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ind w:firstLine="648"/>
        <w:spacing w:after="0" w:line="243"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new drug or biological product to be shipped in interstate commerce for use in an investigational clinical trial and a request for FDA authorization to administer an investigational drug or biological product to humans. Such authorization must be secured prior to interstate shipment and administration of any new drug or biological product that is not the subject of an approved NDA or BLA. In support of a request for an IND, a sponsor must submit a protocol for each clinical trial and any subsequent protocol amendments must be submitted to the FDA as part of the IND. The sponsor may be a company seeking to develop the drug or biological product or, as in the case of an investigator-initiated trial, the sponsor may be an investigator who is conducting the trial. In addition, the results of the preclinical tests, together with manufacturing information, analytical data, any available clinical data or literature and plans for clinical trials, among other things, are submitted to the FDA as part of an IND.</w:t>
      </w:r>
    </w:p>
    <w:p>
      <w:pPr>
        <w:spacing w:after="0" w:line="9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 30-day waiting period after the submission of each IND is required prior to the commencement of clinical testing in humans.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 If the FDA has neither commented on nor questioned the IND within this 30-day period, the clinical trial proposed in the IND may begin.</w:t>
      </w:r>
    </w:p>
    <w:p>
      <w:pPr>
        <w:spacing w:after="0" w:line="7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or biological product to healthy volunteers or patients under the supervision of a qualified investigator. Clinical trials must be conducted: (i) in compliance with federal regulations; (ii) in compliance with good clinical practice (GCP), which is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72"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as a clinical hold or partial clinical hold, or impose other sanctions, if it believes that the clinical trial either is not being conducted in accordance with FDA requirements or presents an unacceptable risk to the clinical trial patients.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7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Specifically, the FDA has promulgated regulations governing the acceptance of data from foreign clinical trials not conducted under an IND, establishing that such data from studies will be accepted as support for an IND or application for marketing approval if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81"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The study protocol and informed consent information for patients in clinical trials must also be submitted to an institutional review board (IRB) representing each institution participating in the clinical trial. The IRB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may also require the clinical trial at the site to be halted, either temporarily or permanently, for failure to comply with the IRB’s requirements, or may impose other conditions.</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firstLine="648"/>
        <w:spacing w:after="0" w:line="246"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8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(NIH) for public dissemination on its ClinicalTrials.gov website. Sponsors are also obligated to disclose the results of their clinical trials after completion. Disclosure of the results of these trials can be delayed in certain circumstances for up to two years after the date of completion of the trial.</w:t>
      </w:r>
    </w:p>
    <w:p>
      <w:pPr>
        <w:spacing w:after="0" w:line="8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Clinical trials to support NDAs or BLAs for marketing approval or licensure are typically conducted in three sequential phases, but the phases may overlap. In Phase 1, the drug or biological product is introduced into healthy human subjects or in certain indications such as cancer, into patients with the target disease or condition. The drug is tested in Phase 1 to assess metabolism, pharmacokinetics, pharmacological actions, side effects associated with increasing doses, and, if possible, early evidence of effectiveness. Phase 2 usually involves trials in a limited patient population to determine the effectiveness or potency of the drug or biological product for a particular indication, dosage tolerance and optimum dosage, and to identify common adverse effects and safety risks. If a product candidate demonstrates evidence of effectiveness and an acceptable safety profile in Phase 2 evaluations, Phase 3 trials are conducted. In a Phase 3 trial, the drug or biological product is administered to an expanded patient population, generally at geographically dispersed clinical trial sites, in well-controlled clinical trials to generate enough data to statistically evaluate the efficacy or potency and purity, and safety, of the product for approval or licensure, to establish the overall risk benefit profile of the product, and to provide adequate information for the labeling of the product.</w:t>
      </w:r>
    </w:p>
    <w:p>
      <w:pPr>
        <w:spacing w:after="0" w:line="7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most cases the FDA requires at least two adequate and well-controlled Phase 3 clinical trials to demonstrate the efficacy or potency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Post-approval studies, or Phase 4 trials, are often required following initial approval and are intended to gain additional experience and data from treatment of patients in the intended therapeutic indication.</w:t>
      </w:r>
    </w:p>
    <w:p>
      <w:pPr>
        <w:spacing w:after="0" w:line="7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conducted under an IND must be submitted at least annually to the FDA and more frequently if serious adverse effects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or biological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or biological product has been associated with unexpected serious harm to patients. The FDA will typically inspect one or more clinical sites to assure compliance with GCP and the integrity of the clinical data submitted in an NDA or BLA.</w:t>
      </w:r>
    </w:p>
    <w:p>
      <w:pPr>
        <w:spacing w:after="0" w:line="78"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drug or biological product as well as finalize a process for manufacturing the product in commercial quantities in accordance with current good manufacturing practices (cGMP) requirements. The manufacturing process must be capable of consistently producing quality batches of the drug or biological product candidate and, among other things, must develop methods for testing the identity, strength, quality and purity of the final drug. Additionally, appropriate packaging must be selected and tested, and stability studies must be conducted to demonstrate that the drug or biological product candidate does not undergo unacceptable deterioration over its shelf life.</w:t>
      </w:r>
    </w:p>
    <w:p>
      <w:pPr>
        <w:spacing w:after="0" w:line="7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After completion of the required clinical testing, an NDA or BLA is prepared and submitted to the FDA. FDA approval of the NDA or BLA is required before marketing of the product may begin in the United States. The application must include the results of all preclinical, clinical and other testing and a compilation of data relating to the product’s pharmacology, chemistry, manufacture and controls. The cost of preparing and submitting an application is substantial. The submission of most NDAs or BLAs is additionally subject to a substantial application user fee, currently set for fiscal year 2025 at $4,310,002 for applications requiring clinical data, and $2,155,001 for applications not requiring clinical data, and the manufacturer and sponsor under an approved NDA or BLA are also subject to annual program fees, currently set for fiscal year 2025 at $403,889 for each prescription product. These fees are typically increased annually. Sponsors of applications for drugs granted Orphan Drug Designation are exempt from these user fees.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4" w:name="page35"/>
    <w:bookmarkEnd w:id="34"/>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FDA has 60 days from its receipt of an NDA or BLA to determine whether the application will be accepted for filing based on the agency’s threshold determination that it is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review. The FDA has agreed to certain performance goals in the review of NDAs and BLAs to encourage timeliness. The FDA intends to review applications for standard review product candidates within ten months of the 60-day filing date; and applications for priority review product candidates within six months. Priority review can be applied to drugs or biological products that the FDA determines treat a serious condition, and if approved, would offer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 limiting product reaction, documented enhancement of patient compliance that may lead to improvement in serious outcomes, and evidence of safety and effectiveness in a new subpopulation. The review process for both standard and priority review may be extended by the FDA for three additional months to consider certain late-submitted information, or information intended to clarify information already provided in the submission.</w:t>
      </w:r>
    </w:p>
    <w:p>
      <w:pPr>
        <w:spacing w:after="0" w:line="81" w:lineRule="exact"/>
        <w:rPr>
          <w:sz w:val="20"/>
          <w:szCs w:val="20"/>
          <w:color w:val="auto"/>
        </w:rPr>
      </w:pPr>
    </w:p>
    <w:p>
      <w:pPr>
        <w:ind w:right="560" w:firstLine="648"/>
        <w:spacing w:after="0" w:line="250"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or biological product to an advisory committee for review, evaluation and a recommendation as to whether the application should be approved, or otherwise explain why such referral was not made. An advisory committee is typically a panel that includes clinicians and other experts. The FDA is not bound by the recommendation of an advisory committee, but it generally follows such recommendations.</w:t>
      </w:r>
    </w:p>
    <w:p>
      <w:pPr>
        <w:spacing w:after="0" w:line="83"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Before approving an NDA or BLA, the FDA will typically inspect one or more clinical sites to assure compliance with GCP. Additionally, the FDA will inspect the facility or the facilities at which the drug or biological product is manufactured. The FDA will not approve the application unless compliance with cGMPs is satisfactory and the application contains data that provide substantial evidence that the drug is safe and effective, or the biological product is safe, pure and potent, in the indication studied.</w:t>
      </w:r>
    </w:p>
    <w:p>
      <w:pPr>
        <w:spacing w:after="0" w:line="69"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17"/>
          <w:szCs w:val="17"/>
          <w:color w:val="auto"/>
        </w:rPr>
        <w:t>After the FDA evaluates the NDA or BLA and accompanying information and the manufacturing facilities, it issues either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or BLA, the FDA will issue an approval letter. The FDA intends to review such resubmissions in two or six months depending on the type of information included.</w:t>
      </w:r>
    </w:p>
    <w:p>
      <w:pPr>
        <w:spacing w:after="0" w:line="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Even with submission of this additional information, the FDA ultimately may decide that the application does not satisfy the regulatory criteria for approval or licensure.</w:t>
      </w:r>
    </w:p>
    <w:p>
      <w:pPr>
        <w:spacing w:after="0" w:line="72"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or biological product with specific prescribing information for specific indications. As a condition of approval or licensure, the FDA may require a risk evaluation and mitigation strategy (REMS) to help ensure that the benefits of the drug or biological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or biological product.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9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If the FDA approves or licenses a drug or biological product, it may limit the approved indications for use of the product; require that contraindications, warnings or precautions be included in the product labeling; require that post-approval studies, including Phase 4 clinical trials, be conducted to further assess the drug’s safety after approval or licensure;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Changes to some of the conditions established in an approved application, including changes in indications, labeling, or manufacturing processes or facilities, require submission and FDA approval of a new NDA or BLA, or an NDA or BLA supplement before the change can be implemented. An NDA or BLA supplement for a new indication typically requires clinical data similar to that in the original application, and the FDA uses the same procedures and actions in reviewing NDA and BLA supplements as it does in reviewing NDAs and BLAs.</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medicines in the European Union (EU)</w:t>
      </w:r>
    </w:p>
    <w:p>
      <w:pPr>
        <w:spacing w:after="0" w:line="12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the EU, companies can apply for marketing authorizations under the centralized procedure to the EMA or they can submit their application to the competent authorities in the European Economic Area (EEA) Member States via the decentralized procedure, the national procedure, or the mutual recognition procedure. The centralized procedure is mandatory for certain medicines, such as those produced by biotechnology, orphan medicinal products, advanced therapy medicinal products and those containing a new active substance indicated for the treatment of HIV, AIDS, cancer, neurodegenerative disorders, autoimmune and other immune dysfunctions, viral diseases, or diabetes. The centralized procedure remains optional for medicines containing a new active substance, or which are a significant therapeutic, scientific, or technical innovation or whose authorization would be in the interest of public health. Therefore the centralized procedure remains mandatory for the majority of biological medicinal products.</w:t>
      </w:r>
    </w:p>
    <w:p>
      <w:pPr>
        <w:spacing w:after="0" w:line="7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marketing authorization granted under the centralized procedure by the EMA will be valid in all EEA Member States. The evaluation of a marketing authorization application by the EMA’s Committee for Medicinal Products for Human Use (CHMP) takes up to 210 “active” days (excluding all “clock stops” for an applicant to address questions by the EMA–there are usually one or two clock stops that last three to six months and one to two months, respectively) but can be extended, should additional information be required by the CHMP. The European Commission makes the final decision to grant a marketing authorization, which is issued within 67 days of receipt of the EMA’s positive opinion. An accelerated assessment procedure of 150 days may be implemented for drugs considered to be of major public health interest. There is also an internal re-examination procedure available in case the applicant disagrees with the CHMP opinion.</w:t>
      </w:r>
    </w:p>
    <w:p>
      <w:pPr>
        <w:spacing w:after="0" w:line="8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Under the mutual recognition procedure, the national marketing authorization holder may submit an application to other EEA Member States. The Member States involved must decide whether to recognize the approval within 90 days of receiving the application. If a Member State does not recognize the marketing authorization, the disputed points are eventually referred to the European Commission, whose decision is binding.</w:t>
      </w:r>
    </w:p>
    <w:p>
      <w:pPr>
        <w:spacing w:after="0" w:line="8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Since the UK has left the EU, Great Britain is no longer covered by centralized marketing authorizations. This is not the case for Northern Ireland as under the Northern Ireland Protocol, centralized marketing authorizations continued to be recognized in Northern Ireland until December 31, 2024. Medicines with existing centralized marketing authorizations were automatically converted to Great Britain marketing authorizations on January 1, 2021. A separate marketing authorization application is required in respect of the UK. The UK government reached a new agreement with the EU, the “Windsor Framework,” which replaced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have been implemented as of January 1, 2025. The MHRA has ceased to participate in the assessment of any centralized procedures since January 1, 2021. Since then, the MHRA has launched the Innovative Licensing and Access Pathway (ILAP), a new accelerated assessment procedure for marketing authorization applications that enables eligible products to be authorized in and potentially placed on the UK market faster. This pathway is currently closed, as of November 20, 2024, until March 2025, when it will reopen for applications under a new refreshed pathway. On January 1, 2024, the MHRA launched an International Recognition Procedure for marketing authorization applications whereby the MHRA will, when considering such applications, take into account the approval of medicines by trusted reference regulators in Australia, Canada, Switzerland, Singapore, Japan, United States and EU into its own abbreviated assessment.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regulation and data sharing in the EU</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the EU/EEA, all initial clinical trial applications (CTA) must be submitted through the Clinical Trials Information System (CTIS) and ethics approval must be sought from an independent Ethics Committee. Under the EU Clinical Trials Regulation 536/2014, which has been in effect since January 31, 2022, replacing the EU Clinical Trials Directive 2001/20/EC, suspected unexpected serious adverse reactions to the drug being trialed occurring during the clinical trial must be reported via the EudraVigilance database.</w:t>
      </w:r>
    </w:p>
    <w:p>
      <w:pPr>
        <w:spacing w:after="0" w:line="69"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color w:val="auto"/>
        </w:rPr>
        <w:t>In the EU, Transparency Regulation No 1049/ 2001, EMA Policy 0043, EMA Policy 0070, as well as the Clinical Trials Regulation No 536/2014 set out the obligation for sponsors to make publicly available certain information stemming from clinical studies, whether proactively or in response to third party requests. Interested parties based in the EU may submit a request to the EMA to access information included in the marketing authorization application for authorized medicinal products. Commercially confidential information and protected personal data, however, may not be accessed.</w:t>
      </w: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On May 3, 2022, the European Commission published a proposal for a regulation on the European Health Data Space (EHDS), which aims to further enable exchange of electronic health data both for primary use (among national EU healthcare systems for patient care) and secondary use (among private companies and regulators to enable scientific research). While the text of the regulation has provisionally been agreed to among the EU legislators, it is expected that the EHDS will be formally adopted by the European Parliament and the European Council and enter into force within 2025. EHDS will then apply two years after entry into force, with certain provisions becoming applicable within four or six years after entry into force. This will impose new obligations, but also create opportunities, for entities engaged in health-related research to share and access health data on a scale much larger than what is foreseen under current applicable transparency provisions.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framework in the UK following Brexit</w:t>
      </w:r>
    </w:p>
    <w:p>
      <w:pPr>
        <w:spacing w:after="0" w:line="121"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UK officially left the EU on January 31, 2020. A transition period during which EU law remained applicable to the UK began on February 1, 2020, and ended on December 31, 2020. The EU regulatory framework for medicinal products in place before the end of the transition period has been preserved in UK domestic legislation as “retained EU law” but the UK may diverge from EU law in the future should it wish to do so. Pursuant to the Northern Ireland Protocol, the EU pharmaceutical legal framework acquis continues to apply in Northern Ireland and medicines can only be placed in the Northern Ireland market if they comply with EU law. The UK government reached a new agreement with the EU, the “Windsor Framework,” which has replaced the Northern Ireland protocol. According to the Windsor Framework, medicinal products intended for the UK market including Northern Ireland will be authorized by the MHRA and will bear a “UK only” label. This means that medicinal products placed on the market in Northern Ireland no longer need to be compliant with EU law. These new measures have been implemented as of January 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approval pathways</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 In addition, Accelerated Approval offers the potential for approval based on a surrogate or intermediate clinical endpoint. In May 2014, the FDA published a final Guidance for Industry titled “Expedited Programs for Serious Conditions Drugs and Biologics,” which provides guidance on the FDA programs that are intended to facilitate and expedite development and review of new drug or biological product candidates as well as threshold criteria generally applicable to concluding that a product candidate is a candidate for these expedited development and review programs.</w:t>
      </w:r>
    </w:p>
    <w:p>
      <w:pPr>
        <w:spacing w:after="0" w:line="7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FDA may designate a product for Fast Track review if it is intended, whether alone or in combination with one or more other products, for the treatment of a serious or life threatening disease or condition, and nonclinical or clinical data demonstrate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review clock for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7"/>
          <w:szCs w:val="17"/>
          <w:color w:val="auto"/>
        </w:rPr>
        <w:t>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available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 disciplinary project lead for the review team; rolling review; and taking other steps to design the clinical trials in an efficient manner.</w:t>
      </w:r>
    </w:p>
    <w:p>
      <w:pPr>
        <w:spacing w:after="0" w:line="200" w:lineRule="exact"/>
        <w:rPr>
          <w:sz w:val="20"/>
          <w:szCs w:val="20"/>
          <w:color w:val="auto"/>
        </w:rPr>
      </w:pPr>
    </w:p>
    <w:p>
      <w:pPr>
        <w:spacing w:after="0" w:line="36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The FDA may grant Accelerated Approval to a drug or biological product for a serious or life threatening condition that provides meaningful therapeutic advantage to patients over available treatments based upon a determination that the drug or biological product has an effect on a surrogate endpoint that is reasonably likely to predict clinical benefit. The FDA may also grant Accelerated Approval for such drug or biological product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Drugs and biological products granted Accelerated Approval must meet the same statutory standards for safety and effectiveness as those granted traditional approval.</w:t>
      </w:r>
    </w:p>
    <w:p>
      <w:pPr>
        <w:spacing w:after="0" w:line="7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or biological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 or biological product.</w:t>
      </w:r>
    </w:p>
    <w:p>
      <w:pPr>
        <w:spacing w:after="0" w:line="87"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or biological product, even if the effect on the surrogate or intermediate clinical endpoint occurs rapidly. Thus, Accelerated Approval has been used extensively in the development and approval of drugs and biological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7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Accelerated Approval Pathway is contingent on a sponsor’s agreement to conduct, in a diligent manner, additional post-approval confirmatory studies to verify and describe the product’s clinical benefit. As a result, a drug or biological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or biological product from the market on an expedited basis, and under the Food and Drug Omnibus Reform Act of 2022, the FDA has increased authority to expedite withdrawals. In addition, all promotional materials for drugs and biological products approved under accelerated regulations are subject to prior review by the FDA.</w:t>
      </w:r>
    </w:p>
    <w:p>
      <w:pPr>
        <w:spacing w:after="0" w:line="87"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The EU and UK operate accelerated evaluation and assessment schemes, which include, at EU level, Priority Medicines (PRIME) scheme and, at UK level, the Early Access to Medicines Scheme (EAMS), which may be granted in exceptional cases, often when there is unmet medical need for a life-threatening or serious debilitating condition and existing data show a positive benefit/risk balance that means the medicinal product is of a major public health interest. The CHMP of the EMA or the MHRA (or other national competent authority) will make this determination on a case-by-case basis and subject to meeting eligibility criteria. Accelerated assessment takes place within 150 days. Other regulatory facilitations for these pathways include additional scientific advice at key development milestones and frequent guidance and discussions throughout the approval process. In the UK, the MHRA has launched the Innovative Licensing and Access Pathway (ILAP), a new accelerated assessment procedure for marketing authorization applications that enables companies to enter the UK market faster, available since January 1, 2021. On January 1, 2024, the MHRA launched an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or biological products intended to treat a rare disease or condition—generally a disease or condition that affects fewer than 200,000 individuals in the United States. Orphan Drug Designation must be requested before submitting an NDA. After the FDA grants Orphan Drug Designation, the name of the drug or biological product and its potential orphan-designated use are disclosed publicly by the FDA. Orphan Drug Designation does not convey any advantage in, or shorten the duration of, the regulatory review and approval process.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first NDA or BLA applicant to receive FDA approval for a particular drug or biological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biological product for the same disease, except in limited circumstances, such as a showing of clinical superiority to the product with orphan drug exclusivity. Orphan drug exclusivity does not prevent the FDA from approving a different drug or biological product for the same disease or condition, or the same drug or biological product for a different disease or condition. Among the other benefits of Orphan Drug Designation are tax credits for certain research and an exemption from the NDA or BLA application user fee.</w:t>
      </w:r>
    </w:p>
    <w:p>
      <w:pPr>
        <w:spacing w:after="0" w:line="7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 designated orphan drug or biological product may not receive orphan drug exclusivity if it is licensed for a use that is broader than the indication for which it received orphan designation. In addition, exclusive marketing rights in the United States may be rescinded if the FDA later determines that the request for designation was materially defective or if the manufacturer is unable to assure sufficient quantities of the product to meet the needs of patients with the rare disease or condition.</w:t>
      </w:r>
    </w:p>
    <w:p>
      <w:pPr>
        <w:spacing w:after="0" w:line="83"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In the EU and UK, under Regulation (EC) 141/2000 and the UK Human Medicines Regulations 2012 SI 2012 No. 1916 (as amended), respectively, medicinal products may be granted an orphan drug designation if they are used to treat or prevent life-threatening or chronically debilitating conditions that affect no more than five in 10,000 people in the EU/UK and for which there is no satisfactory method of diagnosis, prevention or treatment when the application is made, or when the medicinal product is of significant benefit to those affected by the condition. In addition, orphan drug designation can be granted to drugs used to treat or prevent life-threatening or chronically debilitating conditions which, for economic reasons, would be unlikely to be developed without incentives.</w:t>
      </w:r>
    </w:p>
    <w:p>
      <w:pPr>
        <w:spacing w:after="0" w:line="8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application for orphan designation must be submitted to and approved by the EMA in respect of the EU or to the MHRA for Great Britain before an application is made for marketing authorization for the product. Medicinal products which benefit from orphan status, which they successfully maintain post-grant of the marketing authorization, can benefit from up to ten years of market exclusivity in respect of the approved indication. This prevents regulatory authorities in the EU or Great Britain, as the case may be, from granting marketing authorizations for similar medicinal products for the same therapeutic indication, unless another applicant can show that the similar medicinal product in question is safer, more effective or clinically superior to the orphan-designated product or if the marketing authorization holder consents to the second orphan medicinal product application, or where the marketing authorization holder cannot supply the needs of the market.</w:t>
      </w:r>
    </w:p>
    <w:p>
      <w:pPr>
        <w:spacing w:after="0" w:line="7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the maintenance of market exclusivity. Conversely, the 10-year exclusivity period can be further extended by two years, when pediatric studies are conducted in accordance with an agreed pediatric investigation plan and in completion of all the legal requirements.</w:t>
      </w:r>
    </w:p>
    <w:p>
      <w:pPr>
        <w:spacing w:after="0" w:line="6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It is noted that the general pharmaceutical legislative framework, as well as the framework applicable to orphan and pediatric medicinal products in the EU, is under review. On April 26, 2023, the European Commission adopted a proposal for a new Regulation set to replace Regulation (EC) No 726/2004 and a new Directive to replace Directive 2001/83 on the Community Code relating to medicinal products for human use. If made into law, this proposal will revise the existing general pharmaceutical legislation and may reduce applicable regulatory exclusivities which will significantly affect all medicinal products that will be authorized after the legislative changes have taken effect.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Drugs and biological 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through the applicant’s submission of a supplemental application, and approval. There also are continuing, annual user fee requirements for any marketed products and the establishments at which such products are manufactured, as well as new application fees for supplemental applications with clinical data.</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addition, drug and biological product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ind w:firstLine="648"/>
        <w:spacing w:after="0" w:line="24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7" w:lineRule="exact"/>
        <w:rPr>
          <w:sz w:val="20"/>
          <w:szCs w:val="20"/>
          <w:color w:val="auto"/>
        </w:rPr>
      </w:pPr>
    </w:p>
    <w:p>
      <w:pPr>
        <w:ind w:left="660" w:right="38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including total or partial suspension of production, complete withdrawal of the product from the market or product recalls;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BLAs or supplements to approved NDAs or BLAs, or suspension or revocation of product license approvals;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04"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and biological products may be promoted only for the approved indications and consistently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69"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In addition, the distribution of prescription drug and biological products is subject to the Prescription Drug Marketing Act (PDMA) which regulates the distribution of drugs, biological products and drug or biological product samples at the federal level, and sets minimum standards for the registration and regulation of drug and biological product distributors by the states. Both the PDMA and state laws limit the distribution of prescription drug and biological product samples and impose requirements to ensure accountability in distribution.</w:t>
      </w:r>
    </w:p>
    <w:p>
      <w:pPr>
        <w:spacing w:after="0" w:line="83"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Many jurisdictions, including the EU and the UK, require each marketing authorization holder, national competent authority and the EMA to operate a pharmacovigilance system to ensure that the safety of all medicines is monitored throughout the lifetime of a medicinal product. The overall EU pharmacovigilance system operates through cooperation between the EU Member States, EMA and the European Commission. Applicable obligations extend to all activities consisting of procuring, holding, supplying or exporting medicinal products to the public and may therefore be incumbent upon importers, distributors and other economic operators in the supply chain.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Abbreviated new drug applications for generic drugs</w:t>
      </w:r>
    </w:p>
    <w:p>
      <w:pPr>
        <w:spacing w:after="0" w:line="121"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established an abbreviated regulatory scheme allowing the FDA to approve generic drugs that are shown to contain the same active ingredients as, and to be bioequivalent to, drugs previously approved by the FDA pursuant to NDAs. To obtain approval of a generic drug, an applicant must submit an abbreviated new drug application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 listed drug (RLD).</w:t>
      </w:r>
    </w:p>
    <w:p>
      <w:pPr>
        <w:spacing w:after="0" w:line="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7"/>
          <w:szCs w:val="17"/>
          <w:color w:val="auto"/>
        </w:rPr>
        <w:t>Specifically, in order for an ANDA to be approved, the FDA must find that the generic version is identical to the RLD with respect to the active ingredients, the route of administration, the dosage form and the strength of the drug.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 combination drug product (i.e., a drug product with multiple active ingredients).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may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Abridged marketing authorization applications for generic and biosimilar drugs in the EU and the UK</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Generic and hybrid medicinal products of reference medicinal products authorized via the centralized procedure have automatic access to the centralized procedure. Generic and hybrid products can refer to the complete dossier (i.e., the quality, preclinical and clinical data) of the reference medicinal product in their marketing authorization application, by demonstration of bioequivalence, usually through the submission of the appropriate bioavailability studies after the period of regulatory data protection (also called “data exclusivity”) has expired, namely eight years after the grant of the marketing authorization of the reference medicinal product. Applicants will be able to cross-refer to the dossier of the reference medicinal product, as long as the data protection period has expired. This abridged application procedure avoids the requirement to repeat trials and allows generic applicants a faster entry to the market. If a biosimilar of a reference biological product does not meet the conditions in the definition of generic medicinal products, owing to, in particular, differences relating to raw materials or differences in manufacturing processes of the biological medicinal product and the reference biological medicinal product, the results of appropriate preclinical studies or clinical trials relating to these conditions must be provided. The type and quantity of supplementary data to be provided must comply with the relevant criteria stated in Annex I of Directive 2001/83 as amended and the related detailed guidelines. The results of other tests and trials from the reference medicinal product’s dossier do not need to be provided.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505(b)(2) New Drug Applications</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patent certification and the 30-month stay</w:t>
      </w:r>
    </w:p>
    <w:p>
      <w:pPr>
        <w:spacing w:after="0" w:line="121"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Orange Book.</w:t>
      </w:r>
    </w:p>
    <w:p>
      <w:pPr>
        <w:spacing w:after="0" w:line="4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would be required of an ANDA applicant.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known as a Section VIII statement.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Exclusivity under the Hatch-Waxman Amendments</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addition, under the Hatch-Waxman Amendments, the FDA may not approve an ANDA or 505(b)(2) NDA referencing a particular drug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submitted to the FDA until the expiration of five years from the date the NDA is approved, unless the submission is accompanied by a Paragraph IV certification, in which case the applicant may submit its application four years following the original product approval.</w:t>
      </w:r>
    </w:p>
    <w:p>
      <w:pPr>
        <w:spacing w:after="0" w:line="73"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it does, however, block the FDA from approving ANDAs or 505(b)(2) NDAs during the period of exclusivity. The FDA typically makes decisions about awards of data exclusivity shortly before a product is approved.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 candidates shown to be highly similar, or “biosimilar,” to or interchangeable with an FDA licensed reference biological product. Biosimilarity, which requires that a product is highly similar to the reference product notwithstanding minor differences in clinically inactive components, and that there be no clinically meaningful differences between the biological product and the reference product in terms of safety, purity, and potency, can generally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interchangeable biosimilar and the reference biological product may be alternated or switched after one has been previously administered without increasing safety risks or risks of diminished efficacy relative to exclusive use of the reference biological product.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and have slowed implementation of the BPCIA by the FDA.</w:t>
      </w:r>
    </w:p>
    <w:p>
      <w:pPr>
        <w:spacing w:after="0" w:line="77"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reference product exclusivity, another company may obtain FDA licensure and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An interchangeable biosimilar product is a biosimilar that, depending on state pharmacy laws, may be substituted for the reference product at the pharmacy without the intervention of the prescribing healthcare professional (similar to how generic drugs are routinely substituted for brand-name drugs). It is possible that the distinction between a biosimilar and interchangeable could be eliminated in the future; the FDA in its Fiscal Year 2025 budget proposal for the first time included a request that Congress “eliminate the statutory distinction between the approval standard for biosimilar and interchangeable biosimilar products.”</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In the EU and the UK, an abridged procedure is available for the regulatory approval of biosimilars, on the basis of comparability studies to the reference biological medicine to substantiate the safety and efficacy profile of the biosimilar product. This comparability with the reference biological medicinal product is only available after the period of regulatory data protection has expired namely eight years after the grant of the marketing authorization of the reference biological medicinal product has expired. Recently, the MHRA and the EMA have stated that comparative data may not be required across all therapeutic indications and may be extrapolated to other indications already approved for the reference medicinal product. The interchangeability of biosimilars remains subject to national determination, on a case-by-case basis; however a recent scientific recommendation by the EMA may lead to a default assumption of interchangeability across all biosimilars in the EU and in the UK.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 and exclusivity</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the Pediatric Research Equity Act of 2003, an NDA, BLA or supplement thereto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With enactment of the Food and Drug Administration Safety and Innovation Act of 2012 (FDASIA), sponsors must also submit pediatric study plans prior to the assessment data.</w:t>
      </w:r>
    </w:p>
    <w:p>
      <w:pPr>
        <w:spacing w:after="0" w:line="83"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6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FDASIA. Unless otherwise required by regulation, the pediatric data requirements do not apply to products with Orphan Drug Designation.</w:t>
      </w:r>
    </w:p>
    <w:p>
      <w:pPr>
        <w:spacing w:after="0" w:line="6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8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Under the European Pediatric Regulation (Regulation (EC) No 1901/2006), which has also been reflected in and retained by UK law, applicants must submit to the national competent authority or the EMA data from pediatric studies in compliance with an agreed PIP for the validation or acceptance of a marketing authorization application, unless the medicine is exempt because of a deferral or waiver. The conduct of the pediatric studies in accordance with the agreed PIP will result in the grant of a reward (period of protection) which will depend on the type of product (i.e., orphan medicinal product will benefit from an extension of the orphan exclusivity by two years, bringing it to 12 years of marketing exclusivity; or an extension of the supplementary protection certificate by six months).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121"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After NDA approval, owners of relevant drug or biological product patents may apply for up to a five-year patent extension, which permits patent term restoration as compensation for the patent term lost during the FDA regulatory process. The allowable patent term extension is typically calculated as one-half the time between the effective date of an IND application and the submission date of a NDA or BLA, plus the time between submission date and the approval date of the NDA or BLA, up to a maximum of five years. The time can be shortened if the FDA determines that the applicant did not pursue approval with due diligence. The total patent term after the extension may not exceed 14 years from the date of product approval. Only one patent applicable to an approved drug or biological product is eligible for extension and only those claims covering the approved drug or biological product,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w:t>
      </w: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ind w:firstLine="648"/>
        <w:spacing w:after="0" w:line="246" w:lineRule="auto"/>
        <w:rPr>
          <w:sz w:val="20"/>
          <w:szCs w:val="20"/>
          <w:color w:val="auto"/>
        </w:rPr>
      </w:pPr>
      <w:r>
        <w:rPr>
          <w:rFonts w:ascii="Times New Roman" w:cs="Times New Roman" w:eastAsia="Times New Roman" w:hAnsi="Times New Roman"/>
          <w:sz w:val="18"/>
          <w:szCs w:val="18"/>
          <w:color w:val="auto"/>
        </w:rPr>
        <w:t>In the EU and the UK, a patent may be extended by up to a maximum of five years and the protection conferred by the certificate shall extend only to the product covered by the authorization to place the corresponding medicinal product on the market (in the EU and UK) and for any use of the product as a medicinal product that has been authorized before the expiry of the certificate. The aim is to compensate for the erosion of patent term between the filing of a patent and the grant of an MA for a medicinal product incorporating the relevant invention. The term of a supplementary protection certification may be extended by a further six months if the pediatric studies have been conducted in accordance with an agreed PIP within the applicable timeframe.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drug candidates to the extent we choose to sell any products outside of the United States. Whether or not we obtain FDA approval for a product, we must obtain approval of a product by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73"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We will also be subject to certain ex-U.S. privacy laws in connection with our clinical trial activities outside the United States such as the EU General Data Protection Regulation (EU GDPR), non-compliance with which could result in administrative fines of up to the greater of €20.0 million or 4% of global annual revenues. The EU GDPR also confers a private right of action on data subjects and consumer associations to lodge complaints with supervisory authorities, seek judicial remedies and obtain compensation for damages resulting from violations of the EU GDPR.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of medicines in Europe</w:t>
      </w:r>
    </w:p>
    <w:p>
      <w:pPr>
        <w:spacing w:after="0" w:line="12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7"/>
          <w:szCs w:val="17"/>
          <w:color w:val="auto"/>
        </w:rPr>
        <w:t>In the EU, pricing and reimbursement methods can differ in each Member State. Some Member States and the UK may require that health technology assessments (HTA) be completed for the product to be recommended for funding under the NHS. The outcome of HTAs is decided on a national basis and some Member States may decide not to reimburse the use of medicines or may reduce the rate of reimbursement. In December 2021, the EU adopted a new Regulation on Health Technology Assessment which allows Member States to carry out joint clinical assessments and operate joint clinical consultations. It is expected that the new Regulation will go into effect in January 2025. In the UK, NICE is the body in England and Wales, which conducts HTAs and issues guidance on whether a product is considered to be “cost-effective” and therefore recommended for use and reimbursement under the national health service. This means that if a positive recommendation has been obtained, then the medicinal product will be widely available to patients in England and Wales. For avoidance of doubt, Scotland and Northern Ireland have their own HTA bodies which will conduct their own assessment.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in addition to FDA restrictions on marketing of pharmaceutical and biological products, we are also subject to healthcare statutory and regulatory requirements and enforcement by the U.S. federal and state governments. Even though we are not in a position to make patient referrals and do not bill Medicare, Medicaid or other government or commercial third-party payers, our relationships with healthcare providers, physicians and third-party payors will subject us to healthcare statutory and regulatory requirements and enforcement by federal and state governments. These laws include anti-kickback statutes, false claims statutes and other healthcare laws and regulations.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The federal Anti-Kickback Statute is a broad criminal statute that prohibits, among other things, knowingly and willfully offering, paying, soliciting or receiving any remuneration, directly or indirectly, in cash or in kind, to induce, or in return for, purchasing, leasing, ordering or arranging for, referring, or recommending the purchase, lease or order of any healthcare item or service that may be reimbursable, in whole or in part, under Medicare, Medicaid, or other federal healthcare programs. The Patient Protection and Affordable Care Act, as amended by the Health Care and Education Reconciliation Act (collectively, the ACA) amended the intent element of the federal Anti-Kickback Statute to clarify that a person or entity need not have actual knowledge of the statute or specific intent to violate it in order to commit a violation. Among others, this statute applies to arrangements between pharmaceutical and biological product manufacturers on the one hand and prescribers, pharmacies, purchasers and formulary managers on the other, including, for example, consulting/speaking arrangements, discount and rebate offers, grants, charitable contributions and patient support offerings. A violation of the federal Anti-Kickback Statute includes, per violation, civil monetary penalties and significant criminal fines under the statute, additional civil penalties and treble damages under the False Claims Act, as discussed in more detail below, possible imprisonment, and mandatory exclusion from participation in the federal healthcare programs, meaning that federal healthcare programs would no longer reimburse (directly or indirectly) for products or services furnished by the excluded entity or individuals. Although there are a number of statutory exceptions and regulatory safe harbors protecting certain common activities from prosecution or other regulatory sanctions under the law, the exceptions and safe harbors are drawn narrowly and practices that involve remuneration intended to induce prescribing, purchases or recommendations may be subject to scrutiny if they do not qualify for an exception or safe harbor.</w:t>
      </w:r>
    </w:p>
    <w:p>
      <w:pPr>
        <w:spacing w:after="0" w:line="8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federal civil False Claims Act prohibits, among other things, any person or entity from knowingly presenting, or causing to be presented, a false claim for payment to the federal government, or knowingly making, or causing to be made, a false record or statement material to a false claim. The False Claims Act covers claims made to programs where the federal government reimburses (directly or indirectly) individuals and entities, such as under the Medicare and Medicaid programs, as well as programs where the federal government is a direct purchaser, such as when it purchases off of the Federal Supply Schedule. The law also prohibits avoiding, decreasing or concealing an obligation to pay money to the federal government. The government can bring claims directly or through a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and potential liability includes mandatory treble damages and significant per claim penalties currently set at $13,946 up to $27,894 per false claim or statement for penalties assessed after January 15, 2024, and which we expect will increase incrementally in early 2025 due to inflationary adjustments. Numerous pharmaceutical and other healthcare companies have been investigated under these laws for purportedly, among other things, concealing price concessions in the pricing information submitted to the government for government price reporting purposes,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False Claims Act. Most states also have statutes or regulations similar to the federal Anti-Kickback Statute and False Claims Act, which apply to items and services reimbursed under Medicaid and other state programs, or, in several states, apply to commercially reimbursed items or services or regardless of whether reimbursement from a federal or state healthcare program is available for the item or service. There is also the federal criminal False Claims Act, which is similar to the federal civil False Claims Act and imposes criminal liability on those that make or present a false, fictitious or fraudulent claim to the federal government.</w:t>
      </w:r>
    </w:p>
    <w:p>
      <w:pPr>
        <w:spacing w:after="0" w:line="7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Law, which prohibits, among other things, the offer or payment of remuneration to a Medicaid or Medicare beneficiary that the offeror or payor knows or should know is likely to influence the beneficiary to order or receive a reimbursable item or service from a particular provider, practitioner or supplier (although pharmaceutical and biological product manufacturers are not considered providers, practitioners or suppliers for purposes of this law), and contracting with an individual or entity that the person knows or should know is excluded from participation in a federal healthcare program. In addition, federal criminal statutes created by the Health Insurance Portability and Accountability Act of 1996 (HIPAA) prohibit, among other things, knowingly and willfully executing or attempting to execute a scheme to defraud any healthcare benefit program or obtain by means of false or fraudulent pretenses, representations or promises of any money or property owned by or under the control of any healthcare benefit program in connection with the delivery of or payment for healthcare benefits, items or services.</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In addition, HIPAA, as amended by the Health Information Technology for Economic and Clinical Health Act (HITECH) and their respective implementing regulations, including the Final Omnibus Rule published on January 25, 2013, imposes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requirements to facilitate certain patient rights, requirements to safeguard the privacy, security, and transmission of individually identifiable health information, and requirements to provide notice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On December 10, 2020, the Office of Civil Rights within the U.S. Department of Health and Human Services (HHS) issued proposed revisions to the HIPAA Privacy Rule aimed at reducing regulatory burdens that may exist in discouraging coordination of care and patient access to their health information, among other changes, which could affect not just covered entities and business associates, but broader entities in the life sciences space. While a final rule has not yet been issued, if adopted, these proposed changes may require us to update our policies and procedures to comply with the new requirements. In addition, many state laws govern the privacy and security of health information and other personal information in certain circumstances (such as the California Consumer Privacy Act of 2018, the Virginia Consumer Data Protection Act, and similar state privacy laws in several other states, along with health privacy focused laws such as the Washington My Health My Data Act), and these state laws may differ from each other in significant ways and may not have the same effect. These laws are rapidly evolving and may impose additional regulatory compliance burden and legal risks on our operations.</w:t>
      </w:r>
    </w:p>
    <w:p>
      <w:pPr>
        <w:spacing w:after="0" w:line="9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Further, pursuant to the ACA, the Centers for Medicare &amp; Medicaid Services (CMS) has promulgated regulations to implement what is commonly known as the federal Physician Payment Sunshine Act, which requires applicable manufacturers of covered drugs, devices, biologics, and medical supplies for which payment is available under Medicare, Medicaid or the Children’s Health Insurance Program, among others, to collect and report information on certain payments or transfers of value they make to U.S.-licensed physicians, teaching hospitals, physician assistants, nurse practitioners or clinical nurse specialists, certified registered nurse anesthetists, anesthesiologist assistants and certified nurse-midwives, as well as investment interests in the manufacturer held by physicians and their immediate family members. The reports must be submitted on an annual basis, and the reported data is made available in searchable form on a public website. Failure to submit required information may result in civil monetary penalties.</w:t>
      </w:r>
    </w:p>
    <w:p>
      <w:pPr>
        <w:spacing w:after="0" w:line="7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addition, several states require prescription drug and biological product companies to report certain expenses relating to the marketing and promotion of drug and biological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prohibit prescription drug price gouging, or impose payment caps on certain pharmaceutical products deemed by the state to be “high cost.”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w:t>
      </w:r>
    </w:p>
    <w:p>
      <w:pPr>
        <w:spacing w:after="0" w:line="7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company to incur significant legal expenses and divert management’s attention from the operation of the business, even if such action is successfully defended.</w:t>
      </w:r>
    </w:p>
    <w:p>
      <w:pPr>
        <w:spacing w:after="0" w:line="78"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In the EU and the UK companies must comply with national general anti-bribery legislation, including the UK Bribery Act 2010, as well as medicines legislation which prohibits the supply, offer or promise of certain gifts and benefits in connection with the promotion of medicinal products to any person qualified to prescribe, recommend, use, procure or supply them. Companies that breach these laws may incur substantial fines and imprisonment.</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6" w:name="page47"/>
    <w:bookmarkEnd w:id="46"/>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In the EU and the UK, payments made to healthcare professionals must be publicly disclosed under applicable transparency provisions and agreements with healthcare professionals must be the subject of prior notification and approval by the healthcare professional’s employer. Such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costs of healthcare and, more generally, to reform the U.S. healthcare system. The pharmaceutical industry has been a particular focus of these efforts and has been significantly affected by major legislative initiatives. For example, in March 2010, the ACA was enacted, which was intended to substantially change the way healthcare is financed by both governmental and private insurers, and significantly impacts the U.S. pharmaceutical industry. The ACA, among other things, (i) proscribed a new methodology by which rebates owed by manufacturers under the Medicaid Drug Rebate Program are calculated for drugs and therapeutic biologics that are inhaled, infused, instilled, implanted or injected, (ii) increased the minimum Medicaid rebates owed by manufacturers under the Medicaid Drug Rebate Program and extended the rebate program to individuals enrolled in Medicaid managed care organizations, (iii) established annual nondeductible fees and taxes on manufacturers of certain branded prescription drugs and therapeutic biologics, apportioned among these entities according to their market share in certain government healthcare programs, (iv) expanded eligibility criteria for Medicaid programs by, among other things, allowing states to offer Medicaid coverage to additional individuals and by adding new mandatory eligibility categories for individuals with income at or below 138% of the federal poverty level, thereby potentially increasing manufacturers’ Medicaid rebate liability, (v) expanded the entities eligible for discounts under the 340B Public Health program, (vi) required annual reporting of certain information regarding drug samples that manufacturers and distributors provide to licensed practitioners, (vii) created a new Patient-Centered Outcomes Research Institute to oversee, identify priorities in and conduct comparative clinical effectiveness research, along with funding for such research, and (viii) established a Center for Medicare Innovation at CMS to test innovative payment and service delivery models to lower Medicare and Medicaid spending, potentially including prescription drug spending. Some of these cost-savings pilots and projects, such as the Enhancing Oncology Model, are directed specifically at oncology.</w:t>
      </w:r>
    </w:p>
    <w:p>
      <w:pPr>
        <w:spacing w:after="0" w:line="8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ACA and certain of its provisions have been subject to judicial challenges as well as legislative and regulatory efforts to repeal or replace them or to alter their interpretation or implementation. For example, the Tax Cuts and Jobs Act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Additionally, the Further Consolidated Appropriations Act of 2020, signed into law December 20, 2019, fully repealed the ACA’s “Cadillac Tax” on certain high-cost employer-sponsored insurance plans (for tax years beginning after December 31, 2019), the annual fee imposed on certain health insurance providers based on market share (for calendar year 2021) and the medical device excise tax on non-exempt medical devices. On June 17, 2021, the U.S. Supreme Court dismissed a judicial challenge to the ACA brought by several states who argued that, without the individual mandate, the entire ACA was unconstitutional. The Supreme Court’s dismissal of the lawsuit did not specifically rule on the constitutionality of the ACA.</w:t>
      </w:r>
    </w:p>
    <w:p>
      <w:pPr>
        <w:spacing w:after="0" w:line="9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On March 11, 2021, Congress enacted the American Rescue Plan Act of 2021, which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MDRP rebate liability is no longer capped, potentially resulting in a manufacturer paying more in MDRP rebates than it receives on the sale of certain covered outpatient drugs.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The Inflation Reduction Act of 2022 (IRA) extended this increased tax credit assistance and removal of the 400% federal poverty limit through 2025. In the future, there may be additional challenges and/or amendments to the ACA. It remains to be seen precisely what any new legislation will provide, when or if it will be enacted, and what impact it will have on the availability and cost of healthcare items and services, including drug and biological products.</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ind w:firstLine="648"/>
        <w:spacing w:after="0" w:line="241"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the first eight months of the fiscal year 2032 sequestration order unless additional congressional action is taken, with the exception of a temporary suspension, and later a temporary reduction instituted during the COVID-19 pandemic that expired on July 1, 2022. The American Taxpayer Relief Act of 2012 made other changes, including the reduction of Medicare payments to several types of providers and an increase in the statute of limitations period for the government to recover overpayments to providers from three to five years. Additionally, in August 2022, President Biden signed into law the IRA, which implements substantial changes to the Medicare program, including drug pricing reforms and changes to the Medicare Part D benefit design. Among other reforms, the IRA imposes inflation rebates on drug and biological product manufacturers for products reimbursed under Medicare Parts B and D if the prices of those products increase faster than inflation beginning in 2023; implements changes to the Medicare Part D benefit that, beginning in 2025, will cap benefit annual out-of-pocket spending at $2,000, with new discount obligations for pharmaceutical manufacturers; and, beginning in 2026, establishes a “maximum fair price” for a fixed number of pharmaceutical and biological products covered under Medicare Parts B and D following a price negotiation process with the CMS. CMS has also taken steps to implement the IRA, including: on August 29, 2023, releasing the initial list of ten drugs subject to price negotiations; on August 15, 2024 releasing the negotiated maximum prices for such drugs that will be effective beginning in 2026; on October 2, 2024, releasing final guidance outlining the process for the second round of price negotiations for products subject to the “maximum fair price” provision; and on December 20, 2024, releasing a list of 64 Medicare Part B products that had an adjusted coinsurance rate based on the inflationary rebate provisions of the IRA for the time period of January 1, 2025, to March 31, 2025. While it remains to be seen how the drug pricing provisions imposed by the IRA will affect the broader pharmaceutical industry, several pharmaceutical manufacturers and other industry stakeholders have challenged the law, including through lawsuits brought against the HHS, the Secretary of the HHS, CMS, and the CMS Administrator challenging the constitutionality and administrative implementation of the IRA’s drug price negotiation provisions.</w:t>
      </w:r>
    </w:p>
    <w:p>
      <w:pPr>
        <w:spacing w:after="0" w:line="96"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If federal spending is further reduced, anticipated budgetary shortfalls may also impact the ability of relevant agencies, such as the FDA or the NIH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6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Additionally, the cost of prescription pharmaceuticals and biological products has been the subject of considerable discussion in the United States. For example,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 In alignment with President Biden’s Cancer Moonshot initiative, on June 27, 2023, the Center for Medicare Innovation at CMS announced a new model, the Enhancing Oncology Model, that is designed to make high-quality cancer care more affordable to both patients and Medicare. Additionally, on October 14, 2022, President Biden issued an Executive Order on Lowering Prescription Drug Costs for Americans, which instructed the Secretary of the HHS to consider whether to select for testing by the CMS Innovation Center new healthcare payment and delivery models that would lower drug costs and promote access to innovative drug therapies for beneficiaries enrolled in the Medicare and Medicaid programs. On February 14, 2023, HHS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for certain cell and gene therapy drugs; and (3) a model that would adjust Medicare Part B payment amounts for Accelerated Approval Program drugs to advance the developments of novel treatments. Moreover, there have been several recent U.S. Congressional inquiries and proposed federal legislation designed to, among other things, bring more transparency to drug and biological product pricing, review the relationship between pricing and manufacturer patient support programs, reduce the cost of prescription drugs and biological products under Medicare and reform government program reimbursement methodologies for drug and biological products. It remains to be seen how these drug pricing initiatives will affect the broader pharmaceutical industry.</w:t>
      </w:r>
    </w:p>
    <w:p>
      <w:pPr>
        <w:spacing w:after="0" w:line="200" w:lineRule="exact"/>
        <w:rPr>
          <w:sz w:val="20"/>
          <w:szCs w:val="20"/>
          <w:color w:val="auto"/>
        </w:rPr>
      </w:pPr>
    </w:p>
    <w:p>
      <w:pPr>
        <w:spacing w:after="0" w:line="3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8" w:name="page49"/>
    <w:bookmarkEnd w:id="48"/>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Moreover, results of the 2024 Presidential and Congressional elections, and potential subsequent developments, increase the uncertainty related to the healthcare regulatory environment. In addition, 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CMS and other agencies with significant oversight of the healthcare industry. The new framework is likely to increase both the frequency of such challenges and their odds of success by eliminating one way in which the government previously prevailed in such cases. As a result, significant regulatory policies may be subject to increased litigation and judicial scrutiny. Any resulting changes in regulation may result in unexpected delays, increased costs, or other negative impacts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w:t>
      </w:r>
    </w:p>
    <w:p>
      <w:pPr>
        <w:spacing w:after="0" w:line="7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 For example, on January 5, 2024, the FDA approved Florida’s importation plan to allow pharmacists and wholesalers in the state to import certain medications from Canada. The implementation of cost containment measures or other healthcare reforms may prevent us from being able to generate revenue, attain profitability, or commercialize any product that is ultimately approved, if approved. In addition, several recently passed state laws require disclosures related to state agencies and/or commercial purchasers with respect to price increases and new product launches that exceed certain levels as identified in the relevant statutes. Some of these laws and regulations contain ambiguous requirements that government officials have not yet clarified. Given the lack of clarity in the laws and their implementation, our future reporting actions could be subject to the penalty provisions of the pertinent federal and state laws and regulations.</w:t>
      </w:r>
    </w:p>
    <w:p>
      <w:pPr>
        <w:spacing w:after="0" w:line="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or biological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or biological products under the current federal right to try law.</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As of November 30, 2024, we had 286 full-time or part-time employees, of which approximately 43% have earned an M.D. or a Ph.D. As of November 30, 2024, 256 of our full-time or part-time employees are engaged in research and development. From time to time, we retain independent contractors to support our organization. None of our employees are represented by a labor union or covered by collective bargaining agreements, and we believe our relationship with our employees is good.</w:t>
      </w:r>
    </w:p>
    <w:p>
      <w:pPr>
        <w:spacing w:after="0" w:line="6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consider the intellectual capital of our employees to be an essential driver of our business. We continually evaluate our business needs and opportunities and strive to balance in-house expertise and capacity with outsourced expertise and capacity. Currently, we outsource substantially all clinical trial work to clinical research organizations and drug substance and finished drug product manufacturing to contract manufacturers.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pay and benefits</w:t>
      </w:r>
    </w:p>
    <w:p>
      <w:pPr>
        <w:spacing w:after="0" w:line="12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Drug development is a complex endeavor which requires deep expertise and experience across a broad array of disciplines. Biotechnology and pharmaceutical companies both large and small compete for a limited number of qualified applicants to fill specialized positions. We monitor our compensation programs closely and provide what we consider to be a very competitive mix of compensation, insurance and wellness benefits for all our employees, as well as participation in our equity and other enhanced benefit programs. To attract qualified applicants, we offer a total rewards package consisting of a base salary and cash target bonus, a comprehensive benefits package and equity compensation for all full-time and part-time employees. Bonus opportunity and equity compensation increase as a percentage of total compensation based on level of responsibility. Actual bonus payout is based on company and individual performance.</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a code of conduct that sets standards for appropriate behavior and are required to attend biennial training to help prevent, identify, report and stop any type of discrimination and harassment. Recruitment, hiring, development, training, compensation and advancement at our company is based on qualifications, performance, skills and experience without regard to gender, race and ethnicity.</w:t>
      </w:r>
    </w:p>
    <w:p>
      <w:pPr>
        <w:spacing w:after="0" w:line="7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November 30, 2024, approximately 51% of our full-time and part-time employees were self-reported as female. Of our vice president-level and above employees, approximately 42% were self-reported as female.</w:t>
      </w:r>
    </w:p>
    <w:p>
      <w:pPr>
        <w:spacing w:after="0" w:line="6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addition, as of November 30, 2024, approximately 61% of our full-time employees were self-reported as ethnic or racial minorities in the United States, with 43% Asian, 2% Black or African American, 8% Hispanic or Latino and 5% of other minority groups or two or more races. Of our vice president-level and above employees, 33% were self-reported as ethnic or racial minorities in the United States, with 21% Asian and 8% Black or African American.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and training</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focus on attracting, retaining and cultivating talented individuals. We emphasize employee development and training by providing access to a wide range of online and instructor led development and continual learning programs. Employees are encouraged to attend scientific, clinical and technological meetings and conferences and have access to broad resources they need to be successful.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Board of Directors (Board) recognizes the critical importance of our team and the necessity to ensure a diverse, inclusive, and innovative work environment that is centered around a values-based culture. Our Board meets regularly with management to discuss issues impacting our employees, and to focus on ways to support our workforce. Our focus on culture comes from our Board and flows throughout our company. In evaluating our Chief Executive Officer and management team, significant emphasis is place on their contributions to our overall culture.</w:t>
      </w:r>
    </w:p>
    <w:p>
      <w:pPr>
        <w:spacing w:after="0" w:line="6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Board’s Compensation Committee is responsible for reviewing with management our human resources activities, which include, among other things, matters relating to employee development, management and engagement, pay equity, and our demographics, diversity and inclusion.</w:t>
      </w:r>
    </w:p>
    <w:p>
      <w:pPr>
        <w:spacing w:after="0" w:line="40" w:lineRule="exact"/>
        <w:rPr>
          <w:sz w:val="20"/>
          <w:szCs w:val="20"/>
          <w:color w:val="auto"/>
        </w:rPr>
      </w:pPr>
    </w:p>
    <w:p>
      <w:pPr>
        <w:ind w:right="880" w:firstLine="648"/>
        <w:spacing w:after="0" w:line="266" w:lineRule="auto"/>
        <w:rPr>
          <w:sz w:val="20"/>
          <w:szCs w:val="20"/>
          <w:color w:val="auto"/>
        </w:rPr>
      </w:pPr>
      <w:r>
        <w:rPr>
          <w:rFonts w:ascii="Times New Roman" w:cs="Times New Roman" w:eastAsia="Times New Roman" w:hAnsi="Times New Roman"/>
          <w:sz w:val="18"/>
          <w:szCs w:val="18"/>
          <w:color w:val="auto"/>
        </w:rPr>
        <w:t>Our Board’s Nominating and Corporate Governance Committee is responsible for overseeing company programs relating to corporate responsibility and sustainability, including environmental, social and governance matters.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August 2009 under the name Kura Therapeutics, Inc. We subsequently changed our name to Nurix, Inc. in February 2012 and then to Nurix Therapeutics, Inc. in October 2018. Our principal executive offices are located at 1700 Owens Street, Suite 205, San Francisco, California 94158, and our telephone number is (415) 660-5320.</w:t>
      </w:r>
    </w:p>
    <w:p>
      <w:pPr>
        <w:spacing w:after="0" w:line="82"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mark “Nurix” is our registered trademark in Canada, France, Germany, Italy, Japan, Mexico, Spain, the United Kingdom and the United States. The Nurix logo is our common law trademark. All other service marks, trademarks and trade names appearing in this Annual Report on Form 10-K are the property of their respective owners. Solely for convenience, the trademarks and trade 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 names.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Nurix’s Internet website address is http://www.nurixtx.com. On our website, we make available, free of charge, our annual, quarterly and current reports, including amendments to such reports, as soon as reasonably practicable after we electronically file such material with, or furnish such material to, the Securities and Exchange Commission (SEC). The SEC maintains a website at www.sec.gov that contains reports as well as other information regarding us and other companies that file materials with the SEC electronically.</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50" w:name="page51"/>
    <w:bookmarkEnd w:id="50"/>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Also available on our website is information relating to corporate governance at Nurix and our Board, including our Corporate Governance Guidelines; our Code of Business Conduct and Ethics (for our directors, officers and employees); and our Board Committee Charters. We will provide any of the foregoing information without charge upon written request to our Corporate Secretary, Nurix Therapeutics, Inc., 1700 Owens Street, Suite 205, San Francisco, California 94158.</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use our Investor Relations website (http://ir.nurixtx.com) as a means of disclosing material non-public information and for complying with our disclosure obligations under Regulation FD promulgated by the SEC. These disclosures are included in the “News” and “Events and Presentations” sections of our website. Accordingly, investors should monitor these portions of our website, in addition to following our press releases, SEC filings and public conference calls and webcasts.</w:t>
      </w:r>
    </w:p>
    <w:p>
      <w:pPr>
        <w:spacing w:after="0" w:line="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the accompanying notes and the information contained in our other public filings before deciding whether to invest in shares of our common stock.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part or all of your investment.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Our net loss was $193.6 million and $143.9 million for the fiscal years ended November 30, 2024 and 2023, respectively. As of November 30, 2024, we had an accumulated deficit of $738.8 million. To date, we have not generated any revenue from product sales and have financed our operations primarily through our collaborations and sales of our equity interests. We are in the early stages of development of our drug candidates. Our lead drug candidates, NX-5948,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8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enrollment in and further develop our drug candidates NX-5948, NX-2127 and NX-1607 through Phase 1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investigational new drug applications (INDs) and initiate clinical trials of our other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advanced clinical development and scale up external manufacturing capabilities to supply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DEL-AI platform and apply our DEL-AI platform to advance additional drug candidates into preclinical and clinical development;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process development for manufacturing of our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drug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negotiations with the pricing authorities and submission to the health technology appraisal (HTA) bodies;</w:t>
      </w:r>
    </w:p>
    <w:p>
      <w:pPr>
        <w:spacing w:after="0" w:line="10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drug candidates for which we may obtain marketing approval;</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manufacturing, quality assurance and scientific personnel; and</w:t>
      </w:r>
    </w:p>
    <w:p>
      <w:pPr>
        <w:spacing w:after="0" w:line="117" w:lineRule="exact"/>
        <w:rPr>
          <w:rFonts w:ascii="Times New Roman" w:cs="Times New Roman" w:eastAsia="Times New Roman" w:hAnsi="Times New Roman"/>
          <w:sz w:val="18"/>
          <w:szCs w:val="18"/>
          <w:color w:val="auto"/>
        </w:rPr>
      </w:pPr>
    </w:p>
    <w:p>
      <w:pPr>
        <w:ind w:left="660" w:right="80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U.S. Food and Drug Administration (FDA), the European</w:t>
      </w:r>
    </w:p>
    <w:p>
      <w:pPr>
        <w:spacing w:after="0" w:line="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7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21"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We are in the early stages of clinical development of our lead drug candidates NX-5948, NX-2127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7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6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conduct our Phase 1 clinical trials of NX-5948, NX-2127 and NX-1607 and any future development of our drug candidates, grow our pipeline of drug candidates, expand the breadth of our DEL-AI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77" w:lineRule="exact"/>
        <w:rPr>
          <w:sz w:val="20"/>
          <w:szCs w:val="20"/>
          <w:color w:val="auto"/>
        </w:rPr>
      </w:pPr>
    </w:p>
    <w:p>
      <w:pPr>
        <w:ind w:right="300" w:firstLine="648"/>
        <w:spacing w:after="0" w:line="247" w:lineRule="auto"/>
        <w:rPr>
          <w:sz w:val="20"/>
          <w:szCs w:val="20"/>
          <w:color w:val="auto"/>
        </w:rPr>
      </w:pPr>
      <w:r>
        <w:rPr>
          <w:rFonts w:ascii="Times New Roman" w:cs="Times New Roman" w:eastAsia="Times New Roman" w:hAnsi="Times New Roman"/>
          <w:sz w:val="18"/>
          <w:szCs w:val="18"/>
          <w:color w:val="auto"/>
        </w:rPr>
        <w:t>We had cash, cash equivalents and marketable securities of $609.6 million as of November 30, 2024.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72" w:lineRule="exact"/>
        <w:rPr>
          <w:sz w:val="20"/>
          <w:szCs w:val="20"/>
          <w:color w:val="auto"/>
        </w:rPr>
      </w:pPr>
    </w:p>
    <w:p>
      <w:pPr>
        <w:ind w:left="660" w:right="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Phase 1 clinical trials for NX-5948, NX-2127 and NX-1607 and any future clinical development of such drug candidates;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DEL-AI platform;</w:t>
      </w:r>
    </w:p>
    <w:p>
      <w:pPr>
        <w:spacing w:after="0" w:line="10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Gilead Sciences, Inc. (Gilead), Sanofi S.A. (Sanofi) and Seagen Inc. (now a part of Pfizer Inc. (Pfizer)) and any other collaborations we may establish;</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negotiations with pricing authorities and health technology assessment authorities;</w:t>
      </w:r>
    </w:p>
    <w:p>
      <w:pPr>
        <w:spacing w:after="0" w:line="10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3" w:name="page54"/>
    <w:bookmarkEnd w:id="53"/>
    <w:p>
      <w:pPr>
        <w:ind w:left="660" w:right="1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6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5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7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71"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Drug Candidates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We are early in our development efforts. Our lead drug candidates, NX-5948, NX-2127 and NX-1607, are in the early stages of clinical</w:t>
      </w:r>
    </w:p>
    <w:p>
      <w:pPr>
        <w:spacing w:after="0" w:line="1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development and their risk of failure is high. We have invested substantially all of our efforts and financial resources in building our DEL-AI platform, in the identification and preclinical development of our current drug candidates and in the preparation for and initiation of Phase 1 clinical trials for our lead drug candidates, as well as the preparation to advance NX-5948 into a Phase 2 clinical trial, anticipated in 2025.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7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of INDs or Clinical Trial Applications and initiation of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 as well as obtaining relevant exclusivity extensions (due to the conduct of pediatric studies);</w:t>
      </w:r>
    </w:p>
    <w:p>
      <w:pPr>
        <w:spacing w:after="0" w:line="5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drug candidates;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drug candidates’ intended indications;</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our drug candidates and maintaining such a profile following approval;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0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61"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or the Scottish Medicines Consortium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5" w:name="page56"/>
    <w:bookmarkEnd w:id="55"/>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5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NX-5948 and NX-2127 degrade BTK with mutations that confer resistance to currently marketed BTK inhibitors, and we believe that preliminary data from our ongoing Phase 1 trials of NX-5948 and NX-2127 may provide evidence of clinical benefit to patients with such resistance mutations. However, any inherent primary or acquired secondary resistance to our BTK degraders in patients would prevent or diminish their clinical benefit.</w:t>
      </w:r>
    </w:p>
    <w:p>
      <w:pPr>
        <w:spacing w:after="0" w:line="92"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We are in the early stages of clinical development of NX-5948 and NX-2127 and we currently have limited safety data of NX-5948 and NX-2127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6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spacing w:after="0" w:line="73" w:lineRule="exact"/>
        <w:rPr>
          <w:sz w:val="20"/>
          <w:szCs w:val="20"/>
          <w:color w:val="auto"/>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efficacy and safety benefits, as well as the challenges, of incorporating our drug candidates, if approved, into treatment regimens;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sales and marketing capabilities to gain market acceptance, if approved.</w:t>
      </w:r>
    </w:p>
    <w:p>
      <w:pPr>
        <w:spacing w:after="0" w:line="10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4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5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6" w:name="page57"/>
    <w:bookmarkEnd w:id="56"/>
    <w:p>
      <w:pPr>
        <w:ind w:firstLine="648"/>
        <w:spacing w:after="0" w:line="243"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spacing w:after="0" w:line="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4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 consensus with regulators on trial design;</w:t>
      </w:r>
    </w:p>
    <w:p>
      <w:pPr>
        <w:spacing w:after="0" w:line="103"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6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agreement on acceptable clinical trial contracts or clinical trial protocols with prospective trial sites;</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under human tissue act legislation and restrictions across various jurisdictions;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may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40"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to suspend or terminate the trials;</w:t>
      </w:r>
    </w:p>
    <w:p>
      <w:pPr>
        <w:spacing w:after="0" w:line="67"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0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trials for various reasons, including noncompliance with regulatory requirements;</w:t>
      </w:r>
    </w:p>
    <w:p>
      <w:pPr>
        <w:spacing w:after="0" w:line="5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0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drug candidates, or such requirements may not be as we anticipate;</w:t>
      </w:r>
    </w:p>
    <w:p>
      <w:pPr>
        <w:spacing w:after="0" w:line="10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also conduct clinical trials in ways they view as advantageous to them but that are suboptimal for us; and</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ind w:left="660" w:right="3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68"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spacing w:after="0" w:line="6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04"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NX-5948, NX-2127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8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NX-5948, NX-2127 and NX-1607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72" w:lineRule="exact"/>
        <w:rPr>
          <w:sz w:val="20"/>
          <w:szCs w:val="20"/>
          <w:color w:val="auto"/>
        </w:rPr>
      </w:pPr>
    </w:p>
    <w:p>
      <w:pPr>
        <w:jc w:val="both"/>
        <w:ind w:right="360" w:firstLine="648"/>
        <w:spacing w:after="0" w:line="250" w:lineRule="auto"/>
        <w:rPr>
          <w:sz w:val="20"/>
          <w:szCs w:val="20"/>
          <w:color w:val="auto"/>
        </w:rPr>
      </w:pPr>
      <w:r>
        <w:rPr>
          <w:rFonts w:ascii="Times New Roman" w:cs="Times New Roman" w:eastAsia="Times New Roman" w:hAnsi="Times New Roman"/>
          <w:sz w:val="18"/>
          <w:szCs w:val="18"/>
          <w:color w:val="auto"/>
        </w:rPr>
        <w:t>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by our drug candidates in any of our current or future preclinical studies or clinical trials. There also is the potential risk of delayed adverse events following treatment with our drug candidates.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8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Initial success in clinical trials may not be indicative of results obtained in later-stage trials or when these trials are completed.</w:t>
      </w:r>
    </w:p>
    <w:p>
      <w:pPr>
        <w:spacing w:after="0" w:line="5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or when these trials are completed.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NX-5948, NX-2127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w:t>
      </w:r>
    </w:p>
    <w:p>
      <w:pPr>
        <w:spacing w:after="0" w:line="1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3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NX-5948, NX-2127 and NX-1607, and we expect to initiate a Phase 2 clinical trial of NX-5948 in 2025. We cannot predict how difficult it will be to enroll patients for these trials. Therefore, our ability to identify and enroll eligible patients for our NX-5948, NX-2127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9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9" w:name="page60"/>
    <w:bookmarkEnd w:id="59"/>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medications for the disease under investigation;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candidates under study;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attitudes and practices with respect to clinical trial enrollment;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inconvenient procedures;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8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we and our third-party manufacturers are early in our manufacturing efforts.</w:t>
      </w:r>
    </w:p>
    <w:p>
      <w:pPr>
        <w:spacing w:after="0" w:line="12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NX-2127, the FDA placed a partial clinical hold on our ongoing Phase 1 clinical trial evaluating NX-2127. We actively engaged in discussions with FDA as part of our efforts to lift the partial clinical hold, and in March 2024, the FDA lifted the partial clinical hold. There can be no assurance that we can address any issues resulting in any partial or full clinical hold in a timely manner or at all, and we may incur additional expenses in connection with our efforts to address a partial or full clinical hold or advance our clinical programs.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drug candidates.</w:t>
      </w:r>
    </w:p>
    <w:p>
      <w:pPr>
        <w:spacing w:after="0" w:line="121"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A key element of our strategy is to apply our DEL-AI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86" w:lineRule="exact"/>
        <w:rPr>
          <w:sz w:val="20"/>
          <w:szCs w:val="20"/>
          <w:color w:val="auto"/>
        </w:rPr>
      </w:pPr>
    </w:p>
    <w:p>
      <w:pPr>
        <w:ind w:left="5860" w:right="3780" w:hanging="5528"/>
        <w:spacing w:after="0" w:line="970" w:lineRule="auto"/>
        <w:tabs>
          <w:tab w:leader="none" w:pos="65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drug candidates;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0" w:name="page61"/>
    <w:bookmarkEnd w:id="60"/>
    <w:p>
      <w:pPr>
        <w:ind w:left="660" w:right="2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not be effective in treating their targeted diseases.</w:t>
      </w:r>
    </w:p>
    <w:p>
      <w:pPr>
        <w:spacing w:after="0" w:line="104"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the breadth of our DEL-AI platform.</w:t>
      </w:r>
    </w:p>
    <w:p>
      <w:pPr>
        <w:spacing w:after="0" w:line="12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A key element of our strategy is to expand the capabilities of our DEL-AI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DEL-AI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DEL-AI platform.</w:t>
      </w:r>
    </w:p>
    <w:p>
      <w:pPr>
        <w:spacing w:after="0" w:line="181"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degradation,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87"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We are aware of a number of biotechnology companies focused on developing small molecules that degrade target proteins or inhibit E3 ligases, many of which currently are in preclinical or clinical development. In addition, certain large pharmaceutical companies have disclosed investments in this field. Furthermore, we are aware of multiple other BTK degrader programs in clinical development.</w:t>
      </w:r>
    </w:p>
    <w:p>
      <w:pPr>
        <w:spacing w:after="0" w:line="8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200" w:lineRule="exact"/>
        <w:rPr>
          <w:sz w:val="20"/>
          <w:szCs w:val="20"/>
          <w:color w:val="auto"/>
        </w:rPr>
      </w:pPr>
    </w:p>
    <w:p>
      <w:pPr>
        <w:spacing w:after="0" w:line="37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5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jc w:val="both"/>
        <w:ind w:right="100" w:firstLine="648"/>
        <w:spacing w:after="0" w:line="262" w:lineRule="auto"/>
        <w:rPr>
          <w:sz w:val="20"/>
          <w:szCs w:val="20"/>
          <w:color w:val="auto"/>
        </w:rPr>
      </w:pPr>
      <w:r>
        <w:rPr>
          <w:rFonts w:ascii="Times New Roman" w:cs="Times New Roman" w:eastAsia="Times New Roman" w:hAnsi="Times New Roman"/>
          <w:sz w:val="17"/>
          <w:szCs w:val="17"/>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w:t>
      </w:r>
    </w:p>
    <w:p>
      <w:pPr>
        <w:spacing w:after="0" w:line="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Annual Report on Form 10-K.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18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is subject to extensive regulatory obligations and policies that are subject to change, including due to judicial challenges.</w:t>
      </w:r>
    </w:p>
    <w:p>
      <w:pPr>
        <w:spacing w:after="0" w:line="5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 Any resulting changes in regulation may result in unexpected delays, increased costs, or other negative impacts on our business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w:t>
      </w:r>
      <w:r>
        <w:rPr>
          <w:rFonts w:ascii="Times New Roman" w:cs="Times New Roman" w:eastAsia="Times New Roman" w:hAnsi="Times New Roman"/>
          <w:sz w:val="18"/>
          <w:szCs w:val="18"/>
          <w:i w:val="1"/>
          <w:iCs w:val="1"/>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Collaborations involving our research programs or any drug candidates we may develop, including our collaborations with Gilead, Sanofi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Pfizer, pose risks to us, including:</w:t>
      </w:r>
    </w:p>
    <w:p>
      <w:pPr>
        <w:spacing w:after="0" w:line="9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 with us.</w:t>
      </w:r>
    </w:p>
    <w:p>
      <w:pPr>
        <w:spacing w:after="0" w:line="103"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jc w:val="both"/>
        <w:ind w:left="660" w:right="100" w:hanging="328"/>
        <w:spacing w:after="0" w:line="25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w:t>
      </w:r>
    </w:p>
    <w:p>
      <w:pPr>
        <w:spacing w:after="0" w:line="6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67"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82" w:lineRule="exact"/>
        <w:rPr>
          <w:rFonts w:ascii="Times New Roman" w:cs="Times New Roman" w:eastAsia="Times New Roman" w:hAnsi="Times New Roman"/>
          <w:sz w:val="18"/>
          <w:szCs w:val="18"/>
          <w:color w:val="auto"/>
        </w:rPr>
      </w:pPr>
    </w:p>
    <w:p>
      <w:pPr>
        <w:ind w:left="660" w:right="8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4"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69"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660" w:right="64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54"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w:t>
      </w:r>
    </w:p>
    <w:p>
      <w:pPr>
        <w:spacing w:after="0" w:line="82"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8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Annual Report on Form 10-K apply to the activities of our collaborators.</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3" w:name="page64"/>
    <w:bookmarkEnd w:id="63"/>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78" w:lineRule="exact"/>
        <w:rPr>
          <w:sz w:val="20"/>
          <w:szCs w:val="20"/>
          <w:color w:val="auto"/>
        </w:rPr>
      </w:pPr>
    </w:p>
    <w:p>
      <w:pPr>
        <w:ind w:right="240" w:firstLine="648"/>
        <w:spacing w:after="0" w:line="280"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45"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17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rely on third-party contract research organizations (CROs) to conduct our Phase 1 clinical trial programs for NX-5948, NX-2127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83" w:lineRule="exact"/>
        <w:rPr>
          <w:sz w:val="20"/>
          <w:szCs w:val="20"/>
          <w:color w:val="auto"/>
        </w:rPr>
      </w:pPr>
    </w:p>
    <w:p>
      <w:pPr>
        <w:ind w:right="320" w:firstLine="648"/>
        <w:spacing w:after="0" w:line="246"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7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2" w:lineRule="exact"/>
        <w:rPr>
          <w:sz w:val="20"/>
          <w:szCs w:val="20"/>
          <w:color w:val="auto"/>
        </w:rPr>
      </w:pPr>
    </w:p>
    <w:p>
      <w:pPr>
        <w:ind w:right="280" w:firstLine="648"/>
        <w:spacing w:after="0" w:line="24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87"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Such events could result in our clinical or commercial supply of drug, packaging and other services being interrupted or limited, which could harm our business.</w:t>
      </w:r>
    </w:p>
    <w:p>
      <w:pPr>
        <w:spacing w:after="0" w:line="7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them entails additional risks, including:</w:t>
      </w:r>
    </w:p>
    <w:p>
      <w:pPr>
        <w:spacing w:after="0" w:line="6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CMO for regulatory, compliance and quality assurance;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CMO;</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CMO at a time that is costly or inconvenient for us.</w:t>
      </w:r>
    </w:p>
    <w:p>
      <w:pPr>
        <w:spacing w:after="0" w:line="10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6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6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200" w:lineRule="exact"/>
        <w:rPr>
          <w:sz w:val="20"/>
          <w:szCs w:val="20"/>
          <w:color w:val="auto"/>
        </w:rPr>
      </w:pPr>
    </w:p>
    <w:p>
      <w:pPr>
        <w:spacing w:after="0" w:line="3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5" w:name="page66"/>
    <w:bookmarkEnd w:id="65"/>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may experience disruption to their respective supply chain due to the effects of macroeconomic conditions, which could delay, prevent or impair our development or commercialization efforts.</w:t>
      </w:r>
    </w:p>
    <w:p>
      <w:pPr>
        <w:spacing w:after="0" w:line="5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We obtain certain chemical or biological intermediates in the synthesis of our drug candidates and natural health products (NHPs) for toxicology testing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Drug Candidates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w:t>
      </w:r>
    </w:p>
    <w:p>
      <w:pPr>
        <w:spacing w:after="0" w:line="6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sales and distribution support;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6" w:name="page67"/>
    <w:bookmarkEnd w:id="66"/>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 positive HTA recommendation for the product to be prescribed and reimbursed under the national health system;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6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04" w:lineRule="exact"/>
        <w:rPr>
          <w:sz w:val="20"/>
          <w:szCs w:val="20"/>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4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04"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76"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28"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non-U.S.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7" w:name="page68"/>
    <w:bookmarkEnd w:id="67"/>
    <w:p>
      <w:pPr>
        <w:ind w:firstLine="648"/>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8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8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or products that we may develop;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recall, restriction on the approval or a “black box” warning or contraindication for an approved drug;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8" w:name="page69"/>
    <w:bookmarkEnd w:id="68"/>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9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8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9" w:name="page70"/>
    <w:bookmarkEnd w:id="69"/>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7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88"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w:t>
      </w:r>
    </w:p>
    <w:p>
      <w:pPr>
        <w:spacing w:after="0" w:line="7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0" w:name="page71"/>
    <w:bookmarkEnd w:id="70"/>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7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7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67"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7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1" w:name="page72"/>
    <w:bookmarkEnd w:id="71"/>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need to license intellectual property from third parties that may not be available to us or may not be available on commercially reasonable terms, and we may not be successful in obtaining or maintaining necessary rights to our drug candidates through acquisitions and in-licenses.</w:t>
      </w:r>
    </w:p>
    <w:p>
      <w:pPr>
        <w:spacing w:after="0" w:line="2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spacing w:after="0" w:line="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19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7"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82"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72" w:name="page73"/>
    <w:bookmarkEnd w:id="72"/>
    <w:p>
      <w:pPr>
        <w:ind w:firstLine="648"/>
        <w:spacing w:after="0" w:line="242" w:lineRule="auto"/>
        <w:rPr>
          <w:sz w:val="20"/>
          <w:szCs w:val="20"/>
          <w:color w:val="auto"/>
        </w:rPr>
      </w:pPr>
      <w:r>
        <w:rPr>
          <w:rFonts w:ascii="Times New Roman" w:cs="Times New Roman" w:eastAsia="Times New Roman" w:hAnsi="Times New Roman"/>
          <w:sz w:val="18"/>
          <w:szCs w:val="18"/>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NX-5948 and NX-2127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8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87"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98"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degradation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7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3" w:name="page74"/>
    <w:bookmarkEnd w:id="73"/>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spacing w:after="0" w:line="72"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spacing w:after="0" w:line="7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We may choose to challenge the enforceability or validity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spacing w:after="0" w:line="8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4" w:name="page75"/>
    <w:bookmarkEnd w:id="74"/>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2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w:t>
      </w:r>
    </w:p>
    <w:p>
      <w:pPr>
        <w:spacing w:after="0" w:line="8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5" w:name="page76"/>
    <w:bookmarkEnd w:id="75"/>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90"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200" w:lineRule="exact"/>
        <w:rPr>
          <w:sz w:val="20"/>
          <w:szCs w:val="20"/>
          <w:color w:val="auto"/>
        </w:rPr>
      </w:pPr>
    </w:p>
    <w:p>
      <w:pPr>
        <w:spacing w:after="0" w:line="3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76" w:name="page77"/>
    <w:bookmarkEnd w:id="76"/>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drug candidates, approved products, programs or intellectual property could be diminished. Accordingly, the market price of shares of our common stock may decline. Such announcements could also harm our reputation or the market for our drug candidates, which could have a material adverse effect on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pursue or guarantee protection of our intellectual property rights in jurisdictions outside the United States.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7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spacing w:after="0" w:line="72"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very little precedent for the court, increasing the uncertainty of any litigation. As a single court system can invalidate a European patent, we, where applicable, may opt out of the UPC, and as such, each European patent would need to be challenged in each individual country.</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77" w:name="page78"/>
    <w:bookmarkEnd w:id="77"/>
    <w:p>
      <w:pPr>
        <w:ind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28"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78"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8" w:name="page79"/>
    <w:bookmarkEnd w:id="78"/>
    <w:p>
      <w:pPr>
        <w:ind w:firstLine="648"/>
        <w:spacing w:after="0" w:line="242" w:lineRule="auto"/>
        <w:rPr>
          <w:sz w:val="20"/>
          <w:szCs w:val="20"/>
          <w:color w:val="auto"/>
        </w:rPr>
      </w:pPr>
      <w:r>
        <w:rPr>
          <w:rFonts w:ascii="Times New Roman" w:cs="Times New Roman" w:eastAsia="Times New Roman" w:hAnsi="Times New Roman"/>
          <w:sz w:val="18"/>
          <w:szCs w:val="18"/>
          <w:color w:val="auto"/>
        </w:rPr>
        <w:t>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jc w:val="both"/>
        <w:ind w:left="660" w:right="6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82"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candidates utilizing issued patents and other intellectual property that we hold may prove to be ineffective for their intended treatment or we may not obtain regulatory approval for such drug candidates;</w:t>
      </w:r>
    </w:p>
    <w:p>
      <w:pPr>
        <w:spacing w:after="0" w:line="5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40"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1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w:t>
      </w:r>
    </w:p>
    <w:p>
      <w:pPr>
        <w:spacing w:after="0" w:line="5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current patents or patent issuing based on patent applications that we own may not provide protection against competitors or any competitive advantages or may be challenged by third parties;</w:t>
      </w:r>
    </w:p>
    <w:p>
      <w:pPr>
        <w:spacing w:after="0" w:line="67"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hold rights to in the future may be held invalid or unenforceable, including as a result of legal challenges by our competitors;</w:t>
      </w:r>
    </w:p>
    <w:p>
      <w:pPr>
        <w:spacing w:after="0" w:line="5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79" w:name="page80"/>
    <w:bookmarkEnd w:id="79"/>
    <w:p>
      <w:pPr>
        <w:ind w:left="660" w:right="60" w:hanging="328"/>
        <w:spacing w:after="0" w:line="296" w:lineRule="auto"/>
        <w:tabs>
          <w:tab w:leader="none" w:pos="6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44" w:lineRule="exact"/>
        <w:rPr>
          <w:rFonts w:ascii="Times New Roman" w:cs="Times New Roman" w:eastAsia="Times New Roman" w:hAnsi="Times New Roman"/>
          <w:sz w:val="17"/>
          <w:szCs w:val="17"/>
          <w:color w:val="auto"/>
        </w:rPr>
      </w:pPr>
    </w:p>
    <w:p>
      <w:pPr>
        <w:ind w:left="660" w:right="68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drug candidates;</w:t>
      </w:r>
    </w:p>
    <w:p>
      <w:pPr>
        <w:spacing w:after="0" w:line="5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enforce and/or defend our patent rights, a court may not hold that our patents are valid, enforceable and infringed;</w:t>
      </w:r>
    </w:p>
    <w:p>
      <w:pPr>
        <w:spacing w:after="0" w:line="10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subject matter that is covered by our patent applications.</w:t>
      </w:r>
    </w:p>
    <w:p>
      <w:pPr>
        <w:spacing w:after="0" w:line="40"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Drug Candidates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drug candidates could be delayed or fail to receive marketing approval for many reasons, including the following:</w:t>
      </w:r>
    </w:p>
    <w:p>
      <w:pPr>
        <w:spacing w:after="0" w:line="11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planned clinical trials;</w:t>
      </w:r>
    </w:p>
    <w:p>
      <w:pPr>
        <w:spacing w:after="0" w:line="103"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a drug candidate is safe and effective for its proposed indication;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for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drug candidates’ clinical and other benefits outweigh their safety risks;</w:t>
      </w:r>
    </w:p>
    <w:p>
      <w:pPr>
        <w:spacing w:after="0" w:line="103"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may significantly change, including in a manner rendering our clinical data insufficient for approval or otherwise impacting the FDA’s review process and timing or requirements.</w:t>
      </w:r>
    </w:p>
    <w:p>
      <w:pPr>
        <w:spacing w:after="0" w:line="54" w:lineRule="exact"/>
        <w:rPr>
          <w:sz w:val="20"/>
          <w:szCs w:val="20"/>
          <w:color w:val="auto"/>
        </w:rPr>
      </w:pPr>
    </w:p>
    <w:p>
      <w:pPr>
        <w:jc w:val="both"/>
        <w:ind w:right="120" w:firstLine="648"/>
        <w:spacing w:after="0" w:line="247"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w:t>
      </w:r>
    </w:p>
    <w:p>
      <w:pPr>
        <w:spacing w:after="0" w:line="2"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Even if we believe the data collected from clinical trials of our drug candidates are promising, such data may not be sufficient to support approval by the FDA.</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p>
      <w:pPr>
        <w:ind w:firstLine="648"/>
        <w:spacing w:after="0" w:line="247"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76"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spacing w:after="0" w:line="6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In January 2024, the FDA granted Fast Track designation for NX-5948 in the United States for the treatment of adult patients with relapsed or refractory CLL or small lymphocytic lymphoma after at least two lines of therapy, including a BTK inhibitory and a B-cell lymphoma 2 inhibitor, and in December 2024, the FDA granted Fast Track designation for NX-5948 in the United States for the treatment of adult patients with relapsed or refractory Waldenstrom’s macroglobulinemia after at least two lines of therapy, including a BTK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w:t>
      </w:r>
    </w:p>
    <w:p>
      <w:pPr>
        <w:spacing w:after="0" w:line="78"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 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spacing w:after="0" w:line="69" w:lineRule="exact"/>
        <w:rPr>
          <w:sz w:val="20"/>
          <w:szCs w:val="20"/>
          <w:color w:val="auto"/>
        </w:rPr>
      </w:pPr>
    </w:p>
    <w:p>
      <w:pPr>
        <w:ind w:right="200" w:firstLine="648"/>
        <w:spacing w:after="0" w:line="247" w:lineRule="auto"/>
        <w:rPr>
          <w:sz w:val="20"/>
          <w:szCs w:val="20"/>
          <w:color w:val="auto"/>
        </w:rPr>
      </w:pPr>
      <w:r>
        <w:rPr>
          <w:rFonts w:ascii="Times New Roman" w:cs="Times New Roman" w:eastAsia="Times New Roman" w:hAnsi="Times New Roman"/>
          <w:sz w:val="18"/>
          <w:szCs w:val="18"/>
          <w:color w:val="auto"/>
        </w:rPr>
        <w:t>Under FDA policies, a drug candidate is eligible for Priority Review, or review within a six-month time frame from the time a complete NDA is accepted for filing, if the drug candidate provides a significant improvement in the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1" w:name="page82"/>
    <w:bookmarkEnd w:id="81"/>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7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and under the FDA’s draft guidance on “Accelerated Approval and Considerations for Determining Whether a Confirmatory Trial is Underway” made available in January 2025. If such confirmatory trials fail to confirm the drug’s clinical profile or risks and benefits, the FDA may withdraw its approval of the drug.</w:t>
      </w:r>
    </w:p>
    <w:p>
      <w:pPr>
        <w:spacing w:after="0" w:line="82"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spacing w:after="0" w:line="9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93"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82" w:name="page83"/>
    <w:bookmarkEnd w:id="82"/>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 The FDA’s January 2025 draft guidance on “Accelerated Approval and Considerations for Determining Whether a Confirmatory Trial is Underway,” while not finalized, suggests that the FDA generally intends to consider a confirmatory trial to be “underway” prior to accelerated approval if (1) the trial has a target completion date that is consistent with diligent and timely conduct of the trial, considering the nature of the trial’s design and objectives, (2) the sponsor’s progress and plans for postapproval conduct of the trial provide sufficient assurance to expect timely completion of the trial, and (3) enrollment of the confirmatory trial has been initiated.</w:t>
      </w:r>
    </w:p>
    <w:p>
      <w:pPr>
        <w:spacing w:after="0" w:line="78"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6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51" w:lineRule="exact"/>
        <w:rPr>
          <w:sz w:val="20"/>
          <w:szCs w:val="20"/>
          <w:color w:val="auto"/>
        </w:rPr>
      </w:pPr>
    </w:p>
    <w:p>
      <w:pPr>
        <w:ind w:right="160" w:firstLine="648"/>
        <w:spacing w:after="0" w:line="243" w:lineRule="auto"/>
        <w:rPr>
          <w:sz w:val="20"/>
          <w:szCs w:val="20"/>
          <w:color w:val="auto"/>
        </w:rPr>
      </w:pPr>
      <w:r>
        <w:rPr>
          <w:rFonts w:ascii="Times New Roman" w:cs="Times New Roman" w:eastAsia="Times New Roman" w:hAnsi="Times New Roman"/>
          <w:sz w:val="18"/>
          <w:szCs w:val="18"/>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9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7"/>
          <w:szCs w:val="17"/>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w:t>
      </w:r>
    </w:p>
    <w:p>
      <w:pPr>
        <w:spacing w:after="0" w:line="200" w:lineRule="exact"/>
        <w:rPr>
          <w:sz w:val="20"/>
          <w:szCs w:val="20"/>
          <w:color w:val="auto"/>
        </w:rPr>
      </w:pPr>
    </w:p>
    <w:p>
      <w:pPr>
        <w:spacing w:after="0" w:line="3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3" w:name="page84"/>
    <w:bookmarkEnd w:id="83"/>
    <w:p>
      <w:pPr>
        <w:spacing w:after="0" w:line="241" w:lineRule="auto"/>
        <w:rPr>
          <w:sz w:val="20"/>
          <w:szCs w:val="20"/>
          <w:color w:val="auto"/>
        </w:rPr>
      </w:pPr>
      <w:r>
        <w:rPr>
          <w:rFonts w:ascii="Times New Roman" w:cs="Times New Roman" w:eastAsia="Times New Roman" w:hAnsi="Times New Roman"/>
          <w:sz w:val="18"/>
          <w:szCs w:val="18"/>
          <w:color w:val="auto"/>
        </w:rPr>
        <w:t>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 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reached a new agreement with the EU, the “Windsor Framework,” which aims to amend the NIP.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19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5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73"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69" w:lineRule="exact"/>
        <w:rPr>
          <w:sz w:val="20"/>
          <w:szCs w:val="20"/>
          <w:color w:val="auto"/>
        </w:rPr>
      </w:pPr>
    </w:p>
    <w:p>
      <w:pPr>
        <w:jc w:val="both"/>
        <w:ind w:right="280" w:firstLine="648"/>
        <w:spacing w:after="0" w:line="250" w:lineRule="auto"/>
        <w:rPr>
          <w:sz w:val="20"/>
          <w:szCs w:val="20"/>
          <w:color w:val="auto"/>
        </w:rPr>
      </w:pPr>
      <w:r>
        <w:rPr>
          <w:rFonts w:ascii="Times New Roman" w:cs="Times New Roman" w:eastAsia="Times New Roman" w:hAnsi="Times New Roman"/>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8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77"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8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drug, change the way the drug is administered or conduct additional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0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Medication Guide outlining the risks of the previously unidentified side effects for distribution to patients;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in the marketplace;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0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10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77"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8" w:lineRule="exact"/>
        <w:rPr>
          <w:sz w:val="20"/>
          <w:szCs w:val="20"/>
          <w:color w:val="auto"/>
        </w:rPr>
      </w:pPr>
    </w:p>
    <w:p>
      <w:pPr>
        <w:ind w:left="5860" w:right="5180" w:hanging="5528"/>
        <w:spacing w:after="0" w:line="970" w:lineRule="auto"/>
        <w:tabs>
          <w:tab w:leader="none" w:pos="6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85" w:name="page86"/>
    <w:bookmarkEnd w:id="85"/>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04" w:lineRule="exact"/>
        <w:rPr>
          <w:sz w:val="20"/>
          <w:szCs w:val="20"/>
          <w:color w:val="auto"/>
        </w:rPr>
      </w:pPr>
    </w:p>
    <w:p>
      <w:pPr>
        <w:ind w:right="160" w:firstLine="648"/>
        <w:spacing w:after="0" w:line="264" w:lineRule="auto"/>
        <w:rPr>
          <w:sz w:val="20"/>
          <w:szCs w:val="20"/>
          <w:color w:val="auto"/>
        </w:rPr>
      </w:pPr>
      <w:r>
        <w:rPr>
          <w:rFonts w:ascii="Times New Roman" w:cs="Times New Roman" w:eastAsia="Times New Roman" w:hAnsi="Times New Roman"/>
          <w:sz w:val="17"/>
          <w:szCs w:val="17"/>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60"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7"/>
          <w:szCs w:val="17"/>
          <w:color w:val="auto"/>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86" w:name="page87"/>
    <w:bookmarkEnd w:id="86"/>
    <w:p>
      <w:pPr>
        <w:ind w:right="80" w:firstLine="648"/>
        <w:spacing w:after="0" w:line="262"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59" w:lineRule="exact"/>
        <w:rPr>
          <w:sz w:val="20"/>
          <w:szCs w:val="20"/>
          <w:color w:val="auto"/>
        </w:rPr>
      </w:pPr>
    </w:p>
    <w:p>
      <w:pPr>
        <w:jc w:val="both"/>
        <w:ind w:right="440" w:firstLine="648"/>
        <w:spacing w:after="0" w:line="258" w:lineRule="auto"/>
        <w:rPr>
          <w:sz w:val="20"/>
          <w:szCs w:val="20"/>
          <w:color w:val="auto"/>
        </w:rPr>
      </w:pPr>
      <w:r>
        <w:rPr>
          <w:rFonts w:ascii="Times New Roman" w:cs="Times New Roman" w:eastAsia="Times New Roman" w:hAnsi="Times New Roman"/>
          <w:sz w:val="18"/>
          <w:szCs w:val="18"/>
          <w:color w:val="auto"/>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6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6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order to obtain orphan designation in the EEA (the UK has a similar legislation),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73"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7"/>
          <w:szCs w:val="17"/>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6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are also three exceptions to the orphan market exclusivity principle. Marketing authorization may be granted to a similar medicinal product for the same orphan therapeutic indication if:</w:t>
      </w:r>
    </w:p>
    <w:p>
      <w:pPr>
        <w:spacing w:after="0" w:line="68" w:lineRule="exact"/>
        <w:rPr>
          <w:sz w:val="20"/>
          <w:szCs w:val="20"/>
          <w:color w:val="auto"/>
        </w:rPr>
      </w:pPr>
    </w:p>
    <w:p>
      <w:pPr>
        <w:ind w:left="660" w:right="84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10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4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6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UK’s regulatory legal framework provides for similar periods of protection (namely regulatory data protection, marketing protection and market exclusivity).</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7" w:name="page88"/>
    <w:bookmarkEnd w:id="87"/>
    <w:p>
      <w:pPr>
        <w:jc w:val="center"/>
        <w:ind w:right="60"/>
        <w:spacing w:after="0"/>
        <w:rPr>
          <w:sz w:val="20"/>
          <w:szCs w:val="20"/>
          <w:color w:val="auto"/>
        </w:rPr>
      </w:pPr>
      <w:r>
        <w:rPr>
          <w:rFonts w:ascii="Times New Roman" w:cs="Times New Roman" w:eastAsia="Times New Roman" w:hAnsi="Times New Roman"/>
          <w:sz w:val="18"/>
          <w:szCs w:val="18"/>
          <w:color w:val="auto"/>
        </w:rPr>
        <w:t>It is important to note that the regulatory protection afforded to medicinal products such as data exclusivity, marketing protection, market</w:t>
      </w:r>
    </w:p>
    <w:p>
      <w:pPr>
        <w:spacing w:after="0" w:line="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 The proposal is now undergoing the legislative process and the text of the initial proposal is likely to be amended by the European Parliament and the European Council.</w:t>
      </w:r>
    </w:p>
    <w:p>
      <w:pPr>
        <w:spacing w:after="0" w:line="17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7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77"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8" w:name="page89"/>
    <w:bookmarkEnd w:id="88"/>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spacing w:after="0" w:line="6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spacing w:after="0" w:line="76"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implemented, will also affect the current EU legal framework of pediatric medicines.</w:t>
      </w:r>
    </w:p>
    <w:p>
      <w:pPr>
        <w:spacing w:after="0" w:line="18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7"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U.S. federal and state and non-U.S. healthcare laws and regulations include the following:</w:t>
      </w:r>
    </w:p>
    <w:p>
      <w:pPr>
        <w:spacing w:after="0" w:line="117" w:lineRule="exact"/>
        <w:rPr>
          <w:sz w:val="20"/>
          <w:szCs w:val="20"/>
          <w:color w:val="auto"/>
        </w:rPr>
      </w:pPr>
    </w:p>
    <w:p>
      <w:pPr>
        <w:ind w:left="660" w:right="20" w:hanging="328"/>
        <w:spacing w:after="0" w:line="244"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9" w:name="page90"/>
    <w:bookmarkEnd w:id="89"/>
    <w:p>
      <w:pPr>
        <w:ind w:left="328" w:hanging="328"/>
        <w:spacing w:after="0" w:line="245"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73" w:lineRule="exact"/>
        <w:rPr>
          <w:rFonts w:ascii="Times New Roman" w:cs="Times New Roman" w:eastAsia="Times New Roman" w:hAnsi="Times New Roman"/>
          <w:sz w:val="18"/>
          <w:szCs w:val="18"/>
          <w:color w:val="auto"/>
        </w:rPr>
      </w:pPr>
    </w:p>
    <w:p>
      <w:pPr>
        <w:ind w:left="328" w:right="40" w:hanging="328"/>
        <w:spacing w:after="0" w:line="250"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69" w:lineRule="exact"/>
        <w:rPr>
          <w:rFonts w:ascii="Times New Roman" w:cs="Times New Roman" w:eastAsia="Times New Roman" w:hAnsi="Times New Roman"/>
          <w:sz w:val="18"/>
          <w:szCs w:val="18"/>
          <w:color w:val="auto"/>
        </w:rPr>
      </w:pPr>
    </w:p>
    <w:p>
      <w:pPr>
        <w:ind w:left="328" w:right="100" w:hanging="328"/>
        <w:spacing w:after="0" w:line="250"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healthcare benefits;</w:t>
      </w:r>
    </w:p>
    <w:p>
      <w:pPr>
        <w:spacing w:after="0" w:line="69" w:lineRule="exact"/>
        <w:rPr>
          <w:rFonts w:ascii="Times New Roman" w:cs="Times New Roman" w:eastAsia="Times New Roman" w:hAnsi="Times New Roman"/>
          <w:sz w:val="18"/>
          <w:szCs w:val="18"/>
          <w:color w:val="auto"/>
        </w:rPr>
      </w:pPr>
    </w:p>
    <w:p>
      <w:pPr>
        <w:jc w:val="both"/>
        <w:ind w:left="328" w:right="460" w:hanging="328"/>
        <w:spacing w:after="0" w:line="258"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61" w:lineRule="exact"/>
        <w:rPr>
          <w:rFonts w:ascii="Times New Roman" w:cs="Times New Roman" w:eastAsia="Times New Roman" w:hAnsi="Times New Roman"/>
          <w:sz w:val="18"/>
          <w:szCs w:val="18"/>
          <w:color w:val="auto"/>
        </w:rPr>
      </w:pPr>
    </w:p>
    <w:p>
      <w:pPr>
        <w:ind w:left="328" w:right="220" w:hanging="328"/>
        <w:spacing w:after="0" w:line="258"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61" w:lineRule="exact"/>
        <w:rPr>
          <w:rFonts w:ascii="Times New Roman" w:cs="Times New Roman" w:eastAsia="Times New Roman" w:hAnsi="Times New Roman"/>
          <w:sz w:val="18"/>
          <w:szCs w:val="18"/>
          <w:color w:val="auto"/>
        </w:rPr>
      </w:pPr>
    </w:p>
    <w:p>
      <w:pPr>
        <w:jc w:val="both"/>
        <w:ind w:left="328" w:right="380" w:hanging="328"/>
        <w:spacing w:after="0" w:line="258"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61" w:lineRule="exact"/>
        <w:rPr>
          <w:rFonts w:ascii="Times New Roman" w:cs="Times New Roman" w:eastAsia="Times New Roman" w:hAnsi="Times New Roman"/>
          <w:sz w:val="18"/>
          <w:szCs w:val="18"/>
          <w:color w:val="auto"/>
        </w:rPr>
      </w:pPr>
    </w:p>
    <w:p>
      <w:pPr>
        <w:ind w:left="328" w:hanging="328"/>
        <w:spacing w:after="0" w:line="250"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69" w:lineRule="exact"/>
        <w:rPr>
          <w:rFonts w:ascii="Times New Roman" w:cs="Times New Roman" w:eastAsia="Times New Roman" w:hAnsi="Times New Roman"/>
          <w:sz w:val="18"/>
          <w:szCs w:val="18"/>
          <w:color w:val="auto"/>
        </w:rPr>
      </w:pPr>
    </w:p>
    <w:p>
      <w:pPr>
        <w:ind w:left="328" w:right="60" w:hanging="328"/>
        <w:spacing w:after="0" w:line="258"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1" w:lineRule="exact"/>
        <w:rPr>
          <w:rFonts w:ascii="Times New Roman" w:cs="Times New Roman" w:eastAsia="Times New Roman" w:hAnsi="Times New Roman"/>
          <w:sz w:val="18"/>
          <w:szCs w:val="18"/>
          <w:color w:val="auto"/>
        </w:rPr>
      </w:pPr>
    </w:p>
    <w:p>
      <w:pPr>
        <w:ind w:left="328" w:right="400" w:hanging="328"/>
        <w:spacing w:after="0" w:line="266"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54"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w:t>
      </w:r>
    </w:p>
    <w:p>
      <w:pPr>
        <w:spacing w:after="0" w:line="40" w:lineRule="exact"/>
        <w:rPr>
          <w:rFonts w:ascii="Times New Roman" w:cs="Times New Roman" w:eastAsia="Times New Roman" w:hAnsi="Times New Roman"/>
          <w:sz w:val="18"/>
          <w:szCs w:val="18"/>
          <w:color w:val="auto"/>
        </w:rPr>
      </w:pPr>
    </w:p>
    <w:p>
      <w:pPr>
        <w:ind w:left="328" w:right="60" w:hanging="328"/>
        <w:spacing w:after="0" w:line="250"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w:t>
      </w:r>
    </w:p>
    <w:p>
      <w:pPr>
        <w:spacing w:after="0" w:line="69"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340" w:lineRule="exact"/>
        <w:rPr>
          <w:sz w:val="20"/>
          <w:szCs w:val="20"/>
          <w:color w:val="auto"/>
        </w:rPr>
      </w:pPr>
    </w:p>
    <w:p>
      <w:pPr>
        <w:jc w:val="center"/>
        <w:ind w:right="-367"/>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039" w:right="379" w:bottom="1440" w:gutter="0" w:footer="0" w:header="0"/>
        </w:sectPr>
      </w:pPr>
    </w:p>
    <w:bookmarkStart w:id="90" w:name="page91"/>
    <w:bookmarkEnd w:id="90"/>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9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with respect to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7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5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or administrative or executive action, either in the United States or abroad.</w:t>
      </w:r>
    </w:p>
    <w:p>
      <w:pPr>
        <w:spacing w:after="0" w:line="17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5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72"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1" w:name="page92"/>
    <w:bookmarkEnd w:id="91"/>
    <w:p>
      <w:pPr>
        <w:ind w:firstLine="648"/>
        <w:spacing w:after="0" w:line="242" w:lineRule="auto"/>
        <w:rPr>
          <w:sz w:val="20"/>
          <w:szCs w:val="20"/>
          <w:color w:val="auto"/>
        </w:rPr>
      </w:pPr>
      <w:r>
        <w:rPr>
          <w:rFonts w:ascii="Times New Roman" w:cs="Times New Roman" w:eastAsia="Times New Roman" w:hAnsi="Times New Roman"/>
          <w:sz w:val="18"/>
          <w:szCs w:val="18"/>
          <w:color w:val="auto"/>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The CMS has taken a number of steps to implement the IRA, including: on August 29, 2023, releasing the initial list of ten drugs subject to price negotiations; on August 15, 2024 releasing the negotiated maximum prices for such drugs that will be effective beginning in 2026; on October 2, 2024, releasing final guidance outlining the process for the second round of price negotiations for products subject to the “maximum fair price” provision; and on December 20, 2024, releasing a list of 64 Medicare Part B products that had an adjusted coinsurance rate based on the inflationary rebate provisions of the IRA for the time period of January 1, 2025 to March 31, 2025.</w:t>
      </w:r>
    </w:p>
    <w:p>
      <w:pPr>
        <w:spacing w:after="0" w:line="94"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It is unclear how future regulatory actions to implement the IRA, as well as the outcome of pending litigation against the IRA, may affect our products and future profitability, and we cannot predict the likelihood, nature, or extent of other health reform initiatives that may arise from future legislation or administrative actions.</w:t>
      </w:r>
    </w:p>
    <w:p>
      <w:pPr>
        <w:spacing w:after="0" w:line="8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Moreover, the results of the 2024 Presidential and Congressional elections, and potential subsequent developments, increase the uncertainty related to the healthcare regulatory environment. In addition, on June 28, 2024, the U.S. Supreme Court issued an opinion holding that courts reviewing agency action pursuant to the APA “must exercise their independent judgment” and “may not defer to an agency interpretation of the law simply because a statute is ambiguous.” The decision will have a significant impact on how lower courts evaluate challenges to agency interpretations of law, including those by CMS and other agencies with significant oversight of the healthcare industry. For additional information, see the risk factor above titled “The biopharmaceutical industry is subject to extensive regulatory obligations and policies that are subject to change, including due to judicial challenges.”</w:t>
      </w:r>
    </w:p>
    <w:p>
      <w:pPr>
        <w:spacing w:after="0" w:line="8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73"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from the sales of drugs, if any.</w:t>
      </w:r>
    </w:p>
    <w:p>
      <w:pPr>
        <w:spacing w:after="0" w:line="121"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Risks Related to Employees, Managing our Growth and Other Legal Matters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5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9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69"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w:t>
      </w:r>
    </w:p>
    <w:p>
      <w:pPr>
        <w:spacing w:after="0" w:line="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and expect to advance our drug candidate NX-5948 to a Phase 2 clinical trial in 2025.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93" w:name="page94"/>
    <w:bookmarkEnd w:id="93"/>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8" w:lineRule="exact"/>
        <w:rPr>
          <w:sz w:val="20"/>
          <w:szCs w:val="20"/>
          <w:color w:val="auto"/>
        </w:rPr>
      </w:pPr>
    </w:p>
    <w:p>
      <w:pPr>
        <w:ind w:left="660" w:right="2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to us of unauthorized activities that violate the regulations of the FDA or similar foreign regulatory authorities;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fraud and abuse in violation of U.S. and foreign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10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18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72"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infrastructure and data to operate our business. In the ordinary course of our business, we collect, store and transmit large amounts of confidential and sensitive information, including but not limited to intellectual property, proprietary business information and personal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w:t>
      </w:r>
    </w:p>
    <w:p>
      <w:pPr>
        <w:spacing w:after="0" w:line="8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distributed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94" w:name="page95"/>
    <w:bookmarkEnd w:id="94"/>
    <w:p>
      <w:pPr>
        <w:ind w:firstLine="648"/>
        <w:spacing w:after="0" w:line="24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82"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or sensitive information (including trade secrets or other intellectual property, proprietary business information, and personal information), which could result in financial, legal, business, and reputational harm to us. If any such event, including a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international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Additionally, the SEC adopted a new cybersecurity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w:t>
      </w:r>
    </w:p>
    <w:p>
      <w:pPr>
        <w:spacing w:after="0" w:line="87"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1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obtain and process a large amount of proprietary and sensitive data. Any real or perceived improper use of, disclosure of, or access to such data could harm our reputation, as well as have an adverse effect on our business.</w:t>
      </w:r>
    </w:p>
    <w:p>
      <w:pPr>
        <w:spacing w:after="0" w:line="5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5" w:name="page96"/>
    <w:bookmarkEnd w:id="95"/>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Such breach notification laws continue to evolve and may be inconsistent from one jurisdiction to another. In the United States, the SEC has adopted rules for mandatory disclosure of cybersecurity incidents suffered by public companies, as well as cybersecurity governance and risk management. Complying with these obligations could cause us to incur substantial costs and could increase negative publicity surrounding any incident that compromises customer data.</w:t>
      </w:r>
    </w:p>
    <w:p>
      <w:pPr>
        <w:spacing w:after="0" w:line="84"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spacing w:after="0" w:line="17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stringent and changing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72"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CROs,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87" w:lineRule="exact"/>
        <w:rPr>
          <w:sz w:val="20"/>
          <w:szCs w:val="20"/>
          <w:color w:val="auto"/>
        </w:rPr>
      </w:pPr>
    </w:p>
    <w:p>
      <w:pPr>
        <w:jc w:val="both"/>
        <w:ind w:right="100" w:firstLine="648"/>
        <w:spacing w:after="0" w:line="272" w:lineRule="auto"/>
        <w:rPr>
          <w:sz w:val="20"/>
          <w:szCs w:val="20"/>
          <w:color w:val="auto"/>
        </w:rPr>
      </w:pPr>
      <w:r>
        <w:rPr>
          <w:rFonts w:ascii="Times New Roman" w:cs="Times New Roman" w:eastAsia="Times New Roman" w:hAnsi="Times New Roman"/>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w:t>
      </w:r>
    </w:p>
    <w:p>
      <w:pPr>
        <w:spacing w:after="0" w:line="6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7"/>
          <w:szCs w:val="17"/>
          <w:color w:val="auto"/>
        </w:rPr>
        <w:t xml:space="preserve">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On April 22, 2024, OCR issued a Final Rule, </w:t>
      </w:r>
      <w:r>
        <w:rPr>
          <w:rFonts w:ascii="Times New Roman" w:cs="Times New Roman" w:eastAsia="Times New Roman" w:hAnsi="Times New Roman"/>
          <w:sz w:val="17"/>
          <w:szCs w:val="17"/>
          <w:i w:val="1"/>
          <w:iCs w:val="1"/>
          <w:color w:val="auto"/>
        </w:rPr>
        <w:t>HIPAA Privacy Rule to Support Reproductive Health Care Privacy</w:t>
      </w:r>
      <w:r>
        <w:rPr>
          <w:rFonts w:ascii="Times New Roman" w:cs="Times New Roman" w:eastAsia="Times New Roman" w:hAnsi="Times New Roman"/>
          <w:sz w:val="17"/>
          <w:szCs w:val="17"/>
          <w:color w:val="auto"/>
        </w:rPr>
        <w:t>, which is intended to strengthen the HIPPA Privacy Rule by prohibiting the disclosure of protected health information related to lawful reproductive healthcare in certain circumstances.</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6" w:name="page97"/>
    <w:bookmarkEnd w:id="96"/>
    <w:p>
      <w:pPr>
        <w:ind w:firstLine="648"/>
        <w:spacing w:after="0" w:line="242" w:lineRule="auto"/>
        <w:rPr>
          <w:sz w:val="20"/>
          <w:szCs w:val="20"/>
          <w:color w:val="auto"/>
        </w:rPr>
      </w:pPr>
      <w:r>
        <w:rPr>
          <w:rFonts w:ascii="Times New Roman" w:cs="Times New Roman" w:eastAsia="Times New Roman" w:hAnsi="Times New Roman"/>
          <w:sz w:val="18"/>
          <w:szCs w:val="18"/>
          <w:color w:val="auto"/>
        </w:rPr>
        <w:t>In addition, states have shown an increased interest in regulating personal information in general and specifically in the privacy of health data.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also took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94"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Personal information privacy remains an evolving landscape at both the U.S. state and international level, with new regulations coming into effect. For example, the CCPA, which came into effect on January 1, 2020, and was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state agency that is charged with creating new rules and enforcing the CCPA, and the California Attorney General, who also still maintains some CCPA enforcement powers. Notably, following California’s lead, over a third of other U.S. states enacted or proposed privacy laws that contain obligations similar to the CCPA and CPRA that have taken effect or will take effect in coming years. In addition, a comprehensive federal privacy bill, which includes a private right of action for violations, has been proposed and is under review by the U.S. House of Representatives. While these new laws and proposals generally include exemptions for HIPAA-covered data and clinical trial data, they add layers of complexity to compliance in the U.S. market and could increase our compliance costs and adversely affect our business. Compliance with this new and evolving privacy legislation adds complexity and may require investment in additional resources for compliance programs, thus potentially result in additional costs and expense of resources to maintain compliance.</w:t>
      </w:r>
    </w:p>
    <w:p>
      <w:pPr>
        <w:spacing w:after="0" w:line="9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the EU, the EU GDPR governs the collection, use, disclosure, transfer, or other processing of personal data. The UK has implemented the EU GDPR as the UK GDPR which sits alongside the UK Data Protection Act 2018 (the UK GDPR together with the EU GDPR, the GDPR). The GDPR imposes compliance obligations on controllers (and in more limited cases, on processors), including granting certain privacy rights to individuals to control how companies collect, use, disclose, retain and otherwise process their personal data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relevant data protection supervisory authorities of notifiable personal data breaches without undue delay (and no later than 72 hours) after becoming aware of the personal data breach, and the requirement to provide more detailed notices for clinical trial subjects and investigators. In addition, the EU GDPR prohibits the international transfer of personal data originating in the EEA (including, from clinical trial sites and other third parties (e.g., CROs)) to jurisdictions that the European Commission does not recognize as having ‘adequate’ data protection laws, unless a data transfer mechanism has been put in place or a derogation under the EU GDPR can be relied upon. In certain cases, including when transfers are made in reliance on standard contractual clauses (EU SCCs), including a requirement for companies to carry out a transfer impact assessment (TIA)—which (among other things) assesses laws governing access to personal data in the recipient country and considers whether supplementary measures that provide privacy protections additional to those provided under EU SCCs—will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spacing w:after="0" w:line="200" w:lineRule="exact"/>
        <w:rPr>
          <w:sz w:val="20"/>
          <w:szCs w:val="20"/>
          <w:color w:val="auto"/>
        </w:rPr>
      </w:pPr>
    </w:p>
    <w:p>
      <w:pPr>
        <w:spacing w:after="0" w:line="3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7" w:name="page98"/>
    <w:bookmarkEnd w:id="97"/>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Under the UK GDPR, companies not established in the UK but who process personal data in relation to the offering of goods or services to individuals in the UK, or to the monitoring of their behavior will be subject to the UK GDPR—the requirements of which at this time are largely aligned with those under the EU GDPR.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European Commission during this period.</w:t>
      </w:r>
    </w:p>
    <w:p>
      <w:pPr>
        <w:spacing w:after="0" w:line="87"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The UK GDPR also imposes similar restrictions on transfers of personal data from the UK to jurisdictions that the UK Government does not consider adequate, including the United States. The UK’s Information Commissioner’s Office published: (i) its own form of EU SCCs, known as the International Data Transfer Agreement; (ii) a “UK addendum” to the EU SCCs which amends the relevant provisions of such clauses to work in a UK context; and (iii)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now be transferred from the UK under the UK-U.S. data bridge through the UK extension to the DPF to organizations self-certified under the UK extension to the DPF.</w:t>
      </w:r>
    </w:p>
    <w:p>
      <w:pPr>
        <w:spacing w:after="0" w:line="73"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However, the DPF in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spacing w:after="0" w:line="6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As a company, we have invested, and expect to continue to invest, significant time and resources in our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w:t>
      </w:r>
    </w:p>
    <w:p>
      <w:pPr>
        <w:spacing w:after="0" w:line="6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their own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6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200" w:lineRule="exact"/>
        <w:rPr>
          <w:sz w:val="20"/>
          <w:szCs w:val="20"/>
          <w:color w:val="auto"/>
        </w:rPr>
      </w:pPr>
    </w:p>
    <w:p>
      <w:pPr>
        <w:spacing w:after="0" w:line="3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8" w:name="page99"/>
    <w:bookmarkEnd w:id="98"/>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51" w:lineRule="exact"/>
        <w:rPr>
          <w:sz w:val="20"/>
          <w:szCs w:val="20"/>
          <w:color w:val="auto"/>
        </w:rPr>
      </w:pPr>
    </w:p>
    <w:p>
      <w:pPr>
        <w:jc w:val="both"/>
        <w:ind w:right="60" w:firstLine="648"/>
        <w:spacing w:after="0" w:line="247" w:lineRule="auto"/>
        <w:rPr>
          <w:sz w:val="20"/>
          <w:szCs w:val="20"/>
          <w:color w:val="auto"/>
        </w:rPr>
      </w:pPr>
      <w:r>
        <w:rPr>
          <w:rFonts w:ascii="Times New Roman" w:cs="Times New Roman" w:eastAsia="Times New Roman" w:hAnsi="Times New Roman"/>
          <w:sz w:val="18"/>
          <w:szCs w:val="18"/>
          <w:color w:val="auto"/>
        </w:rPr>
        <w:t>We leverage artificial intelligence (AI) into certain aspects of our operations, including through our proprietary DEL-AI platform, which employs machine learning across all aspects of the discovery process. However, our competitors and other third parties may incorporate AI into their operations and processes more quickly or more successfully than us, which could impair our ability to compete effectively and adversely affect our results of operations.</w:t>
      </w:r>
    </w:p>
    <w:p>
      <w:pPr>
        <w:spacing w:after="0" w:line="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Additionally, if the output that AI applications assist in producing are or are alleged to be inaccurate, deficient, or biased, our business, financial condition, and results of operations may be adversely affected. Furthermore, the integration of third-party AI models with our operations relies on certain safeguards implemented by the third-party developers of the underlying AI models, including those related to the accuracy, bias, and other variables of the data, and these safeguards may be insufficient. The use of AI applications has resulted in, and may in the future result in, cybersecurity incidents that implicate the data analyzed within such applications. Any such cybersecurity incidents related to our use of AI applications to analyze data could adversely affect our reputation and results of operations. AI also presents emerging ethical issues and if our use of AI becomes controversial, we may experience brand or reputational harm, competitive harm, or legal liability. Legislation governing the development and use of AI has been passed or is under consideration in the United States at the state and local level, as well as internationally. As a result, the ability to use artificial intelligence and machine learning may be constrained by current or future laws, regulatory or self-regulatory requirements. The rapid evolution of AI, including regulation of AI and it various uses, will require significant resources to develop, test and maintain our platforms and AI operations to help us implement AI ethically in order to minimize unintended, harmful impact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changes in other tax laws could adversely affect us.</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w:t>
      </w:r>
    </w:p>
    <w:p>
      <w:pPr>
        <w:spacing w:after="0" w:line="69"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w:t>
      </w:r>
    </w:p>
    <w:p>
      <w:pPr>
        <w:spacing w:after="0" w:line="72"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7"/>
          <w:szCs w:val="17"/>
          <w:color w:val="auto"/>
        </w:rPr>
        <w:t>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5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subject to limitations.</w:t>
      </w:r>
    </w:p>
    <w:p>
      <w:pPr>
        <w:spacing w:after="0" w:line="121"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November 30, 2024, we had federal and state net operating loss (NOL) carryforwards of approximately $263.9 million and $418.7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9" w:name="page100"/>
    <w:bookmarkEnd w:id="99"/>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R&amp;D credit carryovers) to offset its post-change income or post-change income tax may be limited. We have identified two ownership changes since our inception that have triggered a limitation on pre-change NOLs under Sections 382 and 383.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R&amp;D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5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03" w:lineRule="exact"/>
        <w:rPr>
          <w:rFonts w:ascii="Times New Roman" w:cs="Times New Roman" w:eastAsia="Times New Roman" w:hAnsi="Times New Roman"/>
          <w:sz w:val="18"/>
          <w:szCs w:val="18"/>
          <w:color w:val="auto"/>
        </w:rPr>
      </w:pPr>
    </w:p>
    <w:p>
      <w:pPr>
        <w:ind w:left="660" w:right="6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67"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1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5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200" w:lineRule="exact"/>
        <w:rPr>
          <w:sz w:val="20"/>
          <w:szCs w:val="20"/>
          <w:color w:val="auto"/>
        </w:rPr>
      </w:pPr>
    </w:p>
    <w:p>
      <w:pPr>
        <w:spacing w:after="0" w:line="3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0" w:name="page101"/>
    <w:bookmarkEnd w:id="100"/>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9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our international operations, including regulations administered by the governments of the United States, UK and authorities in the EU, including U.S. export controls, including the U.S. Department of Commerce’s Export Administration Regulations, and U.S. economic sanctions, trade sanctions regulations administered by the U.S. Department of the Treasury’s Office of Foreign Assets Controls, including restrictions or prohibitions on the sale or supply of certain products and services to U.S.-embargoed or sanctioned countries, governments, persons and entities, and other applicable export control regulations, customs requirements and currency exchange regulations, which we collectively refer to as Trade Control Laws.</w:t>
      </w:r>
    </w:p>
    <w:p>
      <w:pPr>
        <w:spacing w:after="0" w:line="8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interest rate fluctuations and inflation, uncertainty with respect to the federal budget and debt ceiling and potential government shutdowns related thereto, as well as the possibility of a recession or further economic downturn. Moreover, there have been concerns in recent years with respect to the stability of the global banking system. For example, in March 2023, Silicon Valley Bank (SVB), which was one of our banking partners, was closed by the California Department of Financial Protection and Innovation, which appointed the Federal Deposit Insurance Corporation (FDIC) as receiver, and in March 2023, Silvergate Capital Corp. and Signature Bank were similarly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395" w:lineRule="exact"/>
        <w:rPr>
          <w:sz w:val="20"/>
          <w:szCs w:val="20"/>
          <w:color w:val="auto"/>
        </w:rPr>
      </w:pPr>
    </w:p>
    <w:p>
      <w:pPr>
        <w:ind w:right="9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2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00" w:lineRule="exact"/>
        <w:rPr>
          <w:sz w:val="20"/>
          <w:szCs w:val="20"/>
          <w:color w:val="auto"/>
        </w:rPr>
      </w:pPr>
    </w:p>
    <w:p>
      <w:pPr>
        <w:spacing w:after="0" w:line="37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We expect our results of operations to be subject to quarterly fluctuations. Our net loss and other results of operations will be affected by numerous factors, including:</w:t>
      </w:r>
    </w:p>
    <w:p>
      <w:pPr>
        <w:spacing w:after="0" w:line="6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drug candidates, DEL-AI platform, or future development programs;</w:t>
      </w:r>
    </w:p>
    <w:p>
      <w:pPr>
        <w:spacing w:after="0" w:line="103"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 or funding support by us or by existing or future collaborators or licensing partners;</w:t>
      </w:r>
    </w:p>
    <w:p>
      <w:pPr>
        <w:spacing w:after="0" w:line="67"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03"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660" w:right="80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receives regulatory approval, the terms of such approval and market acceptance and demand for such drug candidates;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drug candidates or those of our competitors; and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including interest rate fluctuations, inflation, uncertainty with respect to the federal budget and debt ceiling and potential government shutdowns related thereto, instability in the global banking system and the possibility of a recession or further economic downturn.</w:t>
      </w:r>
    </w:p>
    <w:p>
      <w:pPr>
        <w:spacing w:after="0" w:line="8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w:t>
      </w:r>
    </w:p>
    <w:p>
      <w:pPr>
        <w:spacing w:after="0" w:line="61"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drug candidates, or those of our competitors or our existing or future collaborators;</w:t>
      </w:r>
    </w:p>
    <w:p>
      <w:pPr>
        <w:spacing w:after="0" w:line="10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drug candidates;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0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collaboration partners, or our competitors, and the timing of these introductions or announcements;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drug candidates, clinical trials, manufacturing process or sales and marketing terms;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in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drug candidates;</w:t>
      </w:r>
    </w:p>
    <w:p>
      <w:pPr>
        <w:spacing w:after="0" w:line="10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collaborations, including but not limited to those with our sources of manufacturing supply and our commercialization partners;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03" w:name="page104"/>
    <w:bookmarkEnd w:id="103"/>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0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drug candidates and products;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any additional capital is raised;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provide to the market;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increasingly volatile global economic conditions resulting from regional conflicts around the world;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03"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interest rate fluctuations, inflation, uncertainty with respect to the federal budget and debt ceiling and potential government shutdowns related thereto, instability in the global banking system and the possibility of a recession or further economic downturn.</w:t>
      </w:r>
    </w:p>
    <w:p>
      <w:pPr>
        <w:spacing w:after="0" w:line="61"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8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w:t>
      </w:r>
    </w:p>
    <w:p>
      <w:pPr>
        <w:spacing w:after="0" w:line="8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4" w:name="page105"/>
    <w:bookmarkEnd w:id="104"/>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and issuance of equity or of debt securities that are convertible into equity will dilute our share capital.</w:t>
      </w:r>
    </w:p>
    <w:p>
      <w:pPr>
        <w:spacing w:after="0" w:line="12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July 2022, we entered into separate Securities Purchase Agreements with certain purchasers to issue and sell pre-funded warrants to purchase an aggregate of 6,814,920 shares of our common stock in registered direct offerings; and in April 2024, we sold an additional 11,916,667 shares of our common stock and pre-funded warrants to purchase an aggregate of 1,500,100 shares of our common stock in a public offering. Such pre-funded warrants are immediately exercisable, have an exercise price of $0.001 and may be exercised at any time after the date of issuance.</w:t>
      </w:r>
    </w:p>
    <w:p>
      <w:pPr>
        <w:spacing w:after="0" w:line="7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addition, we currently have on file with the SEC an automatic shelf registration statement on Form S-3 which allows us to offer and sell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which was amended in July 2024 and again in October 2024 (as amended, the Second Amended Equity Distribution Agreement), pursuant to which, from time to time, we may offer and sell through Piper Sandler up to $300.0 million of the common stock registered under the shelf registration statement pursuant to one or more “at the market” offerings. From time to time, we have issued and sold shares of common stock pursuant to this agreement and as of the date of this filing, we have $204.6 million of common stock remaining available for sale under the Second Amended Equity Distribution Agreement. Sales of our common stock under the Second Amended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of November 30, 2024, we have issued pre-funded warrants to purchase a total of 8,315,020 shares of our common stock, of which 7,577,909 were outstanding as of November 30, 2024.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our pre-funded warrants.</w:t>
      </w:r>
    </w:p>
    <w:p>
      <w:pPr>
        <w:spacing w:after="0" w:line="121"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05" w:name="page106"/>
    <w:bookmarkEnd w:id="105"/>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17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61"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our board;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with the approval of two-thirds of our stockholders;</w:t>
      </w:r>
    </w:p>
    <w:p>
      <w:pPr>
        <w:spacing w:after="0" w:line="10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amended and restated bylaws, unless such amendments are approved by two-thirds of our board of directors, in which case stockholders can approve by a simple majority;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68"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86"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6" w:name="page107"/>
    <w:bookmarkEnd w:id="106"/>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8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establishment and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new disclosure obligations once applicable to our company, or any or any additional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w:t>
      </w:r>
    </w:p>
    <w:p>
      <w:pPr>
        <w:spacing w:after="0" w:line="9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7"/>
          <w:szCs w:val="17"/>
          <w:color w:val="auto"/>
        </w:rPr>
        <w:t>Therefore, as a result of being a public company, 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3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7" w:name="page108"/>
    <w:bookmarkEnd w:id="107"/>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produce accurate and timely financial statements could be impaired, which could harm our results of operations, investors’ views of us and, as a result, the value of our common stock.</w:t>
      </w:r>
    </w:p>
    <w:p>
      <w:pPr>
        <w:spacing w:after="0" w:line="5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9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2024, we are considered a large accelerated filer under SEC rules effective November 30, 2024, and, as a result, our independent registered public accounting firm is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was remediated. However, we cannot assure you that the measures we have taken to date, and actions we may take in the future, will prevent or avoid potential future material weaknesses.</w:t>
      </w:r>
    </w:p>
    <w:p>
      <w:pPr>
        <w:spacing w:after="0" w:line="80"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8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no longer qualify as a “smaller reporting company” and, commencing with our quarterly report on Form 10-Q for the fiscal quarter ending February 28, 2025, we may no longer take advantage of reduced disclosure and reporting requirements applicable to smaller reporting companies.</w:t>
      </w:r>
    </w:p>
    <w:p>
      <w:pPr>
        <w:spacing w:after="0" w:line="5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Based on the market value of our common stock held by our non-affiliates as of May 31, 2024, we no longer qualify as a “smaller reporting company” as defined by the SEC effective November 30, 2024. Therefore, beginning with our quarterly report on Form 10-Q for the fiscal quarter ending February 28, 2025, we will no longer be eligible to rely on the reduced disclosure and reporting requirements applicable to smaller reporting companies. Moreover, we have chosen not to take advantage of the reduced disclosure and reporting requirements applicable to smaller reporting companies starting with this Annual Report on Form 10-K. Any failure to comply with the increased disclosure and reporting requirements could have an adverse effect on our business, financial condition and results of operations.</w:t>
      </w:r>
    </w:p>
    <w:p>
      <w:pPr>
        <w:spacing w:after="0" w:line="17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recognize the importance of maintaining the trust and confidence of our patients, our collaborators, our business partners, our investors, and our employees and understand how key it is to maintain their confidence in our ability to properly protect and manage our information technology systems, infrastructure and data as part of that trust and confidence. In order to achieve this, our management team and our Board of Directors are actively involved in the oversight of our cybersecurity program as part of our approach to risk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maintain processes for assessing, identifying, and managing cybersecurity risks. These processes are designed to protect our information assets and operations from both internal and external cyber threats, including protecting employee and patient information from unauthorized access or attack, and to secure our networks and systems. Our cybersecurity and data privacy programs are aligned to, among others, the U.S. National Institute of Standards and Technology (NIST) Cybersecurity Framework to assess, identify and manage material risks from cybersecurity threats. We employ a combination of physical, procedural, and technical safeguards, regular system tests, incident simulations, and routine policy and procedure reviews to identify risks and enhance our practices.</w:t>
      </w:r>
    </w:p>
    <w:p>
      <w:pPr>
        <w:spacing w:after="0" w:line="87"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We have a cybersecurity incident response plan (CIRP) that we review on at least an annual basis and update as business needs and the security landscapes change and as required. In the event of a cybersecurity incident, our incident response team refers to our CIRP and existing management internal controls and disclosure processes. Pursuant to this process, designated personnel are responsible for assessing the severity of the incident and any associated threats, containing and resolving the incident as quickly as possible, managing any damage to our systems and networks, minimizing the impact on our stakeholders, analyzing and executing upon internal reporting obligations, escalating information about the incident to senior management and the Board of Directors, as appropriate, and performing post-incident analysis and program enhancements, as needed. We perform tabletop exercises on at least an annual basis to test our incident response procedures, identify gaps and improvement opportunities and exercise team preparedness.</w:t>
      </w:r>
    </w:p>
    <w:p>
      <w:pPr>
        <w:spacing w:after="0" w:line="7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provide our employees and consultants with privacy, data protection, cybersecurity incident response, and prevention education and awareness training, which includes annual and supplemental training covering relevant topics, such as social engineering, phishing, password protection, confidential data protection, asset use, and mobile security, and educates employees on the importance of reporting all incidents immediately. In addition, we perform phishing test campaigns on at least a quarterly basis to reinforce identification and reporting training.</w:t>
      </w:r>
    </w:p>
    <w:p>
      <w:pPr>
        <w:spacing w:after="0" w:line="6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engage third parties to conduct risk assessments on our systems and other vulnerability analyses on a recurring basis and assist with containment and remediation efforts. In addition, third-party technology and analytics and penetration testing are utilized to identify potential vulnerabilities. To manage risks related to cybersecurity incidents that could impact our CROs, third-party vendors and other contractors and consultants, we maintain a third-party risk management program, which is designed to assess the security controls of our third parties. The assessment methodology is based on risk and relies on the data, access, connectivity, and criticality of the services that the third-party offers.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cybersecurity and data privacy programs are implemented and overseen by our Chief Information Security Officer (CISO), our Senior Vice President (SVP) of Information Technology, and members of our executive management team.</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9" w:name="page110"/>
    <w:bookmarkEnd w:id="109"/>
    <w:p>
      <w:pPr>
        <w:ind w:firstLine="648"/>
        <w:spacing w:after="0" w:line="246" w:lineRule="auto"/>
        <w:rPr>
          <w:sz w:val="20"/>
          <w:szCs w:val="20"/>
          <w:color w:val="auto"/>
        </w:rPr>
      </w:pPr>
      <w:r>
        <w:rPr>
          <w:rFonts w:ascii="Times New Roman" w:cs="Times New Roman" w:eastAsia="Times New Roman" w:hAnsi="Times New Roman"/>
          <w:sz w:val="18"/>
          <w:szCs w:val="18"/>
          <w:color w:val="auto"/>
        </w:rPr>
        <w:t>Our SVP of Information Technology has over 20 years of information technology experience, with over 15 years of experience leading technology and cybersecurity programs in biopharmaceutical companies. Since joining Nurix in 2021, our SVP of Information Technology has led all information technology strategy and operations, including our cybersecurity program. Previously, he served as Chief Technology Advisor focused on cybersecurity incident response and strategic security consulting, and held senior IT leadership roles at multiple clinical-stage biotechnology companies. He holds industry cybersecurity certifications and is undertaking advanced studies in IT Management and Cybersecurity.</w:t>
      </w:r>
    </w:p>
    <w:p>
      <w:pPr>
        <w:spacing w:after="0" w:line="87"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Our CISO has over 20 years of experience in information security, including more than 15 years of experience leading large-scale cybersecurity and privacy programs across various industries. He currently leads all aspects of our enterprise cybersecurity strategy, risk governance, and privacy effort. He holds industry-recognized certifications, including CISSP. He earned his MBA with a focus on Finance and Strategy and a B.E. in Electronics and Communication.</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SVP of Information Technology and our CISO regularly provide cyber threat intelligence briefings to management on the status of the Company’s security measures and our efforts to identify and mitigate risks from cybersecurity threats. Our SVP of Information Technology and CISO also work closely with our Chief Financial Officer and Chief Legal Officer to further enhance incident response procedures and to assess and manage risks from cybersecurity threats.</w:t>
      </w:r>
    </w:p>
    <w:p>
      <w:pPr>
        <w:spacing w:after="0" w:line="69"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The Audit Committee of our Board of Directors (Audit Committee) oversees the Company’s overall enterprise risk assessment and risk management policies and guidelines, including risks related to cybersecurity matters. The Audit Committee provides periodic reports to the Board of Directors regarding its oversight of cybersecurity, information technology, data protection and related matters. Members of the Board of Directors also participate in table-top exercises involving simulated data security incidents and the Company’s responses to those incidents.</w:t>
      </w:r>
    </w:p>
    <w:p>
      <w:pPr>
        <w:spacing w:after="0" w:line="8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Audit Committee receives regular presentations and reports on cybersecurity risks, which address a wide range of topics including recent developments, evolving standards, vulnerability assessments, third-party and independent reviews, the threat environment, planned improvements to our cybersecurity program, and the status of information security initiatives. The Audit Committee also receives prompt and timely information regarding any cybersecurity incident that meets established reporting thresholds.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and Issues Disclosure</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As of November 30, 2024, and through the date of this filing, we are not aware of any material cybersecurity incidents that have impacted the Company, nor do we believe that there are currently any known risks from cybersecurity threats that are reasonably likely to materially affect us or our business strategy, results of operations or financial condition. However, we previously have been the target of cyber-attacks and expect them to continue as cybersecurity threats have been rapidly evolving in sophistication and becoming more prevalent in our industry. We face risks of incidents, whether through cyber-attacks or cyber intrusions through the Cloud, the Internet, phishing attempts, ransomware, and other forms of malware, computer viruses, email attachments, extortion, and other scams. Although we make efforts to maintain the security and integrity of our information technology systems, these systems and the proprietary, confidential, and personal information that resides on or is transmitted through them are subject to the risk of a cybersecurity incident or disruption, and there can be no assurance that our security efforts and measures, and those of our third-party vendors, will prevent breakdowns or incidents to our or our third-party vendors’ systems that could adversely affect our business. For additional information on cybersecurity risks we face, see Part I, Item 1A. Risk Factors of this Annual Report on Form 10-K under the heading “Risks Related to Employees, Managing our Growth and Other Legal Matters—We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 and Facilities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Our principal executive office is located in San Francisco, California, where we lease a total of 77,222 square feet of office and laboratory spaces that we use for our administrative, research and development and other activities. The lease expires in October 2025. Additionally, we lease a total of 50,094 square feet of office and laboratory space in The Woodlands, Texas that expires in February 2035. We believe that our existing facilities are suitable and adequate for our current requirements and operations.</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consolidated financial statements. Regardless of outcome, litigation can have an adverse impact on us due to defense and settlement costs, diversion of management resources, negative publicity and reputational harm and other factors.</w:t>
      </w:r>
    </w:p>
    <w:p>
      <w:pPr>
        <w:spacing w:after="0" w:line="28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33"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1" w:name="page112"/>
    <w:bookmarkEnd w:id="111"/>
    <w:p>
      <w:pPr>
        <w:ind w:left="56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“NRIX” since July 24, 2020. Prior to that date, there was no public trading market for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right="260" w:firstLine="648"/>
        <w:spacing w:after="0" w:line="258" w:lineRule="auto"/>
        <w:rPr>
          <w:sz w:val="20"/>
          <w:szCs w:val="20"/>
          <w:color w:val="auto"/>
        </w:rPr>
      </w:pPr>
      <w:r>
        <w:rPr>
          <w:rFonts w:ascii="Times New Roman" w:cs="Times New Roman" w:eastAsia="Times New Roman" w:hAnsi="Times New Roman"/>
          <w:sz w:val="18"/>
          <w:szCs w:val="18"/>
          <w:color w:val="auto"/>
        </w:rPr>
        <w:t>As of close of business on January 24, 2025, there were 8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finance the growth and development of our business, and we do not anticipate paying any cash dividends in the foreseeable future. Any future determination regarding the declaration and payment of dividends will fall within the discretion of our Board of Directors, and will depend on various factors, including our operating results, financial condition, and capital requirements, restrictions that may be imposed by applicable law, and other factors deemed relevant by our Board of Directors.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“filed” for purposes of Section 18 of the Exchange Act or incorporated by reference into any other filings under the Exchange Act or the Securities Act, except as shall be expressly set forth by specific reference in such filing.</w:t>
      </w:r>
    </w:p>
    <w:p>
      <w:pPr>
        <w:spacing w:after="0" w:line="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$100 invested in our common stock with the cumulative total return of $100 invested in the Nasdaq Composite Index and the Nasdaq Biotechnology Index from the close of market on July 24, 2020, which was our initial trading day, through November 30, 2024, assuming the reinvestment of dividends, if any.</w:t>
      </w:r>
    </w:p>
    <w:p>
      <w:pPr>
        <w:spacing w:after="0" w:line="82"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and are not necessarily indicative of, nor intended to forecast, the potential future performance of our common stock.</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671830</wp:posOffset>
            </wp:positionV>
            <wp:extent cx="4714875" cy="31629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471487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$100 investment in stock or index</w:t>
            </w:r>
          </w:p>
        </w:tc>
        <w:tc>
          <w:tcPr>
            <w:tcW w:w="180" w:type="dxa"/>
            <w:vAlign w:val="bottom"/>
          </w:tcPr>
          <w:p>
            <w:pPr>
              <w:spacing w:after="0"/>
              <w:rPr>
                <w:sz w:val="16"/>
                <w:szCs w:val="16"/>
                <w:color w:val="auto"/>
              </w:rPr>
            </w:pP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7/24/2020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11/30/2020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11/30/2021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11/30/2022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11/30/2023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11/30/2024</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Nurix Therapeutics,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r>
      <w:tr>
        <w:trPr>
          <w:trHeight w:val="24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r>
      <w:tr>
        <w:trPr>
          <w:trHeight w:val="27"/>
        </w:trPr>
        <w:tc>
          <w:tcPr>
            <w:tcW w:w="3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our equity compensation plans and the securities authorized for issuance thereunder is set forth in Part III,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Issuers and Affiliated Purchasers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648"/>
        <w:spacing w:after="0" w:line="213"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7"/>
          <w:szCs w:val="17"/>
          <w:color w:val="auto"/>
        </w:rPr>
        <w:t>We are a clinical stage biopharmaceutical company focused on the discovery, development and commercialization of medicines based on targeted protein degradation, the next frontier in innovative drug design aimed at improving treatment options for patients with cancer and autoimmune diseases. Powered by our prolific DEL-AI discovery engine and leading ligase expertise, capable of tackling any protein class, we have built a significant advantage in translating the science of degradation into clinical advancements. We aim to establish degrader-based treatments at the forefront of patient care, writing medicine’s next chapter with a new script to outmatch disease. We leverage our proprietary DEL-AI platform, employing advanced automated chemistry synthesis and direct-to-biology technologies, to rapidly generate degraders and degrader antibody conjugates (DACs) as first-in-class or best-in-class drug candidates. Harnessing validated binding data collected from DEL screens of hundreds of diverse targets, our DEL-AI platform can prospectively identify binders to genetically validated, high value targets that have yet to be drugged.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Degradation</w:t>
      </w:r>
    </w:p>
    <w:p>
      <w:pPr>
        <w:spacing w:after="0" w:line="80" w:lineRule="exact"/>
        <w:rPr>
          <w:sz w:val="20"/>
          <w:szCs w:val="20"/>
          <w:color w:val="auto"/>
        </w:rPr>
      </w:pPr>
    </w:p>
    <w:p>
      <w:pPr>
        <w:ind w:right="340" w:firstLine="648"/>
        <w:spacing w:after="0" w:line="231" w:lineRule="exact"/>
        <w:rPr>
          <w:sz w:val="20"/>
          <w:szCs w:val="20"/>
          <w:color w:val="auto"/>
        </w:rPr>
      </w:pPr>
      <w:r>
        <w:rPr>
          <w:rFonts w:ascii="Times New Roman" w:cs="Times New Roman" w:eastAsia="Times New Roman" w:hAnsi="Times New Roman"/>
          <w:sz w:val="18"/>
          <w:szCs w:val="18"/>
          <w:color w:val="auto"/>
        </w:rPr>
        <w:t>Our portfolio of targeted protein degraders of BTK, a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comprises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investigational, orally bioavailable degrader of BTK for the treatment of relapsed or refractory B-cell malignancies and potentially autoimmune diseases,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investigational orally bioavailable degrader of BTK that also degrades cereblon neosubstrates IKZF1 (Ikaros) and IKZF3 (Aiolos) for the treatment of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w:t>
      </w:r>
    </w:p>
    <w:p>
      <w:pPr>
        <w:spacing w:after="0" w:line="5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NX-5948: We are currently conducting a Phase 1a/1b dose-escalation and cohort expansion study in patients with relapsed or refractory B-cell malignancies. We also recently initiated a Phase 1 healthy volunteer study to assess food effects and drug-drug interactions in anticipation of the planned initiation of pivotal development in 2025. In January 2024, the U.S. Food and Drug Administration (FDA) granted Fast Track designation for NX-5948 for the treatment of adult patients with relapsed or refractory chronic lymphocytic leukemia (CLL) or small lymphocytic lymphoma (SLL) after at least two lines of therapy, including a BTK inhibitor (BTKi) and a B-cell lymphoma 2 (BCL2) inhibitor. In November 2024, the European Medicines Agency granted PRIME designation for NX-5948 in CLL or SLL after at least a BTKi and a BCL-2 inhibitor. In December 2024, the FDA granted Fast Track designation for NX-5948 for the treatment of adult patients with Waldenstrom’s macroglobulinemia after at least two lines of therapy, including a BTKi.</w:t>
      </w:r>
    </w:p>
    <w:p>
      <w:pPr>
        <w:spacing w:after="0" w:line="46"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We are currently conducting a Phase 1a/1b dose-escalation and cohort expansion study of NX-2127 in patients with relapsed or refractory B-cell malignancies. We have initiated Phase 1b expansion cohorts for patients with relapsed CLL, diffuse large B-cell lymphoma and mantle cell lymphoma. In March 2024, the FDA lifted the partial clinical hold on the U.S. Phase 1a/1b study evaluating NX-2127 in adults with relapsed/refractory B-cell malignancies. In August 2024, we reinitiated enrollment with a new chirally controlled drug product, which is being evaluated in a dose escalation study within the Phase 1a/b trial.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Degradation Inhibitor</w:t>
      </w:r>
    </w:p>
    <w:p>
      <w:pPr>
        <w:spacing w:after="0" w:line="121"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degradation inhibitor program includes NX-1607, an orally bioavailable inhibitor of CBL-B, an E3 ligase that regulates the activation of multiple immune cell types including T cells and NK cells. NX-1607 is targeted for immuno-oncology indications.</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4" w:name="page115"/>
    <w:bookmarkEnd w:id="114"/>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are currently conducting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In 2022, NX-1607 was awarded an Innovation Passport from the UK Medicines and Healthcare products Regulatory Agency to accelerate time to market and facilitate patient access to novel drugs to treat serious and life-threatening diseases.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Discovery Pipeline</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to our clinical stage drug candidates, we are extending our protein degrader and ligase inhibitor portfolio, both on our own and with partners, by developing new targeted protein degraders and ligase inhibitors for a number of targets for which we believe these modalities can be clinically advantageous over existing therapies. These existing and future programs may have the potential to address diseases with significant unmet need, including cancer, autoimmunity, inflammation, and other challenging diseases.</w:t>
      </w:r>
    </w:p>
    <w:p>
      <w:pPr>
        <w:spacing w:after="0" w:line="69"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We have entered into several revenue generating collaborations with large biopharmaceutical companies, including with Gilead, Sanofi and Seagen (now a part of Pfizer), to leverage our DEL-AI platform for drug discovery. These collaborations allow us to further advance our future pipeline with multiple currently identified targets included in these collaborations. In aggregate, we have received $440.0 million in non-dilutive financing from our collaborators to date and, as of November 30, 2024, we are eligible to receive up to $7.1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we received in the second quarter of fiscal year 2024.</w:t>
      </w:r>
    </w:p>
    <w:p>
      <w:pPr>
        <w:spacing w:after="0" w:line="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9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spacing w:after="0" w:line="200" w:lineRule="exact"/>
        <w:rPr>
          <w:sz w:val="20"/>
          <w:szCs w:val="20"/>
          <w:color w:val="auto"/>
        </w:rPr>
      </w:pPr>
    </w:p>
    <w:p>
      <w:pPr>
        <w:spacing w:after="0" w:line="3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5" w:name="page116"/>
    <w:bookmarkEnd w:id="115"/>
    <w:p>
      <w:pPr>
        <w:ind w:firstLine="648"/>
        <w:spacing w:after="0" w:line="253" w:lineRule="auto"/>
        <w:rPr>
          <w:sz w:val="20"/>
          <w:szCs w:val="20"/>
          <w:color w:val="auto"/>
        </w:rPr>
      </w:pPr>
      <w:r>
        <w:rPr>
          <w:rFonts w:ascii="Times New Roman" w:cs="Times New Roman" w:eastAsia="Times New Roman" w:hAnsi="Times New Roman"/>
          <w:sz w:val="18"/>
          <w:szCs w:val="18"/>
          <w:color w:val="auto"/>
        </w:rPr>
        <w:t>Upon signing the Gilead Agreement, Gilead paid us an upfront payment of $45.0 million, plus $3.0 million in additional fees. In addition, from the signing of the Gilead Agreement to November 30, 2024, we received payments of $47.0 million for research milestones and additional payments,</w:t>
      </w:r>
    </w:p>
    <w:p>
      <w:pPr>
        <w:ind w:right="80"/>
        <w:spacing w:after="0" w:line="241" w:lineRule="auto"/>
        <w:rPr>
          <w:sz w:val="20"/>
          <w:szCs w:val="20"/>
          <w:color w:val="auto"/>
        </w:rPr>
      </w:pPr>
      <w:r>
        <w:rPr>
          <w:rFonts w:ascii="Times New Roman" w:cs="Times New Roman" w:eastAsia="Times New Roman" w:hAnsi="Times New Roman"/>
          <w:sz w:val="18"/>
          <w:szCs w:val="18"/>
          <w:color w:val="auto"/>
        </w:rPr>
        <w:t>$20.0 million for a license option exercise payment and $15.0 million in research term extension fees. As of November 30, 2024, we are eligible to receive up to approximately $1.8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spacing w:after="0" w:line="76"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w:t>
      </w:r>
    </w:p>
    <w:p>
      <w:pPr>
        <w:spacing w:after="0" w:line="7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recognized collaboration revenue from the Gilead Agreement of $14.0 million and $29.9 million during the years ended November 30, 2024 and 2023, respectively. As of November 30, 2024 and 2023, there was $11.0 million and $10.0 million, respectively, of deferred revenue related to payments received by us under the Gilead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spacing w:after="0" w:line="6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 January 2021, we and Sanofi entered into the First Amendment to the Sanofi Agreement to modify the research term on all targets. In</w:t>
      </w:r>
    </w:p>
    <w:p>
      <w:pPr>
        <w:spacing w:after="0" w:line="1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December 2021, we and Sanofi entered into the Second Amendment to the Sanofi Agreement to extend the substitution deadline on certain targets. In July 2022, we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and Sanofi entered into the Fourth Amendment and Fifth Amendment, respectively, to the Sanofi Agreement to modify the research plan for certain targets, which had no impact on revenue recognition. In March 2024, we and Sanofi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w:t>
      </w:r>
    </w:p>
    <w:p>
      <w:pPr>
        <w:spacing w:after="0" w:line="80"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spacing w:after="0" w:line="200" w:lineRule="exact"/>
        <w:rPr>
          <w:sz w:val="20"/>
          <w:szCs w:val="20"/>
          <w:color w:val="auto"/>
        </w:rPr>
      </w:pP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6" w:name="page117"/>
    <w:bookmarkEnd w:id="116"/>
    <w:p>
      <w:pPr>
        <w:ind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spacing w:after="0" w:line="92"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7"/>
          <w:szCs w:val="17"/>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November 30, 2024, we have received payments of $13.0 million for research milestones. As of November 30, 2024, we are eligible to receive up to approximately $1.9 billion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spacing w:after="0" w:line="59"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8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recognized collaboration revenue from the Sanofi Agreement of $21.7 million and $25.4 million during the years ended November 30, 2024 and 2023, respectively. As of November 30, 2024 and 2023, there was $9.1 million and $24.9 million, respectively, of deferred revenue related to payments received by us under the Sanofi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 antibody conjugates (DACs), a new class of medicines for use in cancer treatment, and advancing these DAC drug candidates through preclinical and clinical development and commercialization.</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6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spacing w:after="0" w:line="69"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Under the terms of the Pfizer Agreement, we received an upfront payment of $60.0 million. In addition, from the signing of the Pfizer Agreement to November 30, 2024, we have received a payment of $5.0 million in connection with the achievement of a research milestone.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spacing w:after="0" w:line="83"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8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recognized collaboration revenue from the Pfizer Agreement of $18.8 million and $1.7 million during the years ended November 30, 2024 and 2023, respectively. As of November 30, 2024 and 2023, there was $44.5 million and $58.3 million, respectively, of deferred revenue related to payments received by us under the Pfizer Agreement.</w:t>
      </w:r>
    </w:p>
    <w:p>
      <w:pPr>
        <w:spacing w:after="0" w:line="200" w:lineRule="exact"/>
        <w:rPr>
          <w:sz w:val="20"/>
          <w:szCs w:val="20"/>
          <w:color w:val="auto"/>
        </w:rPr>
      </w:pPr>
    </w:p>
    <w:p>
      <w:pPr>
        <w:spacing w:after="0" w:line="36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72"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Since inception, we have generally incurred significant losses and negative cash flows from operations. During the years ended November 30, 2024 and 2023, we incurred net losses of $193.6 million and $143.9 million, respectively. As of November 30, 2024, we had an accumulated deficit of $738.8 million. These losses have resulted primarily from costs incurred in connection with research and development activities and general and administrative costs associated with our operations.</w:t>
      </w:r>
    </w:p>
    <w:p>
      <w:pPr>
        <w:spacing w:after="0" w:line="69"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18"/>
          <w:szCs w:val="18"/>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DEL-AI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net losses and cash flows may fluctuate significantly from period to period, depending on, among other things, variations in the level of expense related to the ongoing development of our drug candidates, our DEL-AI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8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November 30, 2024, we had $609.6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Current Global Business, Political and Macroeconomic Conditions</w:t>
      </w:r>
    </w:p>
    <w:p>
      <w:pPr>
        <w:spacing w:after="0" w:line="12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Uncertainty in the global business, political and macroeconomic environments present significant risks to our business. We are subject to continuing risks and uncertainties, including increasing financial market volatility and uncertainty, inflation, interest rate fluctuations,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impacts on our clinical trial patients, employees, partner, suppliers, and vendors.</w:t>
      </w:r>
    </w:p>
    <w:p>
      <w:pPr>
        <w:spacing w:after="0" w:line="7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ultimate impact of global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section titled “Risk Factors” in this Annual Report on Form 10-K.</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to date have not generated any revenue from the sale of products and do not expect to generate any revenue from the sale of products in the near future.</w:t>
      </w:r>
    </w:p>
    <w:p>
      <w:pPr>
        <w:spacing w:after="0" w:line="6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87"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8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license revenue consists of a payment received from the Gilead License Option Exercise that was fully recognized during the second quarter of fiscal year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04" w:lineRule="exact"/>
        <w:rPr>
          <w:sz w:val="20"/>
          <w:szCs w:val="20"/>
          <w:color w:val="auto"/>
        </w:rPr>
      </w:pPr>
    </w:p>
    <w:p>
      <w:pPr>
        <w:ind w:left="980" w:right="640" w:hanging="324"/>
        <w:spacing w:after="0" w:line="282" w:lineRule="auto"/>
        <w:tabs>
          <w:tab w:leader="none" w:pos="9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personnel expenses, including benefits, stock-based compensation and travel expenses, for our research and development functions; and</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research and development equipment, allocated overhead and facilities-related expenses.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research and development expenses consist primarily of costs incurred for the development of our drug candidates and may include:</w:t>
      </w:r>
    </w:p>
    <w:p>
      <w:pPr>
        <w:spacing w:after="0" w:line="117" w:lineRule="exact"/>
        <w:rPr>
          <w:sz w:val="20"/>
          <w:szCs w:val="20"/>
          <w:color w:val="auto"/>
        </w:rPr>
      </w:pPr>
    </w:p>
    <w:p>
      <w:pPr>
        <w:ind w:left="980" w:right="20" w:hanging="324"/>
        <w:spacing w:after="0" w:line="266"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consultants, contractors and contract research organizations to conduct our clinical trials, discovery programs and preclinical studies;</w:t>
      </w:r>
    </w:p>
    <w:p>
      <w:pPr>
        <w:spacing w:after="0" w:line="54"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supplies for clinical trials and preclinical studies, including fees paid to third parties such as contract manufacturing organizations; and</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04"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200" w:lineRule="exact"/>
        <w:rPr>
          <w:sz w:val="20"/>
          <w:szCs w:val="20"/>
          <w:color w:val="auto"/>
        </w:rPr>
      </w:pPr>
    </w:p>
    <w:p>
      <w:pPr>
        <w:spacing w:after="0" w:line="3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400" w:firstLine="648"/>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240" w:firstLine="648"/>
        <w:spacing w:after="0" w:line="296" w:lineRule="auto"/>
        <w:rPr>
          <w:sz w:val="20"/>
          <w:szCs w:val="20"/>
          <w:color w:val="auto"/>
        </w:rPr>
      </w:pPr>
      <w:r>
        <w:rPr>
          <w:rFonts w:ascii="Times New Roman" w:cs="Times New Roman" w:eastAsia="Times New Roman" w:hAnsi="Times New Roman"/>
          <w:sz w:val="17"/>
          <w:szCs w:val="17"/>
          <w:color w:val="auto"/>
        </w:rPr>
        <w:t>The provision for income taxes primarily consists of reserves for unrecognized tax benefits and state taxes. We have generated NOLs since inception and have established a full valuation allowance against our deferred tax assets due to the uncertainty surrounding the realization of such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Our accounting policies are more fully described in Note 2 of the consolidated financial statements to this Annual Report on Form 10-K. As disclosed in Note 2, the preparation of financial statements in conformity with generally accepted accounting principles requires management to make estimates and assumptions about future events that affect the amounts reported in the financial statements and accompanying notes.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Actual results could differ significantly from those estimates. We believe that the following discussion addresses our most critical accounting policies and estimates, which are those that are most important to the portrayal of our financial condition and results of operations and require management’s most difficult, subjective and complex judgments.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recognize revenue when our customer obtains control of promised goods or services, in an amount that reflects the consideration which we expect to receive in exchange for those goods or services. At contract inception, we assess the goods or services promised within each contract, whether each promised good or service is distinct, and determine those that are performance obligations. We then recognize as revenue the amount of the transaction price that is allocated to the respective performance obligation when or as the performance obligation is satisfied.</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enter into collaboration agreements under which we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term and the participation of alliance managers and in joint research committees, joint patent committees and joint steering committees. We assess these promises within the context of the agreements to determine the performance obligations.</w:t>
      </w:r>
    </w:p>
    <w:p>
      <w:pPr>
        <w:spacing w:after="0" w:line="81"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7"/>
          <w:szCs w:val="17"/>
          <w:i w:val="1"/>
          <w:iCs w:val="1"/>
          <w:color w:val="auto"/>
        </w:rPr>
        <w:t>Exclusive license rights</w:t>
      </w:r>
      <w:r>
        <w:rPr>
          <w:rFonts w:ascii="Times New Roman" w:cs="Times New Roman" w:eastAsia="Times New Roman" w:hAnsi="Times New Roman"/>
          <w:sz w:val="17"/>
          <w:szCs w:val="17"/>
          <w:color w:val="auto"/>
        </w:rPr>
        <w:t>: If a license to our intellectual property is determined to be distinct from the other promises identified in the arrangement,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recognize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200" w:lineRule="exact"/>
        <w:rPr>
          <w:sz w:val="20"/>
          <w:szCs w:val="20"/>
          <w:color w:val="auto"/>
        </w:rPr>
      </w:pPr>
    </w:p>
    <w:p>
      <w:pPr>
        <w:spacing w:after="0" w:line="35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0" w:name="page121"/>
    <w:bookmarkEnd w:id="120"/>
    <w:p>
      <w:pPr>
        <w:ind w:right="16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Research and collaboration licenses</w:t>
      </w:r>
      <w:r>
        <w:rPr>
          <w:rFonts w:ascii="Times New Roman" w:cs="Times New Roman" w:eastAsia="Times New Roman" w:hAnsi="Times New Roman"/>
          <w:sz w:val="18"/>
          <w:szCs w:val="18"/>
          <w:color w:val="auto"/>
        </w:rPr>
        <w:t>: Collaboration agreements may include research licenses and research and development services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us. For research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We evaluate the measure of proportional performance each reporting period and, if necessary, adjust the measure of performance and related revenue recognition.</w:t>
      </w:r>
    </w:p>
    <w:p>
      <w:pPr>
        <w:spacing w:after="0" w:line="82" w:lineRule="exact"/>
        <w:rPr>
          <w:sz w:val="20"/>
          <w:szCs w:val="20"/>
          <w:color w:val="auto"/>
        </w:rPr>
      </w:pPr>
    </w:p>
    <w:p>
      <w:pPr>
        <w:jc w:val="both"/>
        <w:ind w:right="20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research, development or regulatory milestone payments, we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6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7"/>
          <w:szCs w:val="17"/>
          <w:i w:val="1"/>
          <w:iCs w:val="1"/>
          <w:color w:val="auto"/>
        </w:rPr>
        <w:t>Customer options</w:t>
      </w:r>
      <w:r>
        <w:rPr>
          <w:rFonts w:ascii="Times New Roman" w:cs="Times New Roman" w:eastAsia="Times New Roman" w:hAnsi="Times New Roman"/>
          <w:sz w:val="17"/>
          <w:szCs w:val="17"/>
          <w:color w:val="auto"/>
        </w:rPr>
        <w:t>: Customer options, such as options granted to allow a licensee to extend a license or research term, to select additional research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we allocate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spacing w:after="0" w:line="6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For performance obligations satisfied over time, we recognize revenue using the cost-based input method and evaluate the measure of proportional performance each reporting period and, if necessary, adjust the measure of performance and related revenue recognition. To measure the proportional performance, we are required to make our best estimates of forecasted expenditures and development timelines, which are subject to uncertainties, including the timing of replacement targets, if any, associated with pharmaceutical product development. Forecasted total expenditures are driven primarily by the number of full-time employees, and the assumptions over the number of full-time employees require significant management judgement. The number of full-time employees may change based on the progress and timing of our product development, and may be influenced by resource allocation decisions on internal programs and overall constraint on resources. The model is highly sensitive to changes in resources assigned over the research term. Forecasted total expenditures also include other direct costs related to product development, including third-party contract costs, and may also require management’s estimate of costs and market conditions that may impact costs.</w:t>
      </w:r>
    </w:p>
    <w:p>
      <w:pPr>
        <w:spacing w:after="0" w:line="200" w:lineRule="exact"/>
        <w:rPr>
          <w:sz w:val="20"/>
          <w:szCs w:val="20"/>
          <w:color w:val="auto"/>
        </w:rPr>
      </w:pPr>
    </w:p>
    <w:p>
      <w:pPr>
        <w:spacing w:after="0" w:line="3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November 30, 2024 and 2023</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for the years ended November 30, 2024 and 2023 are summarized as follows (in thousands):</w:t>
      </w:r>
    </w:p>
    <w:p>
      <w:pPr>
        <w:spacing w:after="0" w:line="4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 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41910</wp:posOffset>
            </wp:positionV>
            <wp:extent cx="17913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9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56,987</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76,987</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(22,438)</w:t>
            </w:r>
          </w:p>
        </w:tc>
      </w:tr>
      <w:tr>
        <w:trPr>
          <w:trHeight w:val="27"/>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32,484</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267,576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232,050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35,526</w:t>
            </w:r>
          </w:p>
        </w:tc>
      </w:tr>
      <w:tr>
        <w:trPr>
          <w:trHeight w:val="27"/>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(57,964)</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r>
      <w:tr>
        <w:trPr>
          <w:trHeight w:val="27"/>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(49,351)</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collaboration revenue for the years ended November 30, 2024 and 2023 is summarized as follows (in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Gilead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Sanofi</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Pfizer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0" w:type="dxa"/>
            <w:vAlign w:val="bottom"/>
          </w:tcPr>
          <w:p>
            <w:pPr>
              <w:spacing w:after="0"/>
              <w:rPr>
                <w:sz w:val="1"/>
                <w:szCs w:val="1"/>
                <w:color w:val="auto"/>
              </w:rPr>
            </w:pPr>
          </w:p>
        </w:tc>
      </w:tr>
      <w:tr>
        <w:trPr>
          <w:trHeight w:val="26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56,987</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Our collaboration revenue decreased by $2.4 million during the year ended November 30, 2024, compared to the year ended November 30, 2023, primarily due to a decrease in revenue from our collaboration with Gilead as we concluded the initial research term for certain drug targets and due to fewer milestone payments being achieved. There was also a decrease in revenue from our collaboration with Sanofi due to fewer milestone payments being achieved and the extension of the research period for a target, pursuant to the Sixth Amendment to the Sanofi Agreement that we entered into in March 2024, that increased forecasted expenditures. The decrease in collaboration revenue was mainly offset by the recognition of revenue from our collaboration agreement with Pfizer that we entered into in September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There was no license revenue for the year ended November 30, 2024. Our license revenue was $20.0 million for the year ended November 30, 2023 and is related to the Gilead License Option Exercise.</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for the years ended November 30, 2024 and 2023 are summarized as follows (in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 and contract research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Clinical costs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and other costs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0" w:type="dxa"/>
            <w:vAlign w:val="bottom"/>
          </w:tcPr>
          <w:p>
            <w:pPr>
              <w:spacing w:after="0"/>
              <w:rPr>
                <w:sz w:val="1"/>
                <w:szCs w:val="1"/>
                <w:color w:val="auto"/>
              </w:rPr>
            </w:pPr>
          </w:p>
        </w:tc>
      </w:tr>
      <w:tr>
        <w:trPr>
          <w:trHeight w:val="26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221,632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189,148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Our research and development expense increased by $32.5 million during the year ended November 30, 2024, compared to the year ended November 30, 2023. There was an increase in clinical, contract manufacturing, and consulting costs primarily driven by our continued efforts to accelerate enrollment for NX-5948. The increase was also attributable to increased supplies and contract research costs in connection with supporting our collaborations with Pfizer and Sanofi. There was also an increase in facility costs primarily driven by lease expense and equipment costs related to our lease in The Woodlands, Texas, which commenced in September 2023. There was a decrease in non-cash stock-based compensation expense primarily due to the departures of certain executives.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600" w:firstLine="648"/>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increased by $3.0 million during the year ended November 30, 2024, compared to the year ended November 30, 2023. There was an increase in non-cash stock-based compensation expense primarily driven by the increased issuance of RSUs and incentive stock options, an increase in outside consulting and professional service costs and an increase in local taxes.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interest and other income, net increased by $8.6 million during the year ended November 30, 2024, compared to the year ended November 30, 2023, primarily attributable to higher interest rates earning higher interest income on our deposits, money market funds and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November 30, 2023 and 2022</w:t>
      </w:r>
    </w:p>
    <w:p>
      <w:pPr>
        <w:spacing w:after="0" w:line="121"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Discussion and analysis of the results of operations for the year ended November 30, 2023, compared to the year ended November 30, 2022, is included under the heading “Comparison of the years ended November 30, 2023 and 2022” in Part II, Item 7, Management’s Discussion and Analysis of Financial Condition and Results of Operations, in our Annual Report on Form 10-K as filed with the SEC on February 15, 2024, and incorporated by reference into this Annual Report on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July 2020, we closed our initial public offering (IPO) and issued 12,550,000 shares of our common stock (including the exercise by the</w:t>
      </w:r>
    </w:p>
    <w:p>
      <w:pPr>
        <w:spacing w:after="0" w:line="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61"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23" w:name="page124"/>
    <w:bookmarkEnd w:id="123"/>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August 2021, we filed a shelf registration statement on Form S-3 with the SEC, which was amended in February 2023 (the Shelf Registration Statement) and which expired in August 2024 with respect to additional sales of securities. The Shelf Registration Statement, which included a base prospectus, allowed us to offer and sell up to $450.0 million of our registered common stock, preferred stock, debt securities, warrants, subscriptions rights and/or units or any combination of securities described in the prospectus in one or more offerings. In addition, in August 2021, we entered into an Equity Distribution Agreement with Piper Sandler &amp; Co. (Piper Sandler) pursuant to which, from time to time, we could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3.0% of the gross sales price of any shares sold pursuant to the Equity Distribution Agreement. In June 2022, we issued and sold 2,000,000 shares of common stock under the Equity Distribution Agreement at a price of $10.00 per share for net proceeds of $19.3 million after deducting offering commissions and expenses paid by us. In May 2024, we issued and sold 3,194,809 shares of common stock under the Equity Distribution Agreement at various prices ranging from $15.50 to $16.00 per share for total net proceeds of $48.5 million, after deducting offering commissions and expenses paid by us (the May 2024 ATM Financing).</w:t>
      </w:r>
    </w:p>
    <w:p>
      <w:pPr>
        <w:spacing w:after="0" w:line="7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In June 2024, we filed an automatic shelf registration statement on Form S-3 (the Automatic Shelf Registration Statement). The Automatic Shelf Registration Statement, which includes a base prospectus, allows us at any time to offer and sell our registered common stock, preferred stock, debt securities, warrants, subscriptions rights and/or units or any combination of securities described in the prospectus in one or more offerings. On July 11, 2024, we entered into Amendment No. 1 to the Equity Distribution Agreement (as amended, the Amended Equity Distribution Agreement), pursuant to which, from time to time, we could offer and sell through Piper Sandler up to $150.0 million of common stock registered under the Automatic Shelf Registration Statement pursuant to one or more “at the market” offerings. We are not required to sell any shares at any time during the term of the Amended Equity Distribution Agreement. We agreed to pay Piper Sandler a commission of up to 3.0% of the gross sales price of any shares sold pursuant to the Amended Equity Distribution Agreement. In August 2024, we issued and sold 2,145,000 shares of common stock under the Amended Equity Distribution Agreement at $20.00 per share for total net proceeds of $42.0 million after deducting offering commissions and expenses paid by us (the August 2024 ATM Financing). In October 2024, we issued and sold 4,803,573 shares of common stock under the Amended Equity Distribution Agreement at various prices ranging from $21.50 to $25.00 per share for total net proceeds of $105.3 million after deducting offering commissions and expenses paid by us (the October 2024 ATM Financing).</w:t>
      </w:r>
    </w:p>
    <w:p>
      <w:pPr>
        <w:spacing w:after="0" w:line="7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October 31, 2024, we entered into Amendment No. 2 to the Equity Distribution Agreement (as amended, the Second Amended Equity Distribution Agreement), pursuant to which, from time to time, we may offer and sell through Piper Sandler up to $300.0 million of common stock registered under the Automatic Shelf Registration Statement pursuant to one or more “at the market” offerings. We are not required to sell any shares at any time during the term of the Second Amended Equity Distribution Agreement. We agreed to pay Piper Sandler a commission of up to 3.0% of the gross sales price of any shares sold pursuant to the Second Amended Equity Distribution Agreement. In November 2024, we issued and sold 3,634,393 shares of common stock under the Second Amended Equity Distribution Agreement at $26.25 per share for total net proceeds of $93.6 million after deducting offering commissions and expenses paid by us (the November 2024 ATM Financing). As of November 30, 2024, we had $204.6 million of common stock remaining available for sale under the Second Amended Equity Distribution Agreement.</w:t>
      </w:r>
    </w:p>
    <w:p>
      <w:pPr>
        <w:spacing w:after="0" w:line="51"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In July 2022, we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our common stock in registered direct offerings (RDOs) at a price of $13.939 per pre-funded warrant (the 2022 Pre-Funded Warrants). Net proceeds from the RDOs were $94.8 million, after deducting offering expenses of $0.2 million. As of November 30, 2024, a total of 6,097,560 of the 2022 Pre-Funded Warrants remained available for exercise.</w:t>
      </w:r>
    </w:p>
    <w:p>
      <w:pPr>
        <w:spacing w:after="0" w:line="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7"/>
          <w:szCs w:val="17"/>
          <w:color w:val="auto"/>
        </w:rPr>
        <w:t>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November 30, 2024, a total of 1,480,349 of the 2024 Pre-Funded Warrants remained available for exercise.</w:t>
      </w:r>
    </w:p>
    <w:p>
      <w:pPr>
        <w:spacing w:after="0" w:line="74"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9.99% of the number of shares of our common stock outstanding immediately after giving effect to such exercise. A holder of the pre-funded warrants may increase or decrease this percentage not in excess of 19.99% by providing us at least 61 days’ prior notice.</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of November 30, 2024, our operations have primarily been funded through the net proceeds from equity offerings of $1.1 billion and proceeds from collaborations of $435.0 million. We do not have any products approved for sale, and we have not generated any revenue from product sales. As of November 30, 2024, we had $609.6 million in cash, cash equivalents and marketable securities.</w:t>
      </w:r>
    </w:p>
    <w:p>
      <w:pPr>
        <w:spacing w:after="0" w:line="6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are sufficient to meet our cash requirements and continue operating activities, including the clinical trials of our drug candidates NX-5948,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92"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In the long term, our ability to support our working capital and capital expenditure requirements will depend on many factors, including the following:</w:t>
      </w:r>
    </w:p>
    <w:p>
      <w:pPr>
        <w:spacing w:after="0" w:line="54" w:lineRule="exact"/>
        <w:rPr>
          <w:sz w:val="20"/>
          <w:szCs w:val="20"/>
          <w:color w:val="auto"/>
        </w:rPr>
      </w:pPr>
    </w:p>
    <w:p>
      <w:pPr>
        <w:ind w:left="980" w:right="180" w:hanging="324"/>
        <w:spacing w:after="0" w:line="282" w:lineRule="auto"/>
        <w:tabs>
          <w:tab w:leader="none" w:pos="9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 clinical trials for our lead drug candidates NX-5948, NX-2127 and NX-1607, and any future clinical development of such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DEL-AI platform;</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Gilead, Sanofi, Pfizer and any other collaborations we may establish;</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40"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7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contractual obligations mostly consist of our operating lease obligations for facilities in San Francisco, California and The Woodlands, Texas. Our total operating lease commitments as of November 30, 2024, were approximately $38.5 million, of which $8.2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69" w:lineRule="exact"/>
        <w:rPr>
          <w:sz w:val="20"/>
          <w:szCs w:val="20"/>
          <w:color w:val="auto"/>
        </w:rPr>
      </w:pPr>
    </w:p>
    <w:p>
      <w:pPr>
        <w:ind w:right="260" w:firstLine="648"/>
        <w:spacing w:after="0" w:line="280"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200" w:lineRule="exact"/>
        <w:rPr>
          <w:sz w:val="20"/>
          <w:szCs w:val="20"/>
          <w:color w:val="auto"/>
        </w:rPr>
      </w:pPr>
    </w:p>
    <w:p>
      <w:pPr>
        <w:spacing w:after="0" w:line="34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for the years ended November 30, 2024, 2023 and 2022 are summarized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(172,584)</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117,192</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Net cash used in operating activities was $172.6 million for the year ended November 30, 2024, and consisted of our net loss of $193.6 million and an increase in net assets of $18.4 million, offset by non-cash adjustments of $39.4 million. The increase in net assets consisted of a decrease in deferred revenue of $28.5 million as we increased effort in our programs and recognized revenue, a decrease in operating lease liabilities of $6.4 million due to lease payments made during the period, offset by an increase in accrued expenses and other liabilities of $11.8 million primarily related to the accrual of annual incentive compensation, an increase in accounts payable of $5.2 million from outstanding payments to vendors, an increase in prepaid expenses and other assets of $0.5 million primarily due to the recognition of expenses for prepaid services. Non-cash adjustments primarily consisted of stock-based compensation expenses of $33.9 million, depreciation and amortization expenses of $9.3 million and amortization of operating lease ROU assets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million, offset by net accretion of discount on marketable securities of $11.3 million.</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was $81.4 million for the year ended November 30, 2023, and consisted of our net loss of $143.9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non-cash adjustments of $42.5 million and a decrease in net assets of $20.1 million. Non-cash adjustments primarily consisted of stock-based</w:t>
      </w:r>
    </w:p>
    <w:p>
      <w:pPr>
        <w:spacing w:after="0"/>
        <w:rPr>
          <w:sz w:val="20"/>
          <w:szCs w:val="20"/>
          <w:color w:val="auto"/>
        </w:rPr>
      </w:pPr>
      <w:r>
        <w:rPr>
          <w:rFonts w:ascii="Times New Roman" w:cs="Times New Roman" w:eastAsia="Times New Roman" w:hAnsi="Times New Roman"/>
          <w:sz w:val="18"/>
          <w:szCs w:val="18"/>
          <w:color w:val="auto"/>
        </w:rPr>
        <w:t>compensation expenses of $33.7 million, depreciation and amortization expenses of $7.5 million and amortization of operating lease ROU assets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million, offset by net accretion of discount on marketable securities of $5.4 million. The decrease in net assets consisted of an increase in deferred</w:t>
      </w:r>
    </w:p>
    <w:p>
      <w:pPr>
        <w:spacing w:after="0" w:line="234" w:lineRule="auto"/>
        <w:rPr>
          <w:sz w:val="20"/>
          <w:szCs w:val="20"/>
          <w:color w:val="auto"/>
        </w:rPr>
      </w:pPr>
      <w:r>
        <w:rPr>
          <w:rFonts w:ascii="Times New Roman" w:cs="Times New Roman" w:eastAsia="Times New Roman" w:hAnsi="Times New Roman"/>
          <w:sz w:val="18"/>
          <w:szCs w:val="18"/>
          <w:color w:val="auto"/>
        </w:rPr>
        <w:t>revenue of $19.5 million mainly from the upfront payment received pursuant to the Pfizer Agreement, an increase in accrued expenses and other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$3.1 million primarily related to the accrual of annual incentive compensation, a decrease in prepaid expenses and other assets of $2.1 million primarily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recognition of expenses for prepaid services and an increase in accounts payable of $1.6 million from outstanding payments to vendors, offset by</w:t>
      </w:r>
    </w:p>
    <w:p>
      <w:pPr>
        <w:spacing w:after="0"/>
        <w:rPr>
          <w:sz w:val="20"/>
          <w:szCs w:val="20"/>
          <w:color w:val="auto"/>
        </w:rPr>
      </w:pPr>
      <w:r>
        <w:rPr>
          <w:rFonts w:ascii="Times New Roman" w:cs="Times New Roman" w:eastAsia="Times New Roman" w:hAnsi="Times New Roman"/>
          <w:sz w:val="18"/>
          <w:szCs w:val="18"/>
          <w:color w:val="auto"/>
        </w:rPr>
        <w:t>a decrease in operating lease liabilities of $6.3 million due to payments made on operating leases.</w:t>
      </w:r>
    </w:p>
    <w:p>
      <w:pPr>
        <w:spacing w:after="0" w:line="84"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Net cash used in operating activities was $159.8 million for the year ended November 30, 2022, and consisted of our net loss of $180.4 million and an increase in net assets of $19.0 million, offset by non-cash adjustments of $39.6 million. The increase in net assets consisted primarily of a decrease in deferred revenue of $26.6 million as we increased effort in our programs and recognized revenue, a decrease in operating lease liabilities of $4.9 million due to payments made on operating leases and an increase in prepaid expenses and other assets of $1.1 million primarily related to increased prepaid clinical and contract manufacturing costs and software license costs, offset by an increase in accrued expenses and other liabilities of $7.5 million primarily related to the accrual of contract research, laboratory supplies and annual incentive compensation and a decrease in accounts receivable of $6.0 million related to payments received under the Gilead Agreement. Non-cash adjustments primarily consisted of stock-based compensation expenses of $28.1 million, amortization of operating lease ROU assets of $5.5 million and depreciation and amortization expenses of $5.3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$257.7 million for the year ended November 30, 2024, and consisted of purchases of marketable securities of $707.9 million and purchases of property and equipment of $9.3 million, offset by the maturity of marketable securities of $459.5 million.</w:t>
      </w:r>
    </w:p>
    <w:p>
      <w:pPr>
        <w:spacing w:after="0" w:line="6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$68.3 million for the year ended November 30, 2023, and consisted of the maturity of marketable securities of $323.0 million, offset by the purchase of marketable securities of $246.3 million and purchases of property and equipment of $8.4 million.</w:t>
      </w:r>
    </w:p>
    <w:p>
      <w:pPr>
        <w:spacing w:after="0" w:line="54" w:lineRule="exact"/>
        <w:rPr>
          <w:sz w:val="20"/>
          <w:szCs w:val="20"/>
          <w:color w:val="auto"/>
        </w:rPr>
      </w:pPr>
    </w:p>
    <w:p>
      <w:pPr>
        <w:jc w:val="both"/>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$27.2 million for the year ended November 30, 2022, and consisted of the maturity of marketable securities of $278.8 million, offset by the purchase of marketable securities of $239.4 million and purchases of property and equipment of $12.2 million.</w:t>
      </w: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$485.7 million for the year ended November 30, 2024, and consisted primarily of net proceeds from our 2024 Public Offering, the May 2024 ATM Financing, the August 2024 ATM Financing, the October 2024 ATM Financing and the November 2024 ATM Financing.</w:t>
      </w:r>
    </w:p>
    <w:p>
      <w:pPr>
        <w:spacing w:after="0" w:line="6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$3.2 million for the year ended November 30, 2023, and consisted primarily of proceeds from the issuance of common stock under our Employee Stock Purchase Plan.</w:t>
      </w:r>
    </w:p>
    <w:p>
      <w:pPr>
        <w:spacing w:after="0" w:line="6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$117.2 million for the year ended November 30, 2022, and consisted primarily of net proceeds from the issuance of the 2022 Pre-Funded Warrants in the RDOs of $94.8 million and from the issuance of common stock in the June 2022 ATM Offering of $19.4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Segments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currently operate in a single business segment. See additional information in our consolidated financial statements contained in Part II, Item 8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Our primary exposure to market risk is interest rate sensitivity. Our interest-earning assets consist of cash, cash equivalents, restricted cash and marketable securities. Interest income earned on these assets totaled $19.2 million in fiscal year 2024. Our interest income is sensitive to changes in the general level of interest rates, primarily U.S. interest rates. As of November 30, 2024, our cash equivalents consisted of bank deposits and money market funds and our marketable securities included interest-earning securities. Such interest-earning instruments carry a degree of interest rate risk. As of November 30, 2024 and 2023, we have estimated that a hypothetical 100 basis point increase in interest rates would decrease the fair market value of our investment portfolio by $2.4 million and $0.9 million, respectively. Such losses would only be realized if we sold the investments prior to maturity.</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22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0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8"/>
              </w:rPr>
              <w:t>INDEX TO FINANCIAL STATEMENTS</w:t>
            </w:r>
          </w:p>
        </w:tc>
        <w:tc>
          <w:tcPr>
            <w:tcW w:w="20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6"/>
          </w:tcPr>
          <w:p>
            <w:pPr>
              <w:spacing w:after="0"/>
              <w:rPr>
                <w:sz w:val="21"/>
                <w:szCs w:val="21"/>
                <w:color w:val="auto"/>
              </w:rPr>
            </w:pPr>
          </w:p>
        </w:tc>
        <w:tc>
          <w:tcPr>
            <w:tcW w:w="50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50"/>
        </w:trPr>
        <w:tc>
          <w:tcPr>
            <w:tcW w:w="20" w:type="dxa"/>
            <w:vAlign w:val="bottom"/>
          </w:tcPr>
          <w:p>
            <w:pPr>
              <w:spacing w:after="0"/>
              <w:rPr>
                <w:sz w:val="21"/>
                <w:szCs w:val="21"/>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6"/>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0"/>
        </w:trPr>
        <w:tc>
          <w:tcPr>
            <w:tcW w:w="20" w:type="dxa"/>
            <w:vAlign w:val="bottom"/>
          </w:tcPr>
          <w:p>
            <w:pPr>
              <w:spacing w:after="0"/>
              <w:rPr>
                <w:sz w:val="21"/>
                <w:szCs w:val="21"/>
                <w:color w:val="auto"/>
              </w:rPr>
            </w:pPr>
          </w:p>
        </w:tc>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5660" w:type="dxa"/>
            <w:vAlign w:val="bottom"/>
            <w:gridSpan w:val="2"/>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50"/>
        </w:trPr>
        <w:tc>
          <w:tcPr>
            <w:tcW w:w="20" w:type="dxa"/>
            <w:vAlign w:val="bottom"/>
          </w:tcPr>
          <w:p>
            <w:pPr>
              <w:spacing w:after="0"/>
              <w:rPr>
                <w:sz w:val="21"/>
                <w:szCs w:val="21"/>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340" w:type="dxa"/>
            <w:vAlign w:val="bottom"/>
            <w:gridSpan w:val="5"/>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60" w:type="dxa"/>
            <w:vAlign w:val="bottom"/>
            <w:gridSpan w:val="4"/>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952"/>
        </w:trPr>
        <w:tc>
          <w:tcPr>
            <w:tcW w:w="9240" w:type="dxa"/>
            <w:vAlign w:val="bottom"/>
            <w:gridSpan w:val="9"/>
          </w:tcPr>
          <w:p>
            <w:pPr>
              <w:jc w:val="right"/>
              <w:ind w:right="3070"/>
              <w:spacing w:after="0"/>
              <w:rPr>
                <w:sz w:val="20"/>
                <w:szCs w:val="20"/>
                <w:color w:val="auto"/>
              </w:rPr>
            </w:pPr>
            <w:r>
              <w:rPr>
                <w:rFonts w:ascii="Times New Roman" w:cs="Times New Roman" w:eastAsia="Times New Roman" w:hAnsi="Times New Roman"/>
                <w:sz w:val="18"/>
                <w:szCs w:val="18"/>
                <w:color w:val="auto"/>
              </w:rPr>
              <w:t>126</w:t>
            </w:r>
          </w:p>
        </w:tc>
        <w:tc>
          <w:tcPr>
            <w:tcW w:w="200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8" w:name="page129"/>
    <w:bookmarkEnd w:id="128"/>
    <w:p>
      <w:pPr>
        <w:ind w:left="28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Nurix Therapeutics,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We have audited the accompanying 2024 financial statements of Nurix Therapeutics, Inc. and the 2023 consolidated financial statements of Nurix Therapeutics, Inc. and its subsidiary (collectively referred to as the “Company”), which comprise the balance sheets as of November 30, 2024 and 2023, and the related statements of operations, of comprehensive loss, of stockholders’ equity and of cash flows for each of the three years in the period ended November 30, 2024, including the related notes (collectively referred to as the "financial statements"). We also have audited the Company's internal control over financial reporting as of November 30,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2"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November 30, 2024 and 2023, and the results of its operations and its cash flows for each of the three years in the period ended November 30, 2024 in conformity with accounting principles generally accepted in the United States of America. Also in our opinion, the Company maintained, in all material respects, effective internal control over financial reporting as of November 30,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1 to the financial statements, the Company will need substantial additional funding to support its continuing operations and pursue its long-term business plan. Management's evaluation of the events and conditions related to this matter are also described in Note 1.</w:t>
      </w: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 (ii)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Estimated Costs of Internal Full-Time Employees (FTEs) - Pfizer Collaboration Agreement</w:t>
      </w:r>
    </w:p>
    <w:p>
      <w:pPr>
        <w:spacing w:after="0" w:line="119"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As described in Notes 2 and 3 to the financial statements, the Company’s collaboration revenue was $54.5 million for the year ended November 30, 2024, of which revenue of $18.8 million was recognized related to the Company’s collaboration agreement with Pfizer. The Company enters into collaboration agreements and assesses those agreements to determine the performance obligations. Management uses a cost-based input method, which the Company determined most faithfully depicts the transfer of its performance obligation to Pfizer, to recognize revenue based on the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 estimated costs of internal FTEs relating to the Pfizer collaboration agreement is a critical audit matter are (i) the significant judgment by management when developing the estimated costs of internal FTEs and (ii) a high degree of auditor judgment, subjectivity and effort in performing procedures and evaluating management’s significant assumption related to the number of estimated FTEs.</w:t>
      </w:r>
    </w:p>
    <w:p>
      <w:pPr>
        <w:spacing w:after="0" w:line="69"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These procedures included testing the effectiveness of controls relating to the revenue recognition process, including controls over the development of the estimated costs of internal FTEs. These procedures also included, among others, evaluating and testing management’s process for developing the estimated costs of internal FTEs, which included evaluating the reasonableness of the significant assumption related to the number of estimated FTEs. Evaluating management’s estimated costs of internal FTEs involved (i) performing a comparison of management’s estimated costs of internal FTEs to the actual internal FTE costs; (ii) testing the completeness and accuracy of the data used by management in the estimate; (iii) evaluating management’s timely identification of changes in estimated costs of internal FTEs; and (iv) evaluating whether the estimate and assumption were consistent with evidence obtained in other areas of the audit.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54,627</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499,586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233,281</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r>
      <w:tr>
        <w:trPr>
          <w:trHeight w:val="237"/>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619,387</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295,503</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63"/>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669,343</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355,598</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Arial" w:cs="Arial" w:eastAsia="Arial" w:hAnsi="Arial"/>
                <w:sz w:val="18"/>
                <w:szCs w:val="18"/>
                <w:color w:val="auto"/>
                <w:highlight w:val="black"/>
              </w:rPr>
              <w:t>ʼ</w:t>
            </w:r>
            <w:r>
              <w:rPr>
                <w:rFonts w:ascii="Times New Roman" w:cs="Times New Roman" w:eastAsia="Times New Roman" w:hAnsi="Times New Roman"/>
                <w:sz w:val="18"/>
                <w:szCs w:val="18"/>
                <w:b w:val="1"/>
                <w:bCs w:val="1"/>
                <w:color w:val="auto"/>
              </w:rPr>
              <w:t xml:space="preserve"> equity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48,098</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95,854</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86,958</w:t>
            </w: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20,289</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23,125</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26,207</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w:t>
            </w:r>
          </w:p>
        </w:tc>
      </w:tr>
      <w:tr>
        <w:trPr>
          <w:trHeight w:val="237"/>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142,350</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155,105</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as of November 30, 2024 and 2023; no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80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shares issued and outstanding as of November 30, 2024 and 2023</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as of November 30, 2024 and 2023;</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75,870,718 and 48,718,552 shares issued and outstanding as of November 30, 2024 and 2023,</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1,265,536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746,299</w:t>
            </w:r>
          </w:p>
        </w:tc>
      </w:tr>
      <w:tr>
        <w:trPr>
          <w:trHeight w:val="243"/>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(738,769)</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(545,200)</w:t>
            </w:r>
          </w:p>
        </w:tc>
      </w:tr>
      <w:tr>
        <w:trPr>
          <w:trHeight w:val="237"/>
        </w:trPr>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526,993</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200,493</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669,343</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27" w:right="39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5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38,627</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 revenue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38,627</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184,497</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37,997</w:t>
            </w: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222,494</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(183,867)</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67,120,266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54,337,901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48,607,990</w:t>
            </w:r>
          </w:p>
        </w:tc>
      </w:tr>
      <w:tr>
        <w:trPr>
          <w:trHeight w:val="27"/>
        </w:trPr>
        <w:tc>
          <w:tcPr>
            <w:tcW w:w="6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(193,569)</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(140,284)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(184,071)</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ectPr>
          <w:pgSz w:w="11900" w:h="16838" w:orient="portrait"/>
          <w:cols w:equalWidth="0" w:num="1">
            <w:col w:w="11180"/>
          </w:cols>
          <w:pgMar w:left="360" w:top="927" w:right="359" w:bottom="1440" w:gutter="0" w:footer="0" w:header="0"/>
        </w:sect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60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November 30, 2021</w:t>
            </w: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00" w:type="dxa"/>
            <w:vAlign w:val="bottom"/>
            <w:vMerge w:val="continue"/>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44,664,371</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pre-funded warrants, net of</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issuance costs of $234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in "at the market"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financing, net of issuance costs of $672</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loss on available-for-sale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marketable securities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November 30, 2022</w:t>
            </w: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00" w:type="dxa"/>
            <w:vAlign w:val="bottom"/>
            <w:vMerge w:val="continue"/>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47,172,299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441,103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on available-for-sale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marketable securities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as of November 30, 2023</w:t>
            </w: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00" w:type="dxa"/>
            <w:vAlign w:val="bottom"/>
            <w:vMerge w:val="continue"/>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48,718,552</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and pre-funded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warrants, net of issuance costs of $12,518</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11,916,667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in "at the market"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financing, net of issuance costs of $6,186</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13,777,775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654,396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 of unvested early exercised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on available-for-sale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marketable securities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November 30, 2024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75,870,718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-5099685</wp:posOffset>
            </wp:positionV>
            <wp:extent cx="7115175"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-4697095</wp:posOffset>
            </wp:positionV>
            <wp:extent cx="7115175"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-4405630</wp:posOffset>
            </wp:positionV>
            <wp:extent cx="7115175"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-4114165</wp:posOffset>
            </wp:positionV>
            <wp:extent cx="7115175"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-3411220</wp:posOffset>
            </wp:positionV>
            <wp:extent cx="7115175"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-3119755</wp:posOffset>
            </wp:positionV>
            <wp:extent cx="7115175"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-2828290</wp:posOffset>
            </wp:positionV>
            <wp:extent cx="7115175"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-2425065</wp:posOffset>
            </wp:positionV>
            <wp:extent cx="7115175"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-2125345</wp:posOffset>
            </wp:positionV>
            <wp:extent cx="7115175" cy="25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-1610995</wp:posOffset>
            </wp:positionV>
            <wp:extent cx="7115175"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-1319530</wp:posOffset>
            </wp:positionV>
            <wp:extent cx="7115175"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-1028065</wp:posOffset>
            </wp:positionV>
            <wp:extent cx="7115175"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-736600</wp:posOffset>
            </wp:positionV>
            <wp:extent cx="7115175"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-334010</wp:posOffset>
            </wp:positionV>
            <wp:extent cx="7115175"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-3710940</wp:posOffset>
            </wp:positionV>
            <wp:extent cx="7115175"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-5511165</wp:posOffset>
            </wp:positionV>
            <wp:extent cx="7115175"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1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4"/>
        </w:trPr>
        <w:tc>
          <w:tcPr>
            <w:tcW w:w="1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563,757</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(220,892)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342,302</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94,759</w:t>
            </w:r>
          </w:p>
        </w:tc>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94,759</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19,326</w:t>
            </w:r>
          </w:p>
        </w:tc>
        <w:tc>
          <w:tcPr>
            <w:tcW w:w="1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19,328</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1,078</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1,955</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28,200</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28,200</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(180,360)</w:t>
            </w:r>
          </w:p>
        </w:tc>
        <w:tc>
          <w:tcPr>
            <w:tcW w:w="0" w:type="dxa"/>
            <w:vAlign w:val="bottom"/>
          </w:tcPr>
          <w:p>
            <w:pPr>
              <w:spacing w:after="0"/>
              <w:rPr>
                <w:sz w:val="1"/>
                <w:szCs w:val="1"/>
                <w:color w:val="auto"/>
              </w:rPr>
            </w:pPr>
          </w:p>
        </w:tc>
      </w:tr>
      <w:tr>
        <w:trPr>
          <w:trHeight w:val="37"/>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709,220</w:t>
            </w: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303,696</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2,229</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33,747</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33,747</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(143,948)</w:t>
            </w:r>
          </w:p>
        </w:tc>
        <w:tc>
          <w:tcPr>
            <w:tcW w:w="0" w:type="dxa"/>
            <w:vAlign w:val="bottom"/>
          </w:tcPr>
          <w:p>
            <w:pPr>
              <w:spacing w:after="0"/>
              <w:rPr>
                <w:sz w:val="1"/>
                <w:szCs w:val="1"/>
                <w:color w:val="auto"/>
              </w:rPr>
            </w:pPr>
          </w:p>
        </w:tc>
      </w:tr>
      <w:tr>
        <w:trPr>
          <w:trHeight w:val="37"/>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746,299</w:t>
            </w: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(545,200)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200,493</w:t>
            </w:r>
          </w:p>
        </w:tc>
        <w:tc>
          <w:tcPr>
            <w:tcW w:w="0" w:type="dxa"/>
            <w:vAlign w:val="bottom"/>
          </w:tcPr>
          <w:p>
            <w:pPr>
              <w:spacing w:after="0"/>
              <w:rPr>
                <w:sz w:val="1"/>
                <w:szCs w:val="1"/>
                <w:color w:val="auto"/>
              </w:rPr>
            </w:pPr>
          </w:p>
        </w:tc>
      </w:tr>
      <w:tr>
        <w:trPr>
          <w:trHeight w:val="405"/>
        </w:trPr>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188,720</w:t>
            </w:r>
          </w:p>
        </w:tc>
        <w:tc>
          <w:tcPr>
            <w:tcW w:w="14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188,732</w:t>
            </w:r>
          </w:p>
        </w:tc>
        <w:tc>
          <w:tcPr>
            <w:tcW w:w="0" w:type="dxa"/>
            <w:vAlign w:val="bottom"/>
          </w:tcPr>
          <w:p>
            <w:pPr>
              <w:spacing w:after="0"/>
              <w:rPr>
                <w:sz w:val="1"/>
                <w:szCs w:val="1"/>
                <w:color w:val="auto"/>
              </w:rPr>
            </w:pPr>
          </w:p>
        </w:tc>
      </w:tr>
      <w:tr>
        <w:trPr>
          <w:trHeight w:val="405"/>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289,355</w:t>
            </w:r>
          </w:p>
        </w:tc>
        <w:tc>
          <w:tcPr>
            <w:tcW w:w="14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289,369</w:t>
            </w:r>
          </w:p>
        </w:tc>
        <w:tc>
          <w:tcPr>
            <w:tcW w:w="0" w:type="dxa"/>
            <w:vAlign w:val="bottom"/>
          </w:tcPr>
          <w:p>
            <w:pPr>
              <w:spacing w:after="0"/>
              <w:rPr>
                <w:sz w:val="1"/>
                <w:szCs w:val="1"/>
                <w:color w:val="auto"/>
              </w:rPr>
            </w:pPr>
          </w:p>
        </w:tc>
      </w:tr>
      <w:tr>
        <w:trPr>
          <w:trHeight w:val="230"/>
        </w:trPr>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5,054</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0" w:type="dxa"/>
            <w:vAlign w:val="bottom"/>
          </w:tcPr>
          <w:p>
            <w:pPr>
              <w:spacing w:after="0"/>
              <w:rPr>
                <w:sz w:val="1"/>
                <w:szCs w:val="1"/>
                <w:color w:val="auto"/>
              </w:rPr>
            </w:pPr>
          </w:p>
        </w:tc>
      </w:tr>
      <w:tr>
        <w:trPr>
          <w:trHeight w:val="230"/>
        </w:trPr>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30"/>
        </w:trPr>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2,132</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0" w:type="dxa"/>
            <w:vAlign w:val="bottom"/>
          </w:tcPr>
          <w:p>
            <w:pPr>
              <w:spacing w:after="0"/>
              <w:rPr>
                <w:sz w:val="1"/>
                <w:szCs w:val="1"/>
                <w:color w:val="auto"/>
              </w:rPr>
            </w:pPr>
          </w:p>
        </w:tc>
      </w:tr>
      <w:tr>
        <w:trPr>
          <w:trHeight w:val="230"/>
        </w:trPr>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33,943</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33,943</w:t>
            </w:r>
          </w:p>
        </w:tc>
        <w:tc>
          <w:tcPr>
            <w:tcW w:w="0" w:type="dxa"/>
            <w:vAlign w:val="bottom"/>
          </w:tcPr>
          <w:p>
            <w:pPr>
              <w:spacing w:after="0"/>
              <w:rPr>
                <w:sz w:val="1"/>
                <w:szCs w:val="1"/>
                <w:color w:val="auto"/>
              </w:rPr>
            </w:pPr>
          </w:p>
        </w:tc>
      </w:tr>
      <w:tr>
        <w:trPr>
          <w:trHeight w:val="405"/>
        </w:trPr>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230"/>
        </w:trPr>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(193,569)</w:t>
            </w:r>
          </w:p>
        </w:tc>
        <w:tc>
          <w:tcPr>
            <w:tcW w:w="0" w:type="dxa"/>
            <w:vAlign w:val="bottom"/>
          </w:tcPr>
          <w:p>
            <w:pPr>
              <w:spacing w:after="0"/>
              <w:rPr>
                <w:sz w:val="1"/>
                <w:szCs w:val="1"/>
                <w:color w:val="auto"/>
              </w:rPr>
            </w:pPr>
          </w:p>
        </w:tc>
      </w:tr>
      <w:tr>
        <w:trPr>
          <w:trHeight w:val="37"/>
        </w:trPr>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1,265,536</w:t>
            </w: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(738,769)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526,993</w:t>
            </w:r>
          </w:p>
        </w:tc>
        <w:tc>
          <w:tcPr>
            <w:tcW w:w="0" w:type="dxa"/>
            <w:vAlign w:val="bottom"/>
          </w:tcPr>
          <w:p>
            <w:pPr>
              <w:spacing w:after="0"/>
              <w:rPr>
                <w:sz w:val="1"/>
                <w:szCs w:val="1"/>
                <w:color w:val="auto"/>
              </w:rPr>
            </w:pPr>
          </w:p>
        </w:tc>
      </w:tr>
      <w:tr>
        <w:trPr>
          <w:trHeight w:val="37"/>
        </w:trPr>
        <w:tc>
          <w:tcPr>
            <w:tcW w:w="1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-33655</wp:posOffset>
            </wp:positionV>
            <wp:extent cx="8229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-8255</wp:posOffset>
            </wp:positionV>
            <wp:extent cx="8229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-187960</wp:posOffset>
            </wp:positionV>
            <wp:extent cx="8229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-2279650</wp:posOffset>
            </wp:positionV>
            <wp:extent cx="8229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780" w:space="240"/>
            <w:col w:w="5160"/>
          </w:cols>
          <w:pgMar w:left="360" w:top="927" w:right="35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 Ended November 30,</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9"/>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4"/>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9"/>
        </w:trPr>
        <w:tc>
          <w:tcPr>
            <w:tcW w:w="6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(143,948)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(180,360)</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193"/>
        </w:trPr>
        <w:tc>
          <w:tcPr>
            <w:tcW w:w="6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6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28,131</w:t>
            </w:r>
          </w:p>
        </w:tc>
      </w:tr>
      <w:tr>
        <w:trPr>
          <w:trHeight w:val="193"/>
        </w:trPr>
        <w:tc>
          <w:tcPr>
            <w:tcW w:w="6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amortization (accretion) of premium (discount) on marketable securities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6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3"/>
        </w:trPr>
        <w:tc>
          <w:tcPr>
            <w:tcW w:w="6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6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9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6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93"/>
        </w:trPr>
        <w:tc>
          <w:tcPr>
            <w:tcW w:w="6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6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3"/>
        </w:trPr>
        <w:tc>
          <w:tcPr>
            <w:tcW w:w="6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(26,627)</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6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w:t>
            </w:r>
          </w:p>
        </w:tc>
      </w:tr>
      <w:tr>
        <w:trPr>
          <w:trHeight w:val="193"/>
        </w:trPr>
        <w:tc>
          <w:tcPr>
            <w:tcW w:w="6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7,485</w:t>
            </w:r>
          </w:p>
        </w:tc>
      </w:tr>
      <w:tr>
        <w:trPr>
          <w:trHeight w:val="37"/>
        </w:trPr>
        <w:tc>
          <w:tcPr>
            <w:tcW w:w="68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68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(81,365)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(159,807)</w:t>
            </w:r>
          </w:p>
        </w:tc>
      </w:tr>
      <w:tr>
        <w:trPr>
          <w:trHeight w:val="17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(707,953)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(246,334)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(239,366)</w:t>
            </w:r>
          </w:p>
        </w:tc>
      </w:tr>
      <w:tr>
        <w:trPr>
          <w:trHeight w:val="19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278,808</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(12,244)</w:t>
            </w:r>
          </w:p>
        </w:tc>
      </w:tr>
      <w:tr>
        <w:trPr>
          <w:trHeight w:val="186"/>
        </w:trPr>
        <w:tc>
          <w:tcPr>
            <w:tcW w:w="68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68,301</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27,198</w:t>
            </w:r>
          </w:p>
        </w:tc>
      </w:tr>
      <w:tr>
        <w:trPr>
          <w:trHeight w:val="37"/>
        </w:trPr>
        <w:tc>
          <w:tcPr>
            <w:tcW w:w="68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9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issuances of common stock and pre-funded warrants in equity financing, net of issuance costs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94,759</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issuances of common stock in "at the market" financing, net of issuance costs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289,763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w:t>
            </w:r>
          </w:p>
        </w:tc>
      </w:tr>
      <w:tr>
        <w:trPr>
          <w:trHeight w:val="19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 and pre-funded warrants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under employee stock purchase plan</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r>
      <w:tr>
        <w:trPr>
          <w:trHeight w:val="19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unvested early exercised stock options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68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68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117,192</w:t>
            </w:r>
          </w:p>
        </w:tc>
      </w:tr>
      <w:tr>
        <w:trPr>
          <w:trHeight w:val="186"/>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(9,847)</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(15,417)</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80,792</w:t>
            </w:r>
          </w:p>
        </w:tc>
      </w:tr>
      <w:tr>
        <w:trPr>
          <w:trHeight w:val="218"/>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55,528</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65,375</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225"/>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property and equipment included in accounts payable and accrued expenses and other current liabilities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recognized in exchange for lease obligations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w:t>
            </w:r>
          </w:p>
        </w:tc>
      </w:tr>
      <w:tr>
        <w:trPr>
          <w:trHeight w:val="20"/>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stock-based compensation related to internal-use software development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issuance costs included in accounts payable and accrued expenses and other current liabilities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issuance costs recognized related to the "at the market" financing</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3"/>
        </w:trPr>
        <w:tc>
          <w:tcPr>
            <w:tcW w:w="6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As of November 30,</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0"/>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6"/>
        </w:trPr>
        <w:tc>
          <w:tcPr>
            <w:tcW w:w="6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30"/>
        </w:trPr>
        <w:tc>
          <w:tcPr>
            <w:tcW w:w="6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54,627</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64,474</w:t>
            </w:r>
          </w:p>
        </w:tc>
      </w:tr>
      <w:tr>
        <w:trPr>
          <w:trHeight w:val="37"/>
        </w:trPr>
        <w:tc>
          <w:tcPr>
            <w:tcW w:w="6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2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r>
      <w:tr>
        <w:trPr>
          <w:trHeight w:val="218"/>
        </w:trPr>
        <w:tc>
          <w:tcPr>
            <w:tcW w:w="68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55,528</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65,375</w:t>
            </w:r>
          </w:p>
        </w:tc>
      </w:tr>
      <w:tr>
        <w:trPr>
          <w:trHeight w:val="25"/>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35" w:name="page136"/>
    <w:bookmarkEnd w:id="1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innovative small molecules and antibody therapies based on the degradation of cellular protein levels as a novel treatment approach for cancer, inflammatory conditions and other challenging diseases. Leveraging the Company’s expertise in E3 ligases together with its proprietary DNA-encoded libraries, the Company has built DEL-AI, a fully AI-integrated discovery platform to identify and advance novel drug candidates targeting E3 ligases, a broad class of enzymes that can degrade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August 2021, the Company filed a shelf registration statement on Form S-3 with the Securities and Exchange Commission (SEC), which was amended in February 2023 (the Shelf Registration Statement) and which expired in August 2024 with respect to additional sales of securities. The Shelf Registration Statement, which included a base prospectus, allowed the Company to offer and sell up to $450.0 million of the Company’s registered common stock, preferred stock, debt securities, warrants, subscriptions rights and/or units or any combination of securities described in the prospectus in one or more offerings. In addition, in August 2021, the Company entered into an Equity Distribution Agreement with Piper Sandler &amp; Co. (Piper Sandler) pursuant to which, from time to time, the Company could offer and sell through Piper Sandler up to $150.0 million of the common stock registered under the Shelf Registration Statement pursuant to one or more “at the market” offerings.</w:t>
      </w:r>
    </w:p>
    <w:p>
      <w:pPr>
        <w:spacing w:after="0" w:line="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Company was not required to sell any shares at any time during the term of the Equity Distribution Agreement. The Company agreed to pay Piper Sandler a commission of 3.0% of the gross sales price of any shares sold pursuant to the Equity Distribution Agreement. In June 2022, the Company issued and sold 2,000,000 shares of common stock under the Equity Distribution Agreement at a price of $10.00 per share for net proceeds of $19.3 million after deducting offering commissions and expenses paid by the Company. In May 2024, the Company issued and sold 3,194,809 shares of common stock under the Equity Distribution Agreement at various prices ranging from $15.50 to $16.00 per share for total net proceeds of $48.5 million, after deducting offering commissions and expenses paid by the Company.</w:t>
      </w:r>
    </w:p>
    <w:p>
      <w:pPr>
        <w:spacing w:after="0" w:line="72" w:lineRule="exact"/>
        <w:rPr>
          <w:sz w:val="20"/>
          <w:szCs w:val="20"/>
          <w:color w:val="auto"/>
        </w:rPr>
      </w:pPr>
    </w:p>
    <w:p>
      <w:pPr>
        <w:ind w:right="200" w:firstLine="648"/>
        <w:spacing w:after="0" w:line="247" w:lineRule="auto"/>
        <w:rPr>
          <w:sz w:val="20"/>
          <w:szCs w:val="20"/>
          <w:color w:val="auto"/>
        </w:rPr>
      </w:pPr>
      <w:r>
        <w:rPr>
          <w:rFonts w:ascii="Times New Roman" w:cs="Times New Roman" w:eastAsia="Times New Roman" w:hAnsi="Times New Roman"/>
          <w:sz w:val="18"/>
          <w:szCs w:val="18"/>
          <w:color w:val="auto"/>
        </w:rPr>
        <w:t>In June 2024, the Company filed an automatic shelf registration statement on Form S-3 (the Automatic Shelf Registration Statement). The Automatic Shelf Registration Statement, which includes a base prospectus, allows the Company at any time to offer and sell the Company’s registered common stock, preferred stock, debt securities, warrants, subscriptions rights and/or units or any combination of securities described in the prospectus in one or more offerings. On July 11, 2024, the Company entered into Amendment No. 1 to the Equity Distribution Agreement (as amended, the Amended Equity Distribution Agreement), pursuant to which, from time to time, the Company may offer and sell through Piper Sandler up to $150.0 million of common stock registered under the Automatic Shelf Registration Statement pursuant to one or more “at the market” offerings.</w:t>
      </w:r>
    </w:p>
    <w:p>
      <w:pPr>
        <w:spacing w:after="0" w:line="72"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The Company was not required to sell any shares at any time during the term of the Amended Equity Distribution Agreement. The Company agreed to pay Piper Sandler a commission of up to 3% of the gross sales price of any shares sold pursuant to the Amended Equity Distribution Agreement. In August 2024, the Company issued and sold 2,145,000 shares of common stock under the Amended Equity Distribution Agreement at a price of $20.00 per share for total net proceeds of $42.0 million, after deducting offering commissions and expenses paid by the Company. In October 2024, the Company issued and sold 4,803,573 shares of common stock under the Amended Equity Distribution Agreement at various prices ranging from $21.50 to $25.00 per share for total net proceeds of $105.3 million, after deducting offering commissions and expenses paid by the Company.</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36" w:name="page137"/>
    <w:bookmarkEnd w:id="136"/>
    <w:p>
      <w:pPr>
        <w:ind w:firstLine="648"/>
        <w:spacing w:after="0" w:line="243" w:lineRule="auto"/>
        <w:rPr>
          <w:sz w:val="20"/>
          <w:szCs w:val="20"/>
          <w:color w:val="auto"/>
        </w:rPr>
      </w:pPr>
      <w:r>
        <w:rPr>
          <w:rFonts w:ascii="Times New Roman" w:cs="Times New Roman" w:eastAsia="Times New Roman" w:hAnsi="Times New Roman"/>
          <w:sz w:val="18"/>
          <w:szCs w:val="18"/>
          <w:color w:val="auto"/>
        </w:rPr>
        <w:t>On October 31, 2024, the Company entered into Amendment No. 2 to the Equity Distribution Agreement (as amended, the Second Amended Equity Distribution Agreement), pursuant to which, from time to time, the Company may offer and sell through Piper Sandler up to $300.0 million of common stock registered under the Automatic Shelf Registration Statement pursuant to one or more “at the market” offerings. The Company is not required to sell any shares at any time during the term of the Second Amended Equity Distribution Agreement. The Company agreed to pay Piper Sandler a commission of up to 3% of the gross sales price of any shares sold pursuant to the Second Amended Equity Distribution Agreement. In November 2024, the Company issued and sold 3,634,393 shares of common stock under the Second Amended Equity Distribution Agreement at a price of $26.25 per share for total net proceeds of $93.6 million, after deducting offering commissions and expenses paid by the Company. As of November 30, 2024, the Company had $204.6 million of common stock remaining available for sale under the Second Amended Equity Distribution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80" w:lineRule="exact"/>
        <w:rPr>
          <w:sz w:val="20"/>
          <w:szCs w:val="20"/>
          <w:color w:val="auto"/>
        </w:rPr>
      </w:pPr>
    </w:p>
    <w:p>
      <w:pPr>
        <w:ind w:right="20" w:firstLine="648"/>
        <w:spacing w:after="0" w:line="224" w:lineRule="exact"/>
        <w:rPr>
          <w:sz w:val="20"/>
          <w:szCs w:val="20"/>
          <w:color w:val="auto"/>
        </w:rPr>
      </w:pPr>
      <w:r>
        <w:rPr>
          <w:rFonts w:ascii="Times New Roman" w:cs="Times New Roman" w:eastAsia="Times New Roman" w:hAnsi="Times New Roman"/>
          <w:sz w:val="18"/>
          <w:szCs w:val="18"/>
          <w:color w:val="auto"/>
        </w:rPr>
        <w:t>In July 2022, the Company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21"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8"/>
          <w:szCs w:val="18"/>
          <w:color w:val="auto"/>
        </w:rPr>
        <w:t>In April 2024, the Company completed a public offering (2024 Public Offering)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$188.7 million, after deducting offering commissions and expenses of $12.5 million. Refer to Note 7 for more information regarding the 2024 Pre-Funded Warrants.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180" w:firstLine="648"/>
        <w:spacing w:after="0" w:line="247" w:lineRule="auto"/>
        <w:rPr>
          <w:sz w:val="20"/>
          <w:szCs w:val="20"/>
          <w:color w:val="auto"/>
        </w:rPr>
      </w:pPr>
      <w:r>
        <w:rPr>
          <w:rFonts w:ascii="Times New Roman" w:cs="Times New Roman" w:eastAsia="Times New Roman" w:hAnsi="Times New Roman"/>
          <w:sz w:val="18"/>
          <w:szCs w:val="18"/>
          <w:color w:val="auto"/>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spacing w:after="0" w:line="7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of November 30, 2024, the Company had cash, cash equivalents and short-term marketable securities of $609.6 million, working capital of $523.5 million and an accumulated deficit of $738.8 million. Management believes that its cash, cash equivalents and short-term marketable securities are sufficient to continue operating activities for at least 12 months following the issuance date of these consolidated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Based on the Company’s current forecast of future operating results, the Company has concluded that its cash, cash equivalents and short-term marketable securities are sufficient to continue operating activities for at least 12 months following the issuance date of these consolidated financial statements.</w:t>
      </w:r>
    </w:p>
    <w:p>
      <w:pPr>
        <w:spacing w:after="0" w:line="200" w:lineRule="exact"/>
        <w:rPr>
          <w:sz w:val="20"/>
          <w:szCs w:val="20"/>
          <w:color w:val="auto"/>
        </w:rPr>
      </w:pPr>
    </w:p>
    <w:p>
      <w:pPr>
        <w:spacing w:after="0" w:line="38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U.S. generally accepted accounting principles (U.S. GAAP) and include the accounts of the Company and its wholly owned subsidiaries, including DeCART Therapeutics Inc., which was legally dissolved in July 2022. All intercompany balances and transactions have been eliminated in consolidation. As of November 30, 2024, the Company has no remaining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marketable</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73" w:lineRule="exact"/>
        <w:rPr>
          <w:sz w:val="20"/>
          <w:szCs w:val="20"/>
          <w:color w:val="auto"/>
        </w:rPr>
      </w:pPr>
    </w:p>
    <w:p>
      <w:pPr>
        <w:ind w:right="160" w:firstLine="648"/>
        <w:spacing w:after="0" w:line="247" w:lineRule="auto"/>
        <w:rPr>
          <w:sz w:val="20"/>
          <w:szCs w:val="20"/>
          <w:color w:val="auto"/>
        </w:rPr>
      </w:pPr>
      <w:r>
        <w:rPr>
          <w:rFonts w:ascii="Times New Roman" w:cs="Times New Roman" w:eastAsia="Times New Roman" w:hAnsi="Times New Roman"/>
          <w:sz w:val="18"/>
          <w:szCs w:val="18"/>
          <w:color w:val="auto"/>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spacing w:after="0" w:line="7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The extent to which the increasing financial market volatility and uncertainty may directly or indirectly impact the consolidated financial statements is highly uncertain and subject to change.</w:t>
      </w:r>
    </w:p>
    <w:p>
      <w:pPr>
        <w:spacing w:after="0" w:line="6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Operating segments are defined as components of an enterprise where separate financial information is evaluated regularly by the chief operating decision maker (CODM) in deciding how to allocate resources and assess performance. The Company’s CODM is the Chief Executive Officer, who reviews consolidated financial information on a company-wide basis for purposes of allocating resources and assessing financial performance.</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considers all highly liquid marketable securities with a maturity of three months or less when purchased to be cash equivalents.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which consist of money market funds, are stated at fair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had $0.9 million of restricted cash recorded as a non-current asset as of each of November 30, 2024 and 2023. Restricted cash as of each of November 30, 2024 and 2023 consisted of $0.1 million that serves as collateral for a business credit card account and $0.8 million for letters of credit required under operating leases. These balances are included within the cash, cash equivalents and restricted cash balance in the accompanying consolidated statements of cash flows and separately presented as such in the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equivalents, accounts payable and accrued liabilities included in the consolidated financial statements approximate their fair value due to the nature of the financial instruments. Refer to Note 5 for more information regarding the fair value of the Company’s marketable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Marketable securities consist of money market funds, U.S. Treasuries, corporate debt securities and U.S. government agency securities. The Company’s marketable securities are classified as available-for-sale and carried at estimated fair values and reported in cash equivalents, short-term marketable securities or long-term marketable securities. Management determines the appropriate classification of the marketable securities at the time they are acquired and evaluates the appropriateness of such classifications at each consolidated balance sheet date. Marketable securities with contractual maturities greater than 12 months are considered long-term marketable securities.</w:t>
      </w:r>
    </w:p>
    <w:p>
      <w:pPr>
        <w:spacing w:after="0" w:line="87"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Company regularly reviews its marketable securities for declines in estimated fair value below amortized cost. The factors considered in determining whether a credit loss exists include the creditworthiness of the security issuers, the number of marketable securities in an unrealized loss position, the severity and duration of the unrealized losses, and whether it is more likely than not that the Company will be required to sell the marketable securities before the recovery of their amortized cost basis. The cost of marketable securities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as interest and other income, net in the consolidated statements of operations, and an allowance for credit loss is recorded on the consolidated balance sheet. In circumstances when the decline in fair value is non-credit related, the difference is reported in accumulated other comprehensive income (loss), net of tax as a separate component of stockholders’ equity.</w:t>
      </w:r>
    </w:p>
    <w:p>
      <w:pPr>
        <w:spacing w:after="0" w:line="93" w:lineRule="exact"/>
        <w:rPr>
          <w:sz w:val="20"/>
          <w:szCs w:val="20"/>
          <w:color w:val="auto"/>
        </w:rPr>
      </w:pPr>
    </w:p>
    <w:p>
      <w:pPr>
        <w:jc w:val="both"/>
        <w:ind w:right="640" w:firstLine="648"/>
        <w:spacing w:after="0" w:line="250" w:lineRule="auto"/>
        <w:rPr>
          <w:sz w:val="20"/>
          <w:szCs w:val="20"/>
          <w:color w:val="auto"/>
        </w:rPr>
      </w:pPr>
      <w:r>
        <w:rPr>
          <w:rFonts w:ascii="Times New Roman" w:cs="Times New Roman" w:eastAsia="Times New Roman" w:hAnsi="Times New Roman"/>
          <w:sz w:val="18"/>
          <w:szCs w:val="18"/>
          <w:color w:val="auto"/>
        </w:rPr>
        <w:t>The Company excludes accrued interest from both the fair value and the amortized cost basis of marketable securities for the purposes of identifying and measuring an impairment. The Company writes off accrued interest receivables that have become more than 90 days delinquent by reversing interest income. To date, the Company has not written off any accrued interest receivables associated with its marketable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Major improvements are capitalized, while maintenance and repairs are expensed when incurred. Depreciation is computed using the straight-line method over the estimated useful lives of the assets. The useful life of laboratory equipment, computer equipment, furniture and fixtures and software is generally three years. Tenant improvements are depreciated over the shorter of the lease term or the estimated useful life of the improvements. When assets are retired or disposed of, the cost together with related accumulated depreciation is removed from the Company’s accounts and the resulting gain or loss is reflected in the consolidated statements of operations.</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the lease at inception. An arrangement contains a lease if there is an identified asset and if the Company controls the use of the identified asset throughout the period of use. 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any lease incentives received. The Company uses its incremental borrowing rate, if an implicit rate is not readily available, and the information available at the date of lease commencement in determining its lease liabilities.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judgements, including on its synthetic credit rating. Leases may include options to extend or early terminate the lease term. If the Company, using judgement, is reasonably certain that an option will be exercised, then the option will be included in the calculation of the lease term. The Company elected to combine lease and non-lease components for all underlying assets groups, and not recognize ROU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 The Company does not have any finance leases.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Company capitalizes qualifying costs incurred during the application development stage related to software developed for internal-use and amortizes them over the estimated useful life of three years. Amortization of such costs begins when the project is substantially complete and ready for its intended use. Capitalized software development costs are classified as property and equipment, net on the consolidated balance sheet. The Company expenses costs incurred related to the planning and post-implementation phases of development as incurred.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November 30, 2024, 2023 and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Company capitalizes within other assets certain legal, accounting and other third-party fees that are directly related to the Company’s in-process equity financings until such financings are consummated. After consummation of an equity financing, these costs are recorded in stockholders’ equity as a reduction of additional paid-in capital generated as a result of the offering. Should a planned equity financing be abandoned, terminated or significantly delayed, the deferred offering costs are immediately written off to operating expenses. As of November 30, 2024 and 2023, there was $0.1 million and $0.5 million, respectively, of deferred offering costs included in other assets on the consolidated balance sheet.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61"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40" w:name="page141"/>
    <w:bookmarkEnd w:id="140"/>
    <w:p>
      <w:pPr>
        <w:jc w:val="both"/>
        <w:ind w:right="520" w:firstLine="648"/>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8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Exclusive license rights</w:t>
      </w:r>
      <w:r>
        <w:rPr>
          <w:rFonts w:ascii="Times New Roman" w:cs="Times New Roman" w:eastAsia="Times New Roman" w:hAnsi="Times New Roman"/>
          <w:sz w:val="18"/>
          <w:szCs w:val="18"/>
          <w:color w:val="auto"/>
        </w:rPr>
        <w:t>: If a license to the Company’s intellectual property is determined to be distinct from the other promises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8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Research and collaboration licenses</w:t>
      </w:r>
      <w:r>
        <w:rPr>
          <w:rFonts w:ascii="Times New Roman" w:cs="Times New Roman" w:eastAsia="Times New Roman" w:hAnsi="Times New Roman"/>
          <w:sz w:val="18"/>
          <w:szCs w:val="18"/>
          <w:color w:val="auto"/>
        </w:rPr>
        <w:t>: Collaboration agreements may include research licenses and research and development services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87"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research, development or regulatory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69"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Sales-based milestones and royalties</w:t>
      </w:r>
      <w:r>
        <w:rPr>
          <w:rFonts w:ascii="Times New Roman" w:cs="Times New Roman" w:eastAsia="Times New Roman" w:hAnsi="Times New Roman"/>
          <w:sz w:val="18"/>
          <w:szCs w:val="18"/>
          <w:color w:val="auto"/>
        </w:rPr>
        <w:t>: For arrangements that include sales-based milestone or royalty payments based on the level of sales,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7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Customer options</w:t>
      </w:r>
      <w:r>
        <w:rPr>
          <w:rFonts w:ascii="Times New Roman" w:cs="Times New Roman" w:eastAsia="Times New Roman" w:hAnsi="Times New Roman"/>
          <w:sz w:val="18"/>
          <w:szCs w:val="18"/>
          <w:color w:val="auto"/>
        </w:rPr>
        <w:t>: Customer options, such as options granted to allow a licensee to extend a license or research term, to select additional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spacing w:after="0" w:line="88"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revenue was derived from customers located in the United States during the years ended November 30, 2024, 2023 and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Company expenses all research and development costs as incurred. Research and development costs include, but are not limited to, payroll and personnel expenses, laboratory supplies, preclinical study costs, clinical trial costs, compound manufacturing costs, consulting costs and allocated overhead, including rent, equipment, depreciation and utilities.</w:t>
      </w:r>
    </w:p>
    <w:p>
      <w:pPr>
        <w:spacing w:after="0" w:line="6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Company records accrued expenses for estimated costs of research and development activities conducted by third-party service providers, which include preclinical studies and clinical trials and contract manufacturing activities. The Company records the estimated costs of research and development activities based upon the estimated amount of services provided but not yet invoiced and includes these costs in accrued expenses and other current liabilities on the consolidated balance sheet.</w:t>
      </w:r>
    </w:p>
    <w:p>
      <w:pPr>
        <w:spacing w:after="0" w:line="69"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The Company estimates the amount of work completed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the Company adjusts its accrued estimates. The Company’s accrued expenses are dependent, in part, upon the receipt of timely and accurate reporting from clinical research organizations and other third-party service providers. The Company records advance payments to service providers as prepaid assets, which are expensed as the contracted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The Company accounts for stock-based compensation using a fair value-based method, which requires the recognition of compensation expense for costs related to all stock-based payments including stock options, restricted stock units (RSUs) and purchase rights under the Company’s 2020 Employee Stock Purchase Plan (ESPP). The Company estimates the fair value of stock options and purchase rights granted under the ESPP on the date of grant using the Black-Scholes option pricing model, which is impacted by the fair value of the Company’s common stock, as well as changes in assumptions regarding a number of highly complex and subjective variables. The model requires management to make a number of assumptions including expected volatility, expected term, risk-free interest rate and expected dividend yield. The Company determines the fair value of stock options, RSUs and purchase rights under the ESPP using the market closing price of the Company’s common stock on the date of grant.</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For stock-based payments with service conditions only, the Company uses the straight-line method to allocate compensation cost to reporting periods over the requisite service period, which is generally the vesting period. Stock-based compensation expense for non-employee stock-based awards is also measured based on the grant date fair value with the estimated fair value expensed over the period for which the non-employee is required to provide service in exchange for the award. For stock-based payments with performance conditions, the Company evaluates the probability of achieving performance conditions at each reporting date. The Company begins to recognize compensation cost using an accelerated attribution method when it is deemed probable that the performance condition will be met. The Company accounts for forfeitures as they occur.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in management’s estimate, it is more likely than not, that the deferred tax assets will not be recovered.</w:t>
      </w:r>
    </w:p>
    <w:p>
      <w:pPr>
        <w:spacing w:after="0" w:line="69" w:lineRule="exact"/>
        <w:rPr>
          <w:sz w:val="20"/>
          <w:szCs w:val="20"/>
          <w:color w:val="auto"/>
        </w:rPr>
      </w:pPr>
    </w:p>
    <w:p>
      <w:pPr>
        <w:jc w:val="both"/>
        <w:ind w:right="120" w:firstLine="648"/>
        <w:spacing w:after="0" w:line="280" w:lineRule="auto"/>
        <w:rPr>
          <w:sz w:val="20"/>
          <w:szCs w:val="20"/>
          <w:color w:val="auto"/>
        </w:rPr>
      </w:pPr>
      <w:r>
        <w:rPr>
          <w:rFonts w:ascii="Times New Roman" w:cs="Times New Roman" w:eastAsia="Times New Roman" w:hAnsi="Times New Roman"/>
          <w:sz w:val="17"/>
          <w:szCs w:val="17"/>
          <w:color w:val="auto"/>
        </w:rPr>
        <w:t>Financial statement effects of uncertain tax positions are recognized when it is more likely than not, based on the technical merits of the position, that it will be sustained upon examination. It is the Company’s policy to include penalties and interest expense related to income taxes as a component of the provision for income taxes. Non-income-based taxes are expensed as incurred within operating expenses on the consolidated statements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Comprehensive loss represents the net loss for the period and other comprehensive income (loss). Other comprehensive income (loss) reflects certain gains and losses that are recorded as a component of stockholders’ equity (deficit) and are not reflected in the consolidated statements of operations. The Company’s other comprehensive income (loss) consists of changes in unrealized gains and losses on available-for-sale marketable securities.</w:t>
      </w:r>
    </w:p>
    <w:p>
      <w:pPr>
        <w:spacing w:after="0" w:line="200" w:lineRule="exact"/>
        <w:rPr>
          <w:sz w:val="20"/>
          <w:szCs w:val="20"/>
          <w:color w:val="auto"/>
        </w:rPr>
      </w:pPr>
    </w:p>
    <w:p>
      <w:pPr>
        <w:spacing w:after="0" w:line="35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(including pre-funded warrants) outstanding during the period, without consideration for all other common stock equivalents. Shares of common stock into which the pre-funded warrants may be exercised are considered outstanding for the purposes of computing net loss per share because the shares may be issued for little or no consideration, are fully vested and are exercisable after the original issuance date. Diluted net loss is calculated by dividing the net loss by the weighted-average number of common stock and potentially dilutive securities outstanding for the period. For purposes of the diluted net loss per share calculation, options to purchase common stock, options early exercised subject to vesting, RSUs and shares expected to be purchased under the ESPP are considered to be potentially dilutive securities. Diluted net loss per share is the same as basic net loss per share, since the effects of potentially dilutive securities are antidilutive given the net loss for each period presented.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80"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Segment Reporting (Topic 280)—Improvements to Reportable Segment Disclosures (ASU 2023-07), which is intended to improve reportable segment disclosure requirements, primarily through enhanced disclosures about significant segment expenses. ASU 2023-07 should be applied on a retrospective basis. ASU 2023-07 is effective for annual periods beginning after December 15, 2023, and interim periods within fiscal years beginning after December 15, 2024. Early adoption is permitted. The Company does not expect the adoption of this standard to have a material impact on the Company’s consolidated financial statements.</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w:t>
      </w:r>
    </w:p>
    <w:p>
      <w:pPr>
        <w:spacing w:after="0" w:line="2"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2023-09 is effective for annual periods beginning after December 15, 2024. Early adoption is permitted. The Company is in the process of evaluating the impact of this new guidance on its disclosures.</w:t>
      </w:r>
    </w:p>
    <w:p>
      <w:pPr>
        <w:spacing w:after="0" w:line="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November 2024, the FASB issued ASU 2024-03—Income Statement—Reporting Comprehensive Income—Expense Disaggregation</w:t>
      </w:r>
    </w:p>
    <w:p>
      <w:pPr>
        <w:spacing w:after="0" w:line="27"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Disclosures (Subtopic 220-40): Disaggregation of Income Statement Expenses (ASU 2024-03),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in the process of evaluating the impact of this new guidance on its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DEL-AI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received in the second quarter of fiscal year 2024.</w:t>
      </w:r>
    </w:p>
    <w:p>
      <w:pPr>
        <w:spacing w:after="0" w:line="200" w:lineRule="exact"/>
        <w:rPr>
          <w:sz w:val="20"/>
          <w:szCs w:val="20"/>
          <w:color w:val="auto"/>
        </w:rPr>
      </w:pPr>
    </w:p>
    <w:p>
      <w:pPr>
        <w:spacing w:after="0" w:line="3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143" w:name="page144"/>
    <w:bookmarkEnd w:id="143"/>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94"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7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Upon signing the Gilead Agreement, Gilead paid the Company an upfront payment of $45.0 million plus $3.0 million in additional fees. In addition, from the signing of the Gilead Agreement to November 30, 2024, the Company has received payments of $47.0 million for research milestones and additional payments, $20.0 million for a license option exercise payment and $15.0 million in research term extension fees. As of November 30, 2024, the Company is eligible to receive up to approximately $1.8 billion in total additional payments, including payments of up to $513.5 million upon the achievement of specified research and development milestones, up to $60.0 million in certain additional fees related to target licensing and reservation and up to $1.2 billion upon the achievement of certain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spacing w:after="0" w:line="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w:t>
      </w:r>
    </w:p>
    <w:p>
      <w:pPr>
        <w:spacing w:after="0" w:line="7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200" w:lineRule="exact"/>
        <w:rPr>
          <w:sz w:val="20"/>
          <w:szCs w:val="20"/>
          <w:color w:val="auto"/>
        </w:rPr>
      </w:pPr>
    </w:p>
    <w:p>
      <w:pPr>
        <w:spacing w:after="0" w:line="3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44" w:name="page145"/>
    <w:bookmarkEnd w:id="144"/>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November 30, 2024.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w:t>
      </w:r>
    </w:p>
    <w:p>
      <w:pPr>
        <w:spacing w:after="0" w:line="7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Gilead Research Term Extension, which has a term of two years and did not represent a material right at the inception of the Gilead Agreement because it does not contain a significant and incremental discount, is accounted for as a separate contract commencing in June 2024. The research term extension fee of $15.0 million is recognized as collaboration revenue using the cost-based input method over the estimated extended research term of two years, which represents the estimated timing of completion of the identified deliverables. As of November 30, 2024, no milestones have been achieved related to the extended research term.</w:t>
      </w:r>
    </w:p>
    <w:p>
      <w:pPr>
        <w:spacing w:after="0" w:line="69"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 the year ended November 30, 2024, the Company recognized collaboration revenue related to the initial research term under the Gilead Agreement of $10.0 million, all of which was included in deferred revenue as of the beginning of the period. The Company also recognized collaboration revenue related to the Gilead Research Term Extension of $4.0 million, all of which was related to the $15.0 million research term extension fee received in the second quarter of fiscal year 2024. For the year ended November 30, 2023, the Company recognized collaboration revenue related to the Gilead Agreement of $29.9 million, of which $20.3 million was included in deferred revenue as of the beginning of the period, and $7.9 million was related to activities satisfied in previous periods. The Company also recognized $20.0 million in license revenue received pursuant to the Gilead License Option Exercise during the year ended November 30, 2023. For the year ended November 30, 2022, the Company recognized collaboration revenue related to the Gilead Agreement of $23.7 million, of which $18.4 million was included in deferred revenue as of the beginning of the period, and $4.0 million was related to activities satisfied in previous periods. As of November 30, 2024, deferred revenue related to the Gilead Agreement was $11.0 million, of which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million was current. As of November 30, 2023, deferred revenue related to the Gilead Agreement was $10.0 million, all of which was current.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DEL-AI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5" w:name="page146"/>
    <w:bookmarkEnd w:id="145"/>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a key drug target in type 2 inflammation, by two years (the Sixth Sanofi Amendment), which has increased overall forecasted costs and has an impact on revenue recognition.</w:t>
      </w:r>
    </w:p>
    <w:p>
      <w:pPr>
        <w:spacing w:after="0" w:line="7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its future internal programs, provided that the Company distinguished future programs as excluded from the scope of the collaboration.</w:t>
      </w:r>
    </w:p>
    <w:p>
      <w:pPr>
        <w:spacing w:after="0" w:line="7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9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November 30, 2024, the Company has received payments of $13.0 million for research milestones. As of November 30, 2024, the Company is eligible to receive up to approximately $1.9 billion in total additional payments, including payments of up to $389.0 million upon the achievement of specified research and development milestones, up to $61.8 million in certain additional fees related to target licensing and reservation, up to $500.0 million upon the achievement of specified regulatory milestones and up to $1.0 billion upon the achievement of certain sales milestones. The Company is also eligible to receive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79"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46" w:name="page147"/>
    <w:bookmarkEnd w:id="146"/>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9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November 30, 2024.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$13.0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was extended as part of the Sixth Sanofi Amendment and a cumulative effect was recorded in the second quarter of fiscal year 2024.</w:t>
      </w:r>
    </w:p>
    <w:p>
      <w:pPr>
        <w:spacing w:after="0" w:line="78"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7"/>
          <w:szCs w:val="17"/>
          <w:color w:val="auto"/>
        </w:rPr>
        <w:t>For the year ended November 30, 2024, the Company recognized collaboration revenue related to the Sanofi Agreement of $21.7 million, of which $20.2 million was included in deferred revenue as of the beginning of the period, and $1.1 million was related to activities satisfied in previous periods. For the year ended November 30, 2023, the Company recognized collaboration revenue related to the Sanofi Agreement of $25.4 million, of which $21.0 million was included in deferred revenue as of the beginning of the period, and $2.6 million was related to activities satisfied in previous periods. For the year ended November 30, 2022, the Company recognized collaboration revenue related to the Sanofi Agreement of $15.0 million, of which</w:t>
      </w:r>
    </w:p>
    <w:p>
      <w:pPr>
        <w:spacing w:after="0" w:line="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$14.0 million was included in deferred revenue as of the beginning of the period, and $0.6 million was related to activities satisfied in previous periods. As of November 30, 2024, deferred revenue related to the Sanofi Agreement was $9.1 million, all of which was current. As of November 30, 2023, deferred revenue related to the Sanofi Agreement was $24.9 million, of which $20.3 million was current, and included $4.0 million in contract assets representing the unbilled amount related to the research milestone achieved in November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440" w:firstLine="648"/>
        <w:spacing w:after="0" w:line="245" w:lineRule="auto"/>
        <w:rPr>
          <w:sz w:val="20"/>
          <w:szCs w:val="20"/>
          <w:color w:val="auto"/>
        </w:rPr>
      </w:pPr>
      <w:r>
        <w:rPr>
          <w:rFonts w:ascii="Times New Roman" w:cs="Times New Roman" w:eastAsia="Times New Roman" w:hAnsi="Times New Roman"/>
          <w:sz w:val="18"/>
          <w:szCs w:val="18"/>
          <w:color w:val="auto"/>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 antibody conjugates (DACs), a new class of medicines for use in cancer treatment, and advancing these DAC drug candidates through preclinical and clinical development and commercialization.</w:t>
      </w:r>
    </w:p>
    <w:p>
      <w:pPr>
        <w:spacing w:after="0" w:line="86" w:lineRule="exact"/>
        <w:rPr>
          <w:sz w:val="20"/>
          <w:szCs w:val="20"/>
          <w:color w:val="auto"/>
        </w:rPr>
      </w:pPr>
    </w:p>
    <w:p>
      <w:pPr>
        <w:jc w:val="both"/>
        <w:ind w:right="580" w:firstLine="648"/>
        <w:spacing w:after="0" w:line="250"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6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7" w:name="page148"/>
    <w:bookmarkEnd w:id="147"/>
    <w:p>
      <w:pPr>
        <w:ind w:firstLine="648"/>
        <w:spacing w:after="0" w:line="245" w:lineRule="auto"/>
        <w:rPr>
          <w:sz w:val="20"/>
          <w:szCs w:val="20"/>
          <w:color w:val="auto"/>
        </w:rPr>
      </w:pPr>
      <w:r>
        <w:rPr>
          <w:rFonts w:ascii="Times New Roman" w:cs="Times New Roman" w:eastAsia="Times New Roman" w:hAnsi="Times New Roman"/>
          <w:sz w:val="18"/>
          <w:szCs w:val="18"/>
          <w:color w:val="auto"/>
        </w:rPr>
        <w:t>Under the terms of the Pfizer Agreement, the Company received an upfront payment of $60.0 million. In addition, from the signing of the Pfizer Agreement to November 30, 2024, the Company has received a payment of $5.0 million in connection with the achievement of a research milestone in May 2024. Additionally, the Company achieved another research milestones in November 2024 and received a payment of $5.0 million in January 2025 as a result. The Company is eligible to receive up to approximately $3.4 billion in contingent payments across multiple programs, including payments of up to $626.0 million upon the achievement of specified research and development milestones, up to $19.5 million in certain additional fees related to target licensing and reservation, up to $873.0 million upon the achievement of specified regulatory milestones and up to $1.8 billion upon the achievement of certain sales milestones. The Company is also eligible for mid-single to low double digit percentage tiered royalties on future sales.</w:t>
      </w:r>
    </w:p>
    <w:p>
      <w:pPr>
        <w:spacing w:after="0" w:line="73"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6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The Company identified the following promises in the Pfizer Agreement: (1) the research licenses, (2) the research services, (3) the participation of a gatekeeper and an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spacing w:after="0" w:line="77"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November 30, 2024.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Subsequently, upon the achievement of research milestones in May 2024 and November 2024, $10.0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4 years, not to extend beyond 6 years ,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spacing w:after="0" w:line="9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For the year ended November 30, 2024, the Company recognized collaboration revenue related to the Pfizer Agreement of $18.8 million, of which $16.6 million was included in deferred revenue as of the beginning of the period and $0.3 million was related to activities satisfied in previous periods. For the year ended November 30, 2023, the Company recognized collaboration revenue related to the Pfizer Agreement of $1.7 million. As of November 30, 2024, deferred revenue related to the Pfizer Agreement was $44.5 million, of which $20.0 million was current, and included $5.0 million in contract assets representing the unbilled amount related to the research milestone achieved in November 2024. As of November 30, 2023, deferred revenue related to the Pfizer Agreement was $58.3 million, of which $17.9 million was current.</w:t>
      </w:r>
    </w:p>
    <w:p>
      <w:pPr>
        <w:spacing w:after="0" w:line="200" w:lineRule="exact"/>
        <w:rPr>
          <w:sz w:val="20"/>
          <w:szCs w:val="20"/>
          <w:color w:val="auto"/>
        </w:rPr>
      </w:pPr>
    </w:p>
    <w:p>
      <w:pPr>
        <w:spacing w:after="0" w:line="3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4. Consolidated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 progress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November 30, 2024, 2023 and 2022, depreciation and amortization expense was $9.3 million, $7.5 million and $5.3 million, respectively, which includes amortization expense related to capitalized software of $1.3 million, $1.4 million and $1.2 million, respectively. All long-lived assets are maintained in the United States.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contract research and lab supplies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37,994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440" w:firstLine="648"/>
        <w:spacing w:after="0" w:line="246"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Level 1—Inputs that reflect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3—Inputs that are unobservable.</w:t>
      </w:r>
    </w:p>
    <w:p>
      <w:pPr>
        <w:spacing w:after="0" w:line="104" w:lineRule="exact"/>
        <w:rPr>
          <w:sz w:val="20"/>
          <w:szCs w:val="20"/>
          <w:color w:val="auto"/>
        </w:rPr>
      </w:pPr>
    </w:p>
    <w:p>
      <w:pPr>
        <w:jc w:val="both"/>
        <w:ind w:right="380"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49" w:name="page150"/>
    <w:bookmarkEnd w:id="149"/>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Company’s investments, which consist of cash equivalents and available-for-sale marketable securities, that are measured at fair value on a recurring basis as of November 30, 2024 and 2023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04"/>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7"/>
                <w:szCs w:val="17"/>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470,740</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w:t>
            </w:r>
          </w:p>
        </w:tc>
      </w:tr>
      <w:tr>
        <w:trPr>
          <w:trHeight w:val="26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589,966</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499,436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499,586</w:t>
            </w:r>
          </w:p>
        </w:tc>
      </w:tr>
      <w:tr>
        <w:trPr>
          <w:trHeight w:val="664"/>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44,187</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161,023</w:t>
            </w:r>
          </w:p>
        </w:tc>
      </w:tr>
      <w:tr>
        <w:trPr>
          <w:trHeight w:val="27"/>
        </w:trPr>
        <w:tc>
          <w:tcPr>
            <w:tcW w:w="456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68,827</w:t>
            </w:r>
          </w:p>
        </w:tc>
      </w:tr>
      <w:tr>
        <w:trPr>
          <w:trHeight w:val="27"/>
        </w:trPr>
        <w:tc>
          <w:tcPr>
            <w:tcW w:w="45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r>
      <w:tr>
        <w:trPr>
          <w:trHeight w:val="27"/>
        </w:trPr>
        <w:tc>
          <w:tcPr>
            <w:tcW w:w="456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285,544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284,889</w:t>
            </w:r>
          </w:p>
        </w:tc>
      </w:tr>
      <w:tr>
        <w:trPr>
          <w:trHeight w:val="20"/>
        </w:trPr>
        <w:tc>
          <w:tcPr>
            <w:tcW w:w="45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44,187</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44,187</w:t>
            </w:r>
          </w:p>
        </w:tc>
      </w:tr>
      <w:tr>
        <w:trPr>
          <w:trHeight w:val="27"/>
        </w:trPr>
        <w:tc>
          <w:tcPr>
            <w:tcW w:w="45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233,281</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non-current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r>
    </w:tbl>
    <w:p>
      <w:pPr>
        <w:spacing w:after="0" w:line="21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available-for-sale marketable securities in an unrealized loss position for which an allowance for credit losses has not been recorded as of November 30, 2024 and 2023, aggregated by investment category and length of time in a continuous unrealized loss position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4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960" w:type="dxa"/>
            <w:vAlign w:val="bottom"/>
          </w:tcPr>
          <w:p>
            <w:pPr>
              <w:spacing w:after="0"/>
              <w:rPr>
                <w:sz w:val="16"/>
                <w:szCs w:val="16"/>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9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71"/>
        </w:trPr>
        <w:tc>
          <w:tcPr>
            <w:tcW w:w="3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80" w:type="dxa"/>
            <w:vAlign w:val="bottom"/>
          </w:tcPr>
          <w:p>
            <w:pPr>
              <w:spacing w:after="0"/>
              <w:rPr>
                <w:sz w:val="14"/>
                <w:szCs w:val="14"/>
                <w:color w:val="auto"/>
              </w:rPr>
            </w:pPr>
          </w:p>
        </w:tc>
        <w:tc>
          <w:tcPr>
            <w:tcW w:w="13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960" w:type="dxa"/>
            <w:vAlign w:val="bottom"/>
          </w:tcPr>
          <w:p>
            <w:pPr>
              <w:spacing w:after="0"/>
              <w:rPr>
                <w:sz w:val="14"/>
                <w:szCs w:val="14"/>
                <w:color w:val="auto"/>
              </w:rPr>
            </w:pPr>
          </w:p>
        </w:tc>
        <w:tc>
          <w:tcPr>
            <w:tcW w:w="14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Loss</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384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166,161</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166,161</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tcPr>
          <w:p>
            <w:pPr>
              <w:jc w:val="right"/>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tcPr>
          <w:p>
            <w:pPr>
              <w:jc w:val="right"/>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3"/>
                <w:szCs w:val="13"/>
                <w:color w:val="auto"/>
              </w:rPr>
            </w:pPr>
          </w:p>
        </w:tc>
      </w:tr>
      <w:tr>
        <w:trPr>
          <w:trHeight w:val="204"/>
        </w:trPr>
        <w:tc>
          <w:tcPr>
            <w:tcW w:w="2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7"/>
                <w:szCs w:val="17"/>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(609)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128,465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Borders>
              <w:top w:val="single" w:sz="8" w:color="auto"/>
              <w:bottom w:val="single" w:sz="8" w:color="auto"/>
            </w:tcBorders>
          </w:tcPr>
          <w:p>
            <w:pPr>
              <w:spacing w:after="0"/>
              <w:rPr>
                <w:sz w:val="22"/>
                <w:szCs w:val="22"/>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accrued interest receivable related to the Company’s marketable securities was $1.5 million and $0.8 million as of November 30, 2024 and 2023, respectively, and was included in prepaid expenses and other current assets on the consolidated balance sheet. Long-term marketable securities held by the Company generally mature within two years from the balance sheet date.</w:t>
      </w:r>
    </w:p>
    <w:p>
      <w:pPr>
        <w:spacing w:after="0" w:line="6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50" w:name="page151"/>
    <w:bookmarkEnd w:id="150"/>
    <w:p>
      <w:pPr>
        <w:ind w:right="160" w:firstLine="648"/>
        <w:spacing w:after="0" w:line="247" w:lineRule="auto"/>
        <w:rPr>
          <w:sz w:val="20"/>
          <w:szCs w:val="20"/>
          <w:color w:val="auto"/>
        </w:rPr>
      </w:pPr>
      <w:r>
        <w:rPr>
          <w:rFonts w:ascii="Times New Roman" w:cs="Times New Roman" w:eastAsia="Times New Roman" w:hAnsi="Times New Roman"/>
          <w:sz w:val="18"/>
          <w:szCs w:val="18"/>
          <w:color w:val="auto"/>
        </w:rPr>
        <w:t>The Company classifies its marketable securities in corporate debt securities and U.S. government agency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years ended November 30, 2024 and 2023.</w:t>
      </w:r>
    </w:p>
    <w:p>
      <w:pPr>
        <w:spacing w:after="0" w:line="7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As of November 30, 2024 and 2023, the unrealized losses for available-for-sale marketable securities were non-credit related, and the Company does not intend to sell the securities that were in an unrealized loss position, nor will it be required to sell those securities before recovery of their amortized cost basis, which may be maturity. As of November 30, 2024 and 2023, no allowance for credit losses for the Company’s marketable securities was recorded. During the years ended November 30, 2024, 2023 and 2022, the Company did not recognize any impairment losses related to marketable securities.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November 30, 2024, the Company was not a party to any material legal proceedings.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consolidated financial statements as management believes such liability is immaterial.</w:t>
      </w:r>
    </w:p>
    <w:p>
      <w:pPr>
        <w:spacing w:after="0" w:line="73" w:lineRule="exact"/>
        <w:rPr>
          <w:sz w:val="20"/>
          <w:szCs w:val="20"/>
          <w:color w:val="auto"/>
        </w:rPr>
      </w:pPr>
    </w:p>
    <w:p>
      <w:pPr>
        <w:ind w:right="340" w:firstLine="648"/>
        <w:spacing w:after="0" w:line="247"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leases office and laboratory facilities totaling approximately 57,902 square feet within the same building in San Francisco,</w:t>
      </w:r>
    </w:p>
    <w:p>
      <w:pPr>
        <w:spacing w:after="0" w:line="2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California under several lease agreements. The terms of these lease agreements expire in April 2025. The Company had an option to renew these leases for an additional two years, and the option expired. In September 2024, an amendment was signed to extend the lease term for these leases through October 2025, and the minimum rent payable by the Company pursuant to this amendment is approximately $0.4 million per month. The lease amendment did not have a material impact on the Company’s consolidated financial statements.</w:t>
      </w:r>
    </w:p>
    <w:p>
      <w:pPr>
        <w:spacing w:after="0" w:line="200" w:lineRule="exact"/>
        <w:rPr>
          <w:sz w:val="20"/>
          <w:szCs w:val="20"/>
          <w:color w:val="auto"/>
        </w:rPr>
      </w:pPr>
    </w:p>
    <w:p>
      <w:pPr>
        <w:spacing w:after="0" w:line="37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1" w:name="page152"/>
    <w:bookmarkEnd w:id="151"/>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the lease of approximately 19,320 square feet of office space in a different building in San Francisco, California (the Mission Bay Lease). The lease commenced in December 2021 and was scheduled to expire in June 2024. In March 2024, the Company entered into a second amendment (the Second Amendment) to the Mission Bay Lease, pursuant to which the lease term was extended through April 2025. The minimum rent payable by the Company under the Second Amendment is approximately $0.1 million per month. In September 2024, the Mission Bay Lease was further amended (the Third Amendment) to extend the lease term through October 2025, and the minimum rent payable by the Company under the Third Amendment is approximately $0.1 million per month. The lease amendments did not have a material impact on the Company’s consolidated financial statements.</w:t>
      </w:r>
    </w:p>
    <w:p>
      <w:pPr>
        <w:spacing w:after="0" w:line="7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 and will expire in March 2035.</w:t>
      </w:r>
    </w:p>
    <w:p>
      <w:pPr>
        <w:spacing w:after="0" w:line="69"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$7.0 million, $6.2 million and $4.4 million for the years ended November 30, 2024, 2023 and 2022, respectively.</w:t>
      </w:r>
    </w:p>
    <w:p>
      <w:pPr>
        <w:spacing w:after="0" w:line="61"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Operating lease expenses, excluding variable lease payments, were $9.0 million, $6.8 million and $5.9 million for the years ended November 30, 2024, 2023 and 2022, respectively. Short-term lease expense was not material for the periods presented. As of November 30, 2024, the weighted average remaining lease term was 8.5 years and the weighted average discount rate was 6.84%.</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were as follows (in thousands):</w:t>
      </w:r>
    </w:p>
    <w:p>
      <w:pPr>
        <w:spacing w:after="0" w:line="4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Year Ended 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41910</wp:posOffset>
            </wp:positionV>
            <wp:extent cx="29229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62" w:lineRule="exact"/>
        <w:rPr>
          <w:sz w:val="20"/>
          <w:szCs w:val="20"/>
          <w:color w:val="auto"/>
        </w:rPr>
      </w:pPr>
    </w:p>
    <w:p>
      <w:pPr>
        <w:ind w:left="7220"/>
        <w:spacing w:after="0"/>
        <w:tabs>
          <w:tab w:leader="none" w:pos="8780" w:val="left"/>
          <w:tab w:leader="none" w:pos="103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63" w:lineRule="exact"/>
        <w:rPr>
          <w:sz w:val="20"/>
          <w:szCs w:val="20"/>
          <w:color w:val="auto"/>
        </w:rPr>
      </w:pPr>
    </w:p>
    <w:p>
      <w:pPr>
        <w:ind w:left="260"/>
        <w:spacing w:after="0"/>
        <w:tabs>
          <w:tab w:leader="none" w:pos="6640" w:val="left"/>
          <w:tab w:leader="none" w:pos="7620" w:val="left"/>
          <w:tab w:leader="none" w:pos="8200" w:val="left"/>
          <w:tab w:leader="none" w:pos="9180" w:val="left"/>
          <w:tab w:leader="none" w:pos="9760" w:val="left"/>
          <w:tab w:leader="none" w:pos="10740" w:val="left"/>
        </w:tabs>
        <w:rPr>
          <w:sz w:val="20"/>
          <w:szCs w:val="20"/>
          <w:color w:val="auto"/>
        </w:rPr>
      </w:pPr>
      <w:r>
        <w:rPr>
          <w:rFonts w:ascii="Times New Roman" w:cs="Times New Roman" w:eastAsia="Times New Roman" w:hAnsi="Times New Roman"/>
          <w:sz w:val="18"/>
          <w:szCs w:val="18"/>
          <w:color w:val="auto"/>
        </w:rPr>
        <w:t>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8,320</w:t>
        <w:tab/>
        <w:t>$</w:t>
      </w:r>
      <w:r>
        <w:rPr>
          <w:sz w:val="20"/>
          <w:szCs w:val="20"/>
          <w:color w:val="auto"/>
        </w:rPr>
        <w:tab/>
      </w:r>
      <w:r>
        <w:rPr>
          <w:rFonts w:ascii="Times New Roman" w:cs="Times New Roman" w:eastAsia="Times New Roman" w:hAnsi="Times New Roman"/>
          <w:sz w:val="18"/>
          <w:szCs w:val="18"/>
          <w:color w:val="auto"/>
        </w:rPr>
        <w:t>6,973</w:t>
        <w:tab/>
        <w:t>$</w:t>
      </w:r>
      <w:r>
        <w:rPr>
          <w:sz w:val="20"/>
          <w:szCs w:val="20"/>
          <w:color w:val="auto"/>
        </w:rPr>
        <w:tab/>
      </w:r>
      <w:r>
        <w:rPr>
          <w:rFonts w:ascii="Times New Roman" w:cs="Times New Roman" w:eastAsia="Times New Roman" w:hAnsi="Times New Roman"/>
          <w:sz w:val="17"/>
          <w:szCs w:val="17"/>
          <w:color w:val="auto"/>
        </w:rPr>
        <w:t>6,578</w:t>
      </w:r>
    </w:p>
    <w:p>
      <w:pPr>
        <w:spacing w:after="0" w:line="23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lease agreements as of November 30, 2024 were as follows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204"/>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November 30,</w:t>
            </w:r>
          </w:p>
        </w:tc>
        <w:tc>
          <w:tcPr>
            <w:tcW w:w="260" w:type="dxa"/>
            <w:vAlign w:val="bottom"/>
          </w:tcPr>
          <w:p>
            <w:pPr>
              <w:spacing w:after="0"/>
              <w:rPr>
                <w:sz w:val="17"/>
                <w:szCs w:val="17"/>
                <w:color w:val="auto"/>
              </w:rPr>
            </w:pP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r>
      <w:tr>
        <w:trPr>
          <w:trHeight w:val="24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to 2035</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w:t>
            </w:r>
          </w:p>
        </w:tc>
      </w:tr>
      <w:tr>
        <w:trPr>
          <w:trHeight w:val="27"/>
        </w:trPr>
        <w:tc>
          <w:tcPr>
            <w:tcW w:w="9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38,450</w:t>
            </w:r>
          </w:p>
        </w:tc>
      </w:tr>
      <w:tr>
        <w:trPr>
          <w:trHeight w:val="24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w:t>
            </w:r>
          </w:p>
        </w:tc>
      </w:tr>
      <w:tr>
        <w:trPr>
          <w:trHeight w:val="27"/>
        </w:trPr>
        <w:tc>
          <w:tcPr>
            <w:tcW w:w="9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w:t>
            </w:r>
          </w:p>
        </w:tc>
      </w:tr>
      <w:tr>
        <w:trPr>
          <w:trHeight w:val="264"/>
        </w:trPr>
        <w:tc>
          <w:tcPr>
            <w:tcW w:w="9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28,303</w:t>
            </w: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500,000,000 shares of common stock, $0.001 par value per share, as of November 30, 2024 and 2023. Holders of common stock are entitled to dividends when and if declared by the Company’s board of directors, subject to the prior rights of the holders of shares of preferred stock. The holder of each share of common stock is entitled to one vote. As of November 30, 2024, no dividends have been declared.</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2" w:name="page153"/>
    <w:bookmarkEnd w:id="152"/>
    <w:p>
      <w:pPr>
        <w:ind w:firstLine="648"/>
        <w:spacing w:after="0" w:line="258" w:lineRule="auto"/>
        <w:rPr>
          <w:sz w:val="20"/>
          <w:szCs w:val="20"/>
          <w:color w:val="auto"/>
        </w:rPr>
      </w:pPr>
      <w:r>
        <w:rPr>
          <w:rFonts w:ascii="Times New Roman" w:cs="Times New Roman" w:eastAsia="Times New Roman" w:hAnsi="Times New Roman"/>
          <w:sz w:val="18"/>
          <w:szCs w:val="18"/>
          <w:color w:val="auto"/>
        </w:rPr>
        <w:t>In July 2022, the Company issued the 2022 Pre-Funded Warrants to purchase an aggregate of 6,814,920 shares of the Company’s common stock at a price of $13.939 per pre-funded warrant. As of November 30, 2024, a total of 6,097,560 of the 2022 Pre-Funded Warrants remained available for exercise.</w:t>
      </w:r>
    </w:p>
    <w:p>
      <w:pPr>
        <w:spacing w:after="0" w:line="6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April 2024, the Company issued the 2024 Pre-Funded Warrants to purchase an aggregate of 1,500,100 shares of the Company’s common stock at a price of $14.999 per pre-funded warrant. As of November 30, 2024, a total of 1,480,349 of the 2024 Pre-Funded Warrants remained available for exercise.</w:t>
      </w:r>
    </w:p>
    <w:p>
      <w:pPr>
        <w:spacing w:after="0" w:line="6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w:t>
      </w:r>
    </w:p>
    <w:p>
      <w:pPr>
        <w:spacing w:after="0" w:line="6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equity on the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basic and diluted, attributable to common stockholders because the shares may be issued for little or no consideration, are fully vested and are exercisable after the original issuance date of the pre-funded warrants.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reserved for future issuance, on an as-if converted basis, as of November 30, 2024 and 2023,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9,839,454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8,340,968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1,246,031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equity grants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1,614,035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1,740,988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1,530,281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7,577,909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6,097,560</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24,307,177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18,828,875</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(RSUs), performance awards and stock bonus awards to employees, directors, consultants, independent contractors and advisors of the Company.</w:t>
      </w:r>
    </w:p>
    <w:p>
      <w:pPr>
        <w:spacing w:after="0" w:line="61"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Under the Stock Plans, the Company generally grants stock-based awards with service-based vesting conditions only. Options granted typically vest under various different vesting terms over a four-year period and expire ten years from the date of grant.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 RSUs issued typically vest under various different vesting terms over a two- to four-year period.</w:t>
      </w:r>
    </w:p>
    <w:p>
      <w:pPr>
        <w:spacing w:after="0" w:line="7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Following the effectiveness of the 2020 Plan on July 22, 2020, the Company ceased making grants under the 2012 Plan. However, the 2012 Plan continues to govern the terms and conditions of the outstanding awards granted under it. Shares of common stock subject to awards granted under the 2012 Plan that cease to be subject to such awards by forfeiture or otherwise will be available for issuance under the 2020 Plan.</w:t>
      </w:r>
    </w:p>
    <w:p>
      <w:pPr>
        <w:spacing w:after="0" w:line="6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As of November 30, 2024, there were 3,192,811 shares of common stock reserved for future issuance pursuant to the 2020 Plan and the 2024 Inducement Plan (defined below).</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Inducement Plan</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October 2024, the Board adopted and approved the Company’s 2024 Equity Inducement Plan (the 2024 Inducement Plan), which became effective on October 23, 2024. In accordance with Rule 5635(c)(4) of the Nasdaq listing rules, equity awards under the 2024 Inducement Plan may only be made to an employee if he or she is granted such awards in connection with the commencement of his or her employment with the Company and such grant is a material inducement to his or her entering into employment with the Company.</w:t>
      </w:r>
    </w:p>
    <w:p>
      <w:pPr>
        <w:spacing w:after="0" w:line="6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reserved 3,000,000 shares of common stock for issuance pursuant to non-qualified stock options and RSUs under the 2024 Inducement Plan. As of November 30, 2024, no shares had been issued under the 2024 Inducement Plan.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Stock Plans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2"/>
        </w:trPr>
        <w:tc>
          <w:tcPr>
            <w:tcW w:w="50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5"/>
        </w:trPr>
        <w:tc>
          <w:tcPr>
            <w:tcW w:w="50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4"/>
                <w:szCs w:val="14"/>
                <w:color w:val="auto"/>
              </w:rPr>
            </w:pPr>
          </w:p>
        </w:tc>
        <w:tc>
          <w:tcPr>
            <w:tcW w:w="1280" w:type="dxa"/>
            <w:vAlign w:val="bottom"/>
          </w:tcPr>
          <w:p>
            <w:pPr>
              <w:jc w:val="center"/>
              <w:ind w:right="119"/>
              <w:spacing w:after="0" w:line="165" w:lineRule="exact"/>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18"/>
                <w:szCs w:val="18"/>
                <w:b w:val="1"/>
                <w:bCs w:val="1"/>
                <w:color w:val="auto"/>
                <w:w w:val="95"/>
                <w:vertAlign w:val="superscript"/>
              </w:rPr>
              <w:t>(1)</w:t>
            </w:r>
          </w:p>
        </w:tc>
      </w:tr>
      <w:tr>
        <w:trPr>
          <w:trHeight w:val="204"/>
        </w:trPr>
        <w:tc>
          <w:tcPr>
            <w:tcW w:w="50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8,340,968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2,840,341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9,839,454</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1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as of November 30,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9,839,454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80,434</w:t>
            </w: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November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6,085,527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47,556</w:t>
            </w:r>
          </w:p>
        </w:tc>
      </w:tr>
      <w:tr>
        <w:trPr>
          <w:trHeight w:val="27"/>
        </w:trPr>
        <w:tc>
          <w:tcPr>
            <w:tcW w:w="50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ind w:left="360" w:right="100" w:hanging="334"/>
        <w:spacing w:after="0" w:line="222" w:lineRule="exact"/>
        <w:tabs>
          <w:tab w:leader="none" w:pos="36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values were calculated as the pre-tax difference between the exercise price of stock options and the quoted market price of the Company’s common stock on November 30, 2024 for all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stock options. The total intrinsic value of stock options exercised during the years ended November 30, 2024, 2023 and 2022 was $5.6 million, $0.2 million and $4.5 million, respectively.</w:t>
      </w:r>
    </w:p>
    <w:p>
      <w:pPr>
        <w:spacing w:after="0" w:line="21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The fair value of options granted during the years ended November 30, 2024, 2023 and 2022 was estimated using the Black-Scholes option pricing model on the grant date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5600" w:type="dxa"/>
            <w:vAlign w:val="bottom"/>
          </w:tcPr>
          <w:p>
            <w:pPr>
              <w:spacing w:after="0"/>
              <w:rPr>
                <w:sz w:val="3"/>
                <w:szCs w:val="3"/>
                <w:color w:val="auto"/>
              </w:rPr>
            </w:pPr>
          </w:p>
        </w:tc>
        <w:tc>
          <w:tcPr>
            <w:tcW w:w="18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r>
      <w:tr>
        <w:trPr>
          <w:trHeight w:val="186"/>
        </w:trPr>
        <w:tc>
          <w:tcPr>
            <w:tcW w:w="5600" w:type="dxa"/>
            <w:vAlign w:val="bottom"/>
          </w:tcPr>
          <w:p>
            <w:pPr>
              <w:spacing w:after="0"/>
              <w:rPr>
                <w:sz w:val="16"/>
                <w:szCs w:val="16"/>
                <w:color w:val="auto"/>
              </w:rPr>
            </w:pPr>
          </w:p>
        </w:tc>
        <w:tc>
          <w:tcPr>
            <w:tcW w:w="180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2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2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6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- 6.13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- 6.07</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- 74%</w:t>
            </w: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- 4.43%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- 4.22%</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8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8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0%</w:t>
            </w:r>
          </w:p>
        </w:tc>
      </w:tr>
    </w:tbl>
    <w:p>
      <w:pPr>
        <w:spacing w:after="0" w:line="21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expected term represents the weighted-average period the stock-based payments are expected to remain outstanding. The expected term assumption for stock options was determined using the simplified method for “plain-vanilla” options. The expected stock price volatility assumption was determined using a blended volatility by examining the historical volatilities for industry peers and the volatility of the Company’s stock following the IPO. The risk-free rate assumption is based on the U.S. Treasury yield curve whose term is consistent with the expected term of the stock options. The expected dividend assumption is based on the Company’s history and expectation of dividend payouts. The expected dividend yield is 0% as the Company has not paid and does not anticipate paying dividends on its common stock.</w:t>
      </w:r>
    </w:p>
    <w:p>
      <w:pPr>
        <w:spacing w:after="0" w:line="7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November 30, 2024, 2023 and 2022, the weighted-average grant date fair value of options granted was $7.96, $7.22 and $11.80 per share, respectively.</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4" w:name="page155"/>
    <w:bookmarkEnd w:id="154"/>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activity under the Stock Plans is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818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1,698,305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RSUs 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 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November 30, 2024, 2023 and 2022, the weighted-average grant date fair value of RSUs granted was $11.18, $10.53 and $19.11 per share, respectively, and the total fair value of RSUs vested was $7.6 million, $7.9 million and $0.9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Under the Company’s ESPP, eligible employees are entitled to purchase shares of common stock at a discount with accumulated payroll deductions. The purchase price for shares of common stock purchased under the ESPP will be 85% of the lesser of the fair market value of the Company’s common stock on (i) the first trading day of the applicable offering period or (ii) the last trading day of each purchase period in the applicable offering period.</w:t>
      </w:r>
    </w:p>
    <w:p>
      <w:pPr>
        <w:spacing w:after="0" w:line="6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November 30, 2024, the Company issued 276,478 shares of common stock pursuant to the ESPP at a weighted-average price of $7.71 per share. As of November 30, 2024, there were 1,740,988 shares of common stock reserved for issuance pursuant to the ESPP.</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shares granted under the ESPP during the years ended November 30, 2024, 2023 and 2022 was estimated using the Black-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pricing model on the grant date using the following assumptions: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820" w:type="dxa"/>
            <w:vAlign w:val="bottom"/>
          </w:tcPr>
          <w:p>
            <w:pPr>
              <w:spacing w:after="0"/>
              <w:rPr>
                <w:sz w:val="16"/>
                <w:szCs w:val="16"/>
                <w:color w:val="auto"/>
              </w:rPr>
            </w:pPr>
          </w:p>
        </w:tc>
      </w:tr>
      <w:tr>
        <w:trPr>
          <w:trHeight w:val="37"/>
        </w:trPr>
        <w:tc>
          <w:tcPr>
            <w:tcW w:w="5600" w:type="dxa"/>
            <w:vAlign w:val="bottom"/>
          </w:tcPr>
          <w:p>
            <w:pPr>
              <w:spacing w:after="0"/>
              <w:rPr>
                <w:sz w:val="3"/>
                <w:szCs w:val="3"/>
                <w:color w:val="auto"/>
              </w:rPr>
            </w:pPr>
          </w:p>
        </w:tc>
        <w:tc>
          <w:tcPr>
            <w:tcW w:w="18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186"/>
        </w:trPr>
        <w:tc>
          <w:tcPr>
            <w:tcW w:w="560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6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 - 101%</w:t>
            </w: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- 5.31%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4.98% - 5.54%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0.67% - 3.12%</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the Stock Plans and the ESPP that is included in the consolidated statements of operations is as follows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17,763</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33,929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18"/>
          <w:szCs w:val="18"/>
          <w:color w:val="auto"/>
        </w:rPr>
        <w:t>During the years ended November 30, 2024, 2023 and 2022, capitalized stock-based compensation related to internal-use software development was $14,000, $74,000 and $69,000, respectively. As of November 30, 2024, the total compensation cost related to stock-based awards not yet recognized was $52.8 million, which is expected to be amortized on a straight-line basis over the weighted-average remaining vesting period of approximately 2.22 years.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Contribution Plan</w:t>
      </w:r>
    </w:p>
    <w:p>
      <w:pPr>
        <w:spacing w:after="0" w:line="121"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$0.9 million, $1.0 million and $0.9 million during the years ended November 30, 2024, 2023 and 2022, respectively.</w:t>
      </w:r>
    </w:p>
    <w:p>
      <w:pPr>
        <w:sectPr>
          <w:pgSz w:w="11900" w:h="16838" w:orient="portrait"/>
          <w:cols w:equalWidth="0" w:num="1">
            <w:col w:w="11240"/>
          </w:cols>
          <w:pgMar w:left="320" w:top="1145"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November 30, 2024, the Company recorded an income tax provision of $270,000. For the years ended November 30, 2023 and 2022, the Company did not record any current income tax expense or provision. The Company has generated net operating losses (NOLs) since inception and has established a valuation allowance against its deferred tax assets due to the uncertainty surrounding the realization of such assets.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before provision for income taxes includes the following component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62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(193,299)</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(143,948)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(193,299)</w:t>
            </w:r>
          </w:p>
        </w:tc>
        <w:tc>
          <w:tcPr>
            <w:tcW w:w="10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(143,948)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62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The effective tax rate differs from the federal statutory rate as follows:</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2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rate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gridSpan w:val="5"/>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deferred tax assets for federal and state income taxes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37,052</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Capitalized research and experimental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202,658</w:t>
            </w: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(193,717)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36"/>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Realization of the deferred tax assets is dependent upon future taxable income, the amount, if any, and timing of which are uncertain. The Company has established a valuation allowance to offset deferred tax assets as of November 30, 2024 and 2023 due to the uncertainty of realizing future tax benefits from its NOL carryforwards and other deferred tax assets. The valuation allowance increased by $33.3 million to $227.1 million during the year ended November 30, 2024, primarily related to an increase on the deferred tax asset for research and development (R&amp;D) credits, NOL carryforwards and Section 174 research and development capitalization. The valuation allowance increased by $55.4 million to $193.7 million during the year ended November 30, 2023, primarily related to an increase on the deferred tax asset for R&amp;D credits, NOL carryforwards and Section 174 research and development capitalization.</w:t>
      </w:r>
    </w:p>
    <w:p>
      <w:pPr>
        <w:spacing w:after="0" w:line="7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As of November 30, 2024, the Company had NOL carryforwards available to reduce future taxable income, if any, for federal and state income tax purposes of $263.9 million and $418.7 million, respectively. All outstanding federal NOL carryforwards were generated for tax years beginning after December 31, 2017, and carry forward indefinitely. State NOL carryforwards begin expiring in 2029. As of November 30, 2024, the Company had federal and state research credit carryforwards of $44.3 million and $25.9 million, respectively. If not utilized, the federal credit carryforwards will begin expiring in 2035 and the state credits carry forward indefinitely.</w:t>
      </w:r>
    </w:p>
    <w:p>
      <w:pPr>
        <w:spacing w:after="0" w:line="8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Section 382 of the Internal Revenue Code of 1986, as amended (IRC) places a limitation on the utilization of NOL and tax credit carryforwards in the event of certain cumulative changes in the ownership interest of significant stockholders over a three-year period in excess of 50 percentage points. The Company has identified ownership changes that have triggered a limitation on pre-change NOLs under Section 382. A majority of the Company’s pre-change NOLs remain available within the carryforward period provided by the IRC, subject to availability of taxable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Company has recorded a liability related to uncertain tax positions in the consolidated financial statements. The Company has unrecognized tax benefits of $21.9 million as of November 30, 2024, all of which are offset by a full valuation allowance. There are no tax benefits included in the balance of unrecognized tax benefits that, if recognized, would affect the effective tax rate. There are no interest and penalties accrued as of November 30, 2024.</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7" w:name="page158"/>
    <w:bookmarkEnd w:id="157"/>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income tax benefits during the years ended November 30, 2024, 2023 and 2022 is as follows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2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Years ended November 30,</w:t>
            </w:r>
          </w:p>
        </w:tc>
        <w:tc>
          <w:tcPr>
            <w:tcW w:w="114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15,508</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43"/>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based on tax positions related to current period</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80" w:firstLine="648"/>
        <w:spacing w:after="0" w:line="264" w:lineRule="auto"/>
        <w:rPr>
          <w:sz w:val="20"/>
          <w:szCs w:val="20"/>
          <w:color w:val="auto"/>
        </w:rPr>
      </w:pPr>
      <w:r>
        <w:rPr>
          <w:rFonts w:ascii="Times New Roman" w:cs="Times New Roman" w:eastAsia="Times New Roman" w:hAnsi="Times New Roman"/>
          <w:sz w:val="17"/>
          <w:szCs w:val="17"/>
          <w:color w:val="auto"/>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Pursuant to a measurement analysis, the Company has not recorded an unrecognized tax benefit related to the FTB’s sourcing position. The Company maintains an unrecognized tax benefit related to its California R&amp;D credits for all years. All of the Company’s tax years will remain open for examination by the federal and state authorities for three and four years, respectively, from the date of the utilization of any NOLs.</w:t>
      </w:r>
    </w:p>
    <w:p>
      <w:pPr>
        <w:spacing w:after="0" w:line="6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December 2017, the Tax Cuts and Jobs Act (TCJA) was signed into law, significantly reforming the IRC. The TCJA contains a provision impacting Section 174 of the IRC whereby for tax years beginning on or after January 1, 2022, taxpayers are required to capitalize and amortize, rather than deduct, research and experimental (R&amp;E) expenses. The R&amp;E expenses under Section 174 must be amortized over five years for research performed in the United States and 15 years for research performed outside the United States. This rule became effective for the Company during the year ended November 30, 2023. For the years ended November 30, 2024 and 2023, the Company recorded a deferred tax asset of $65.7 million and $44.3 million, respectively, pursuant to the provisions of Section 174 of the IRC.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November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(193,569)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(180,360)</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7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Weighted-average number of shares outstanding, basic and diluted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67,120,266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54,337,901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48,607,990</w:t>
            </w:r>
          </w:p>
        </w:tc>
      </w:tr>
      <w:tr>
        <w:trPr>
          <w:trHeight w:val="284"/>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60" w:right="540" w:hanging="334"/>
        <w:spacing w:after="0" w:line="229" w:lineRule="auto"/>
        <w:tabs>
          <w:tab w:leader="none" w:pos="36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shares underlying the pre-funded warrants to purchase shares of the Company’s common stock have been included in the calculation of the weighted-average number of shares outstanding, basic and diluted, for the years ended November 30, 2024, 2023 and 2022.</w:t>
      </w:r>
    </w:p>
    <w:p>
      <w:pPr>
        <w:spacing w:after="0" w:line="198"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the diluted net loss per share of common stock for the periods presented because their effect would have been anti-dilutive:</w:t>
      </w: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November 30,</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26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542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2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9,839,454</w:t>
            </w: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8,340,968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8,256,957</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early exercised subject to vesting</w:t>
            </w:r>
          </w:p>
        </w:tc>
        <w:tc>
          <w:tcPr>
            <w:tcW w:w="1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2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1,956,015</w:t>
            </w: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1,246,031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784,824</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71,541</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203,314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123,194</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11,867,010</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9,795,222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9,187,221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433"/>
              <w:spacing w:after="0"/>
              <w:rPr>
                <w:sz w:val="20"/>
                <w:szCs w:val="20"/>
                <w:color w:val="auto"/>
              </w:rPr>
            </w:pPr>
            <w:r>
              <w:rPr>
                <w:rFonts w:ascii="Times New Roman" w:cs="Times New Roman" w:eastAsia="Times New Roman" w:hAnsi="Times New Roman"/>
                <w:sz w:val="18"/>
                <w:szCs w:val="18"/>
                <w:color w:val="auto"/>
              </w:rPr>
              <w:t>156</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Company’s Chief Financial Officer is a trustee for the multiple employer welfare association that facilitates the acquisition and administration of the Company’s healthcare plans. Expenses related to the healthcare plan premiums were $4.3 million, $4.4 million and $4.0 million for the years ended November 30, 2024, 2023 and 2022, respectively. As of November 30, 2024 and 2023, the amount recorded in accounts payable and accrued expenses and other current liabilities in connection with this healthcare plan provider was not material.</w:t>
      </w:r>
    </w:p>
    <w:p>
      <w:pPr>
        <w:spacing w:after="0" w:line="200" w:lineRule="exact"/>
        <w:rPr>
          <w:sz w:val="20"/>
          <w:szCs w:val="20"/>
          <w:color w:val="auto"/>
        </w:rPr>
      </w:pPr>
    </w:p>
    <w:p>
      <w:pPr>
        <w:spacing w:after="0" w:line="36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right="60" w:firstLine="648"/>
        <w:spacing w:after="0" w:line="280" w:lineRule="auto"/>
        <w:rPr>
          <w:sz w:val="20"/>
          <w:szCs w:val="20"/>
          <w:color w:val="auto"/>
        </w:rPr>
      </w:pPr>
      <w:r>
        <w:rPr>
          <w:rFonts w:ascii="Times New Roman" w:cs="Times New Roman" w:eastAsia="Times New Roman" w:hAnsi="Times New Roman"/>
          <w:sz w:val="17"/>
          <w:szCs w:val="17"/>
          <w:color w:val="auto"/>
        </w:rPr>
        <w:t>Our management, with the participation of our President and Chief Executive Officer (CEO) and our Chief Financial Officer (CFO), our principal executive officer and principal accounting and financial officer, respectively, have evaluated the effectiveness of our disclosure controls and procedures (as defined in Rules 13a-15(e) and 15d-15(e) under the Securities Exchange Act of 1934, as amended (the Exchange Act) as of November 30, 2024.</w:t>
      </w:r>
    </w:p>
    <w:p>
      <w:pPr>
        <w:spacing w:after="0" w:line="4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or submitted under the Exchange Act is accumulated and communicated to management, including our CEO and our CFO, to allow timely decisions regarding required disclosure. Based on their evaluation, the CEO and CFO have concluded that our disclosure controls and procedures were effective as of November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safeguards into the process to reduce, though not eliminate, this risk.</w:t>
      </w:r>
    </w:p>
    <w:p>
      <w:pPr>
        <w:spacing w:after="0" w:line="71" w:lineRule="exact"/>
        <w:rPr>
          <w:sz w:val="20"/>
          <w:szCs w:val="20"/>
          <w:color w:val="auto"/>
        </w:rPr>
      </w:pPr>
    </w:p>
    <w:p>
      <w:pPr>
        <w:ind w:right="520" w:firstLine="648"/>
        <w:spacing w:after="0" w:line="250"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CEO and CFO, we conducted an evaluation of the effectiveness of our internal control over financial reporting as of November 30, 2024, based on the framework in “Internal Control — Integrated Framework” (2013) issued by the Committee of Sponsoring Organizations of the Treadway Commission. Based on this evaluation, our management concluded that our internal control over financial reporting was effective as of November 30, 2024.</w:t>
      </w:r>
    </w:p>
    <w:p>
      <w:pPr>
        <w:spacing w:after="0" w:line="69" w:lineRule="exact"/>
        <w:rPr>
          <w:sz w:val="20"/>
          <w:szCs w:val="20"/>
          <w:color w:val="auto"/>
        </w:rPr>
      </w:pPr>
    </w:p>
    <w:p>
      <w:pPr>
        <w:ind w:right="1740"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November 30, 2024 has been audited by PricewaterhouseCoopers LLP, an independent registered public accounting firm, as stated in their report which appears herein.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November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Director and Section 16 Officer Rule 10b5-1 Trading Arrangements</w:t>
      </w:r>
    </w:p>
    <w:p>
      <w:pPr>
        <w:spacing w:after="0" w:line="10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November 12, 2024, Hans van Houte, Chief Financial Officer of the Company, entered into a prearranged trading plan intended to satisfy the affirmative defense of Rule 10b5-1(c) under the Securities Exchange Act of 1934, as amended (van Houte Plan), providing for the potential sale of up to 162,877 shares of the Company’s common stock, including shares of common stock previously issued to Mr. van Houte pursuant to the exercise of option awards, shares of common stock issuable upon the exercise of option awards, and shares of common stock to be acquired upon the vesting and settlement of restricted stock units (RSUs) granted, each so long as the market price of the Company’s common stock is higher than certain minimum threshold prices specified in the van Houte Plan. A portion of the shares underlying the options are expected to be sold in the market to cover the exercise price and taxes associated with the exercise of the options. The remaining shares underlying the options will be sold in the open market at the times and prices specified in the van Houte Plan. The actual number of shares sold in connection with the vesting and settlement of RSUs will be net of shares mandatorily sold in the open market to cover tax withholding obligations. The first potential sale date under the van Houte Plan is March 3, 2025. The van Houte Plan expires on December 31, 2025, or upon the earlier completion of all authorized transactions thereunder.</w:t>
      </w:r>
    </w:p>
    <w:p>
      <w:pPr>
        <w:spacing w:after="0" w:line="9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No other director or Section 16 officer of the Company adopted or terminated a “Rule 10b5-1 trading arrangement” or “non-Rule 10b5-1 trading arrangement,” as each term is defined in Item 408(a) of Regulation S-K, during the quarter ended November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161" w:name="page162"/>
    <w:bookmarkEnd w:id="161"/>
    <w:p>
      <w:pPr>
        <w:ind w:left="55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definitive proxy statement for our 2025 Annual Meeting of Stockholders (Proxy Statement) to be filed with the Securities and Exchange Commission (SEC) within 120 days after the end of the fiscal year covered by this Annual Report on Form 10-K, and is incorporated herein by reference.</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119"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www.nurixtx.com.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Insider Trading Policies and Procedures</w:t>
      </w:r>
    </w:p>
    <w:p>
      <w:pPr>
        <w:spacing w:after="0" w:line="1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insider trading policies and procedures that govern the purchase, sale, and other dispositions of its securities by our directors, officers and employees, and the Company itself, that we believe are reasonably designed to promote compliance with insider trading laws, rules and regulations and the listing standards of Nasdaq. A copy of our Insider Trading Policy is filed with this Annual Report on Form 10-K as Exhibit 19.1.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00" w:lineRule="exact"/>
        <w:rPr>
          <w:sz w:val="20"/>
          <w:szCs w:val="20"/>
          <w:color w:val="auto"/>
        </w:rPr>
      </w:pPr>
    </w:p>
    <w:p>
      <w:pPr>
        <w:spacing w:after="0" w:line="3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62" w:name="page163"/>
    <w:bookmarkEnd w:id="162"/>
    <w:p>
      <w:pPr>
        <w:ind w:left="5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sz w:val="20"/>
          <w:szCs w:val="20"/>
          <w:color w:val="auto"/>
        </w:rPr>
      </w:pPr>
    </w:p>
    <w:p>
      <w:pPr>
        <w:ind w:left="1940" w:hanging="636"/>
        <w:spacing w:after="0"/>
        <w:tabs>
          <w:tab w:leader="none" w:pos="1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0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filed as part of this Annual Report on Form 10-K are listed in the “Index to Financial Statements” under Part II, Item 8 of this Annual Report on Form 10-K.</w:t>
      </w:r>
    </w:p>
    <w:p>
      <w:pPr>
        <w:spacing w:after="0" w:line="68"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0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Financial statement schedules have been omitted in this Annual Report on Form 10-K because they are not applicable, not required under the instructions, or the information requested is set forth in the financial statements or related notes thereto.</w:t>
      </w:r>
    </w:p>
    <w:p>
      <w:pPr>
        <w:spacing w:after="0" w:line="68" w:lineRule="exact"/>
        <w:rPr>
          <w:sz w:val="20"/>
          <w:szCs w:val="20"/>
          <w:color w:val="auto"/>
        </w:rPr>
      </w:pPr>
    </w:p>
    <w:p>
      <w:pPr>
        <w:ind w:left="1940" w:hanging="636"/>
        <w:spacing w:after="0"/>
        <w:tabs>
          <w:tab w:leader="none" w:pos="1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exhibits filed with this Annual Report on Form 10-K incorporated herein by reference (numbered in accordance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601 of Regulation S-K):</w:t>
      </w:r>
    </w:p>
    <w:p>
      <w:pPr>
        <w:spacing w:after="0" w:line="200" w:lineRule="exact"/>
        <w:rPr>
          <w:sz w:val="20"/>
          <w:szCs w:val="20"/>
          <w:color w:val="auto"/>
        </w:rPr>
      </w:pPr>
    </w:p>
    <w:p>
      <w:pPr>
        <w:spacing w:after="0" w:line="38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63" w:name="page164"/>
    <w:bookmarkEnd w:id="163"/>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21"/>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Restated Certificate of Incorporation</w:t>
              </w:r>
            </w:hyperlink>
          </w:p>
        </w:tc>
        <w:tc>
          <w:tcPr>
            <w:tcW w:w="1100" w:type="dxa"/>
            <w:vAlign w:val="bottom"/>
            <w:gridSpan w:val="17"/>
          </w:tcPr>
          <w:p>
            <w:pPr>
              <w:spacing w:after="0"/>
              <w:rPr>
                <w:sz w:val="20"/>
                <w:szCs w:val="20"/>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5"/>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and Restated Bylaws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5"/>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Common Stock Certificate</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5"/>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Description of Registrant’s Securities</w:t>
              </w:r>
            </w:hyperlink>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8"/>
              </w:rPr>
            </w:pPr>
            <w:hyperlink r:id="rId229">
              <w:r>
                <w:rPr>
                  <w:rFonts w:ascii="Times New Roman" w:cs="Times New Roman" w:eastAsia="Times New Roman" w:hAnsi="Times New Roman"/>
                  <w:sz w:val="18"/>
                  <w:szCs w:val="18"/>
                  <w:color w:val="0000FF"/>
                  <w:w w:val="98"/>
                </w:rPr>
                <w:t>Form of Pre-funded Warrant</w:t>
              </w:r>
            </w:hyperlink>
          </w:p>
        </w:tc>
        <w:tc>
          <w:tcPr>
            <w:tcW w:w="640" w:type="dxa"/>
            <w:vAlign w:val="bottom"/>
            <w:tcBorders>
              <w:top w:val="single" w:sz="8" w:color="0000FF"/>
            </w:tcBorders>
            <w:gridSpan w:val="4"/>
          </w:tcPr>
          <w:p>
            <w:pPr>
              <w:spacing w:after="0"/>
              <w:rPr>
                <w:sz w:val="24"/>
                <w:szCs w:val="24"/>
                <w:color w:val="auto"/>
              </w:rPr>
            </w:pPr>
          </w:p>
        </w:tc>
        <w:tc>
          <w:tcPr>
            <w:tcW w:w="1060" w:type="dxa"/>
            <w:vAlign w:val="bottom"/>
            <w:gridSpan w:val="16"/>
          </w:tcPr>
          <w:p>
            <w:pPr>
              <w:spacing w:after="0"/>
              <w:rPr>
                <w:sz w:val="24"/>
                <w:szCs w:val="24"/>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Form of Pre-funded Warrant</w:t>
              </w:r>
            </w:hyperlink>
          </w:p>
        </w:tc>
        <w:tc>
          <w:tcPr>
            <w:tcW w:w="1700" w:type="dxa"/>
            <w:vAlign w:val="bottom"/>
            <w:gridSpan w:val="20"/>
          </w:tcPr>
          <w:p>
            <w:pPr>
              <w:spacing w:after="0"/>
              <w:rPr>
                <w:sz w:val="24"/>
                <w:szCs w:val="24"/>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5"/>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Indemnity Agreement</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2012 Equity Incentive Plan, as amended, and forms</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5"/>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of award agreements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2020 Equity Incentive Plan and forms of award</w:t>
              </w:r>
            </w:hyperlink>
          </w:p>
        </w:tc>
        <w:tc>
          <w:tcPr>
            <w:tcW w:w="32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5"/>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agreements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2020 Employee Stock Purchase Plan and forms of</w:t>
              </w:r>
            </w:hyperlink>
          </w:p>
        </w:tc>
        <w:tc>
          <w:tcPr>
            <w:tcW w:w="12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award agreements</w:t>
              </w:r>
            </w:hyperlink>
          </w:p>
        </w:tc>
        <w:tc>
          <w:tcPr>
            <w:tcW w:w="2440" w:type="dxa"/>
            <w:vAlign w:val="bottom"/>
            <w:gridSpan w:val="22"/>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2024 Equity Inducement Plan and forms of award</w:t>
              </w:r>
            </w:hyperlink>
          </w:p>
        </w:tc>
        <w:tc>
          <w:tcPr>
            <w:tcW w:w="14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5"/>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agreements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and between the Registrant and Arthur T. Sands</w:t>
              </w:r>
            </w:hyperlink>
          </w:p>
        </w:tc>
        <w:tc>
          <w:tcPr>
            <w:tcW w:w="300" w:type="dxa"/>
            <w:vAlign w:val="bottom"/>
            <w:gridSpan w:val="7"/>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Letter Agreement, dated June 15, 2020, by and</w:t>
              </w:r>
            </w:hyperlink>
          </w:p>
        </w:tc>
        <w:tc>
          <w:tcPr>
            <w:tcW w:w="360" w:type="dxa"/>
            <w:vAlign w:val="bottom"/>
            <w:gridSpan w:val="10"/>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5"/>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between the Registrant and Arthur T. Sands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80" w:type="dxa"/>
            <w:vAlign w:val="bottom"/>
            <w:gridSpan w:val="9"/>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and between the Registrant and Gwenn Hansen</w:t>
              </w:r>
            </w:hyperlink>
          </w:p>
        </w:tc>
        <w:tc>
          <w:tcPr>
            <w:tcW w:w="340" w:type="dxa"/>
            <w:vAlign w:val="bottom"/>
            <w:gridSpan w:val="9"/>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5"/>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and between the Registrant and Christine Ring</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80" w:type="dxa"/>
            <w:vAlign w:val="bottom"/>
            <w:gridSpan w:val="9"/>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Employment Agreement, dated July 15, 2020, by</w:t>
              </w:r>
            </w:hyperlink>
          </w:p>
        </w:tc>
        <w:tc>
          <w:tcPr>
            <w:tcW w:w="20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and between the Registrant and Hans van Houte</w:t>
              </w:r>
            </w:hyperlink>
          </w:p>
        </w:tc>
        <w:tc>
          <w:tcPr>
            <w:tcW w:w="280" w:type="dxa"/>
            <w:vAlign w:val="bottom"/>
            <w:gridSpan w:val="6"/>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Executive Severance and Change in Control Plan,</w:t>
              </w:r>
            </w:hyperlink>
          </w:p>
        </w:tc>
        <w:tc>
          <w:tcPr>
            <w:tcW w:w="16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as amended and restated on January 19, 2022, and</w:t>
              </w:r>
            </w:hyperlink>
          </w:p>
        </w:tc>
        <w:tc>
          <w:tcPr>
            <w:tcW w:w="14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form of Participation Agreement thereunder</w:t>
              </w:r>
            </w:hyperlink>
          </w:p>
        </w:tc>
        <w:tc>
          <w:tcPr>
            <w:tcW w:w="580" w:type="dxa"/>
            <w:vAlign w:val="bottom"/>
            <w:gridSpan w:val="13"/>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Lease Agreement, dated as of March 24, 2014,</w:t>
              </w:r>
            </w:hyperlink>
          </w:p>
        </w:tc>
        <w:tc>
          <w:tcPr>
            <w:tcW w:w="380" w:type="dxa"/>
            <w:vAlign w:val="bottom"/>
            <w:gridSpan w:val="11"/>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between ARE-San Francisco No. 26, LLC and the</w:t>
              </w:r>
            </w:hyperlink>
          </w:p>
        </w:tc>
        <w:tc>
          <w:tcPr>
            <w:tcW w:w="12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5"/>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Registrant</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8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First Amendment to Lease Agreement, dated as of</w:t>
              </w:r>
            </w:hyperlink>
          </w:p>
        </w:tc>
        <w:tc>
          <w:tcPr>
            <w:tcW w:w="12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25"/>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October 3, 2014, by and between ARE-San</w:t>
              </w:r>
            </w:hyperlink>
          </w:p>
        </w:tc>
      </w:tr>
      <w:tr>
        <w:trPr>
          <w:trHeight w:val="196"/>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Francisco No. 26, LLC and the Registrant</w:t>
              </w:r>
            </w:hyperlink>
          </w:p>
        </w:tc>
        <w:tc>
          <w:tcPr>
            <w:tcW w:w="620" w:type="dxa"/>
            <w:vAlign w:val="bottom"/>
            <w:gridSpan w:val="1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40" w:type="dxa"/>
            <w:vAlign w:val="bottom"/>
          </w:tcPr>
          <w:p>
            <w:pPr>
              <w:spacing w:after="0"/>
              <w:rPr>
                <w:sz w:val="16"/>
                <w:szCs w:val="16"/>
                <w:color w:val="auto"/>
              </w:rPr>
            </w:pPr>
          </w:p>
        </w:tc>
      </w:tr>
      <w:tr>
        <w:trPr>
          <w:trHeight w:val="419"/>
        </w:trPr>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77"/>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October 14, 2020</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8, 2022</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April 12, 2024</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324"/>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333-282917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October 31, 2024</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July 20, 2020</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February 16, 2021</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540"/>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75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756"/>
        </w:trPr>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333-239651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July 2,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Filed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Furnished</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24130</wp:posOffset>
            </wp:positionV>
            <wp:extent cx="6515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ectPr>
          <w:pgSz w:w="11900" w:h="16838" w:orient="portrait"/>
          <w:cols w:equalWidth="0" w:num="3">
            <w:col w:w="4980" w:space="100"/>
            <w:col w:w="5040" w:space="280"/>
            <w:col w:w="620"/>
          </w:cols>
          <w:pgMar w:left="320" w:top="1035" w:right="55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6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Second Amendment to Lease Agreement, dated as</w:t>
              </w:r>
            </w:hyperlink>
          </w:p>
        </w:tc>
        <w:tc>
          <w:tcPr>
            <w:tcW w:w="8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5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of November 8, 2017, by and between ARE-San</w:t>
              </w:r>
            </w:hyperlink>
          </w:p>
        </w:tc>
        <w:tc>
          <w:tcPr>
            <w:tcW w:w="220" w:type="dxa"/>
            <w:vAlign w:val="bottom"/>
            <w:gridSpan w:val="9"/>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0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Francisco No. 26, LLC and the Registrant</w:t>
              </w:r>
            </w:hyperlink>
          </w:p>
        </w:tc>
        <w:tc>
          <w:tcPr>
            <w:tcW w:w="700" w:type="dxa"/>
            <w:vAlign w:val="bottom"/>
            <w:gridSpan w:val="18"/>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720" w:type="dxa"/>
            <w:vAlign w:val="bottom"/>
            <w:gridSpan w:val="24"/>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Third Amendment to Lease Agreement, dated</w:t>
              </w:r>
            </w:hyperlink>
          </w:p>
        </w:tc>
      </w:tr>
      <w:tr>
        <w:trPr>
          <w:trHeight w:val="196"/>
        </w:trPr>
        <w:tc>
          <w:tcPr>
            <w:tcW w:w="1220" w:type="dxa"/>
            <w:vAlign w:val="bottom"/>
          </w:tcPr>
          <w:p>
            <w:pPr>
              <w:spacing w:after="0"/>
              <w:rPr>
                <w:sz w:val="17"/>
                <w:szCs w:val="17"/>
                <w:color w:val="auto"/>
              </w:rPr>
            </w:pPr>
          </w:p>
        </w:tc>
        <w:tc>
          <w:tcPr>
            <w:tcW w:w="330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March 2, 2021, by and between ARE-San</w:t>
              </w:r>
            </w:hyperlink>
          </w:p>
        </w:tc>
        <w:tc>
          <w:tcPr>
            <w:tcW w:w="420" w:type="dxa"/>
            <w:vAlign w:val="bottom"/>
            <w:gridSpan w:val="13"/>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Francisco No. 26 Owner, LLC and the Registrant</w:t>
              </w:r>
            </w:hyperlink>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40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Fourth Amendment to Lease Agreement, dated</w:t>
              </w:r>
            </w:hyperlink>
          </w:p>
        </w:tc>
        <w:tc>
          <w:tcPr>
            <w:tcW w:w="140" w:type="dxa"/>
            <w:vAlign w:val="bottom"/>
            <w:tcBorders>
              <w:top w:val="single" w:sz="8" w:color="0000FF"/>
            </w:tcBorders>
            <w:gridSpan w:val="4"/>
          </w:tcPr>
          <w:p>
            <w:pPr>
              <w:spacing w:after="0"/>
              <w:rPr>
                <w:sz w:val="24"/>
                <w:szCs w:val="24"/>
                <w:color w:val="auto"/>
              </w:rPr>
            </w:pPr>
          </w:p>
        </w:tc>
        <w:tc>
          <w:tcPr>
            <w:tcW w:w="180" w:type="dxa"/>
            <w:vAlign w:val="bottom"/>
            <w:gridSpan w:val="7"/>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April 30, 2021, by and between ARE-San</w:t>
              </w:r>
            </w:hyperlink>
          </w:p>
        </w:tc>
      </w:tr>
      <w:tr>
        <w:trPr>
          <w:trHeight w:val="20"/>
        </w:trPr>
        <w:tc>
          <w:tcPr>
            <w:tcW w:w="1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Francisco No. 26 Owner, LLC and the Registrant</w:t>
              </w:r>
            </w:hyperlink>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26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Fifth Amendment to Lease Agreement, dated</w:t>
              </w:r>
            </w:hyperlink>
          </w:p>
        </w:tc>
        <w:tc>
          <w:tcPr>
            <w:tcW w:w="280" w:type="dxa"/>
            <w:vAlign w:val="bottom"/>
            <w:tcBorders>
              <w:top w:val="single" w:sz="8" w:color="0000FF"/>
            </w:tcBorders>
            <w:gridSpan w:val="7"/>
          </w:tcPr>
          <w:p>
            <w:pPr>
              <w:spacing w:after="0"/>
              <w:rPr>
                <w:sz w:val="24"/>
                <w:szCs w:val="24"/>
                <w:color w:val="auto"/>
              </w:rPr>
            </w:pPr>
          </w:p>
        </w:tc>
        <w:tc>
          <w:tcPr>
            <w:tcW w:w="180" w:type="dxa"/>
            <w:vAlign w:val="bottom"/>
            <w:gridSpan w:val="7"/>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4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September 13, 2024, by and between ARE-San</w:t>
              </w:r>
            </w:hyperlink>
          </w:p>
        </w:tc>
        <w:tc>
          <w:tcPr>
            <w:tcW w:w="320" w:type="dxa"/>
            <w:vAlign w:val="bottom"/>
            <w:gridSpan w:val="11"/>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Francisco No. 26 Owner, LLC and the Registrant</w:t>
              </w:r>
            </w:hyperlink>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54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Lease Agreement, dated as of June 21, 2021,</w:t>
              </w:r>
            </w:hyperlink>
          </w:p>
        </w:tc>
        <w:tc>
          <w:tcPr>
            <w:tcW w:w="180" w:type="dxa"/>
            <w:vAlign w:val="bottom"/>
            <w:gridSpan w:val="7"/>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between ARE-San Francisco No. 19 LLC and the</w:t>
              </w:r>
            </w:hyperlink>
          </w:p>
        </w:tc>
      </w:tr>
      <w:tr>
        <w:trPr>
          <w:trHeight w:val="196"/>
        </w:trPr>
        <w:tc>
          <w:tcPr>
            <w:tcW w:w="1220" w:type="dxa"/>
            <w:vAlign w:val="bottom"/>
          </w:tcPr>
          <w:p>
            <w:pPr>
              <w:spacing w:after="0"/>
              <w:rPr>
                <w:sz w:val="17"/>
                <w:szCs w:val="17"/>
                <w:color w:val="auto"/>
              </w:rPr>
            </w:pPr>
          </w:p>
        </w:tc>
        <w:tc>
          <w:tcPr>
            <w:tcW w:w="35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Registrant</w:t>
              </w:r>
            </w:hyperlink>
          </w:p>
        </w:tc>
        <w:tc>
          <w:tcPr>
            <w:tcW w:w="160" w:type="dxa"/>
            <w:vAlign w:val="bottom"/>
            <w:gridSpan w:val="6"/>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6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First Amendment to Lease Agreement, dated June</w:t>
              </w:r>
            </w:hyperlink>
          </w:p>
        </w:tc>
        <w:tc>
          <w:tcPr>
            <w:tcW w:w="10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6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28, 2023, by and between ARE-San Francisco No.</w:t>
              </w:r>
            </w:hyperlink>
          </w:p>
        </w:tc>
        <w:tc>
          <w:tcPr>
            <w:tcW w:w="8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5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19 Owner, LLC and the Registrant</w:t>
              </w:r>
            </w:hyperlink>
          </w:p>
        </w:tc>
        <w:tc>
          <w:tcPr>
            <w:tcW w:w="1220" w:type="dxa"/>
            <w:vAlign w:val="bottom"/>
            <w:gridSpan w:val="21"/>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4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Second Amendment to Lease Agreement, dated</w:t>
              </w:r>
            </w:hyperlink>
          </w:p>
        </w:tc>
        <w:tc>
          <w:tcPr>
            <w:tcW w:w="280" w:type="dxa"/>
            <w:vAlign w:val="bottom"/>
            <w:gridSpan w:val="10"/>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1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March 25, 2024, by and between ARE-San</w:t>
              </w:r>
            </w:hyperlink>
          </w:p>
        </w:tc>
        <w:tc>
          <w:tcPr>
            <w:tcW w:w="620" w:type="dxa"/>
            <w:vAlign w:val="bottom"/>
            <w:gridSpan w:val="17"/>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Francisco No. 19 Owner, LLC and the Registrant</w:t>
              </w:r>
            </w:hyperlink>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54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Third Amendment to Lease Agreement, dated</w:t>
              </w:r>
            </w:hyperlink>
          </w:p>
        </w:tc>
        <w:tc>
          <w:tcPr>
            <w:tcW w:w="180" w:type="dxa"/>
            <w:vAlign w:val="bottom"/>
            <w:gridSpan w:val="7"/>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4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September 13, 2024, by and between ARE-San</w:t>
              </w:r>
            </w:hyperlink>
          </w:p>
        </w:tc>
        <w:tc>
          <w:tcPr>
            <w:tcW w:w="320" w:type="dxa"/>
            <w:vAlign w:val="bottom"/>
            <w:gridSpan w:val="11"/>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Francisco No. 19 Owner, LLC and the Registrant</w:t>
              </w:r>
            </w:hyperlink>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330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Lease Agreement, dated as of March 1, 2022,</w:t>
              </w:r>
            </w:hyperlink>
          </w:p>
        </w:tc>
        <w:tc>
          <w:tcPr>
            <w:tcW w:w="240" w:type="dxa"/>
            <w:vAlign w:val="bottom"/>
            <w:tcBorders>
              <w:top w:val="single" w:sz="8" w:color="0000FF"/>
            </w:tcBorders>
            <w:gridSpan w:val="6"/>
          </w:tcPr>
          <w:p>
            <w:pPr>
              <w:spacing w:after="0"/>
              <w:rPr>
                <w:sz w:val="24"/>
                <w:szCs w:val="24"/>
                <w:color w:val="auto"/>
              </w:rPr>
            </w:pPr>
          </w:p>
        </w:tc>
        <w:tc>
          <w:tcPr>
            <w:tcW w:w="180" w:type="dxa"/>
            <w:vAlign w:val="bottom"/>
            <w:gridSpan w:val="7"/>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6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between 8800 Technology Forest Pl, LLC and the</w:t>
              </w:r>
            </w:hyperlink>
          </w:p>
        </w:tc>
        <w:tc>
          <w:tcPr>
            <w:tcW w:w="120" w:type="dxa"/>
            <w:vAlign w:val="bottom"/>
            <w:gridSpan w:val="4"/>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Registrant</w:t>
              </w:r>
            </w:hyperlink>
          </w:p>
        </w:tc>
      </w:tr>
      <w:tr>
        <w:trPr>
          <w:trHeight w:val="20"/>
        </w:trPr>
        <w:tc>
          <w:tcPr>
            <w:tcW w:w="1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32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First Amendment to Lease Agreement, dated</w:t>
              </w:r>
            </w:hyperlink>
          </w:p>
        </w:tc>
        <w:tc>
          <w:tcPr>
            <w:tcW w:w="480" w:type="dxa"/>
            <w:vAlign w:val="bottom"/>
            <w:gridSpan w:val="1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7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August 25, 2023, by and between 8800 Technology</w:t>
              </w:r>
            </w:hyperlink>
          </w:p>
        </w:tc>
      </w:tr>
      <w:tr>
        <w:trPr>
          <w:trHeight w:val="196"/>
        </w:trPr>
        <w:tc>
          <w:tcPr>
            <w:tcW w:w="122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Forest PL, LLC and the Registrant</w:t>
              </w:r>
            </w:hyperlink>
          </w:p>
        </w:tc>
      </w:tr>
      <w:tr>
        <w:trPr>
          <w:trHeight w:val="20"/>
        </w:trPr>
        <w:tc>
          <w:tcPr>
            <w:tcW w:w="12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33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Collaboration, Option and License Agreement,</w:t>
              </w:r>
            </w:hyperlink>
          </w:p>
        </w:tc>
        <w:tc>
          <w:tcPr>
            <w:tcW w:w="340" w:type="dxa"/>
            <w:vAlign w:val="bottom"/>
            <w:gridSpan w:val="12"/>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7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dated June 10, 2019, by and between the Registrant</w:t>
              </w:r>
            </w:hyperlink>
          </w:p>
        </w:tc>
      </w:tr>
      <w:tr>
        <w:trPr>
          <w:trHeight w:val="196"/>
        </w:trPr>
        <w:tc>
          <w:tcPr>
            <w:tcW w:w="1220" w:type="dxa"/>
            <w:vAlign w:val="bottom"/>
          </w:tcPr>
          <w:p>
            <w:pPr>
              <w:spacing w:after="0"/>
              <w:rPr>
                <w:sz w:val="17"/>
                <w:szCs w:val="17"/>
                <w:color w:val="auto"/>
              </w:rPr>
            </w:pPr>
          </w:p>
        </w:tc>
        <w:tc>
          <w:tcPr>
            <w:tcW w:w="27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and Gilead Sciences, Inc., as amended</w:t>
              </w:r>
            </w:hyperlink>
          </w:p>
        </w:tc>
        <w:tc>
          <w:tcPr>
            <w:tcW w:w="960" w:type="dxa"/>
            <w:vAlign w:val="bottom"/>
            <w:gridSpan w:val="2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33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First Amendment to Collaboration, Option and</w:t>
              </w:r>
            </w:hyperlink>
          </w:p>
        </w:tc>
        <w:tc>
          <w:tcPr>
            <w:tcW w:w="340" w:type="dxa"/>
            <w:vAlign w:val="bottom"/>
            <w:gridSpan w:val="12"/>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7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License Agreement, dated August 13, 2019, by and</w:t>
              </w:r>
            </w:hyperlink>
          </w:p>
        </w:tc>
        <w:tc>
          <w:tcPr>
            <w:tcW w:w="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5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between the Registrant and Gilead Sciences, Inc.</w:t>
              </w:r>
            </w:hyperlink>
          </w:p>
        </w:tc>
        <w:tc>
          <w:tcPr>
            <w:tcW w:w="200" w:type="dxa"/>
            <w:vAlign w:val="bottom"/>
            <w:gridSpan w:val="8"/>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35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Second Amendment to Collaboration, Option and</w:t>
              </w:r>
            </w:hyperlink>
          </w:p>
        </w:tc>
        <w:tc>
          <w:tcPr>
            <w:tcW w:w="140" w:type="dxa"/>
            <w:vAlign w:val="bottom"/>
            <w:gridSpan w:val="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35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License Agreement, dated September 9, 2022, by</w:t>
              </w:r>
            </w:hyperlink>
          </w:p>
        </w:tc>
        <w:tc>
          <w:tcPr>
            <w:tcW w:w="160" w:type="dxa"/>
            <w:vAlign w:val="bottom"/>
            <w:gridSpan w:val="6"/>
          </w:tcPr>
          <w:p>
            <w:pPr>
              <w:spacing w:after="0"/>
              <w:rPr>
                <w:sz w:val="17"/>
                <w:szCs w:val="17"/>
                <w:color w:val="auto"/>
              </w:rPr>
            </w:pPr>
          </w:p>
        </w:tc>
      </w:tr>
    </w:tbl>
    <w:p>
      <w:pPr>
        <w:spacing w:after="0" w:line="9" w:lineRule="exact"/>
        <w:rPr>
          <w:sz w:val="20"/>
          <w:szCs w:val="20"/>
          <w:color w:val="auto"/>
        </w:rPr>
      </w:pPr>
    </w:p>
    <w:p>
      <w:pPr>
        <w:ind w:left="1220" w:right="220"/>
        <w:spacing w:after="0" w:line="282" w:lineRule="auto"/>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and between the Registrant and Gilead Sciences,</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Inc.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333-239651</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October 14, 2021</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October 12, 2023</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April 10, 2024</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October 11, 2024</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April 8, 2022</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October 12, 2023</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333-239651</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756"/>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15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October 6,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40" w:space="360"/>
            <w:col w:w="4819"/>
          </w:cols>
          <w:pgMar w:left="340" w:top="972"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900" w:type="dxa"/>
            <w:vAlign w:val="bottom"/>
            <w:gridSpan w:val="28"/>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Collaboration and License Agreement, dated</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333-239651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July 2, 2020</w:t>
            </w:r>
          </w:p>
        </w:tc>
      </w:tr>
      <w:tr>
        <w:trPr>
          <w:trHeight w:val="20"/>
        </w:trPr>
        <w:tc>
          <w:tcPr>
            <w:tcW w:w="1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December 19, 2019, by and between the Registrant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68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and Genzyme Corporation</w:t>
              </w:r>
            </w:hyperlink>
          </w:p>
        </w:tc>
        <w:tc>
          <w:tcPr>
            <w:tcW w:w="22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34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First Amendment to Collaboration and License</w:t>
              </w:r>
            </w:hyperlink>
          </w:p>
        </w:tc>
        <w:tc>
          <w:tcPr>
            <w:tcW w:w="500" w:type="dxa"/>
            <w:vAlign w:val="bottom"/>
            <w:gridSpan w:val="11"/>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February 16, 2021</w:t>
            </w:r>
          </w:p>
        </w:tc>
      </w:tr>
      <w:tr>
        <w:trPr>
          <w:trHeight w:val="196"/>
        </w:trPr>
        <w:tc>
          <w:tcPr>
            <w:tcW w:w="12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Agreement, dated January 6, 2021, by and between</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the Registrant and Genzyme Corporation</w:t>
              </w:r>
            </w:hyperlink>
          </w:p>
        </w:tc>
        <w:tc>
          <w:tcPr>
            <w:tcW w:w="720" w:type="dxa"/>
            <w:vAlign w:val="bottom"/>
            <w:tcBorders>
              <w:top w:val="single" w:sz="8" w:color="0000FF"/>
            </w:tcBorders>
            <w:gridSpan w:val="15"/>
          </w:tcPr>
          <w:p>
            <w:pPr>
              <w:spacing w:after="0"/>
              <w:rPr>
                <w:sz w:val="17"/>
                <w:szCs w:val="17"/>
                <w:color w:val="auto"/>
              </w:rPr>
            </w:pPr>
          </w:p>
        </w:tc>
        <w:tc>
          <w:tcPr>
            <w:tcW w:w="22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3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Second Amendment to Collaboration and License</w:t>
              </w:r>
            </w:hyperlink>
          </w:p>
        </w:tc>
        <w:tc>
          <w:tcPr>
            <w:tcW w:w="300" w:type="dxa"/>
            <w:vAlign w:val="bottom"/>
            <w:gridSpan w:val="5"/>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196"/>
        </w:trPr>
        <w:tc>
          <w:tcPr>
            <w:tcW w:w="1220" w:type="dxa"/>
            <w:vAlign w:val="bottom"/>
          </w:tcPr>
          <w:p>
            <w:pPr>
              <w:spacing w:after="0"/>
              <w:rPr>
                <w:sz w:val="17"/>
                <w:szCs w:val="17"/>
                <w:color w:val="auto"/>
              </w:rPr>
            </w:pPr>
          </w:p>
        </w:tc>
        <w:tc>
          <w:tcPr>
            <w:tcW w:w="33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Agreement, dated December 16, 2021, by and</w:t>
              </w:r>
            </w:hyperlink>
          </w:p>
        </w:tc>
        <w:tc>
          <w:tcPr>
            <w:tcW w:w="58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between the Registrant and Genzyme Corporation</w:t>
              </w:r>
            </w:hyperlink>
          </w:p>
        </w:tc>
        <w:tc>
          <w:tcPr>
            <w:tcW w:w="28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34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Third Amendment to Collaboration and License</w:t>
              </w:r>
            </w:hyperlink>
          </w:p>
        </w:tc>
        <w:tc>
          <w:tcPr>
            <w:tcW w:w="420" w:type="dxa"/>
            <w:vAlign w:val="bottom"/>
            <w:gridSpan w:val="7"/>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196"/>
        </w:trPr>
        <w:tc>
          <w:tcPr>
            <w:tcW w:w="1220" w:type="dxa"/>
            <w:vAlign w:val="bottom"/>
          </w:tcPr>
          <w:p>
            <w:pPr>
              <w:spacing w:after="0"/>
              <w:rPr>
                <w:sz w:val="17"/>
                <w:szCs w:val="17"/>
                <w:color w:val="auto"/>
              </w:rPr>
            </w:pPr>
          </w:p>
        </w:tc>
        <w:tc>
          <w:tcPr>
            <w:tcW w:w="37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Agreement, dated July 7, 2022, by and between the</w:t>
              </w:r>
            </w:hyperlink>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7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Registrant and Genzyme Corporation</w:t>
              </w:r>
            </w:hyperlink>
          </w:p>
        </w:tc>
        <w:tc>
          <w:tcPr>
            <w:tcW w:w="1200" w:type="dxa"/>
            <w:vAlign w:val="bottom"/>
            <w:gridSpan w:val="20"/>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900" w:type="dxa"/>
            <w:vAlign w:val="bottom"/>
            <w:gridSpan w:val="28"/>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Fourth Amendment to Collaboration and License</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October 6, 2022</w:t>
            </w:r>
          </w:p>
        </w:tc>
      </w:tr>
      <w:tr>
        <w:trPr>
          <w:trHeight w:val="20"/>
        </w:trPr>
        <w:tc>
          <w:tcPr>
            <w:tcW w:w="1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7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Agreement, dated August 11, 2022, by and between</w:t>
              </w:r>
            </w:hyperlink>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9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the Registrant and Genzyme Corporation</w:t>
              </w:r>
            </w:hyperlink>
          </w:p>
        </w:tc>
        <w:tc>
          <w:tcPr>
            <w:tcW w:w="94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4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Fifth Amendment to Collaboration and License</w:t>
              </w:r>
            </w:hyperlink>
          </w:p>
        </w:tc>
        <w:tc>
          <w:tcPr>
            <w:tcW w:w="480" w:type="dxa"/>
            <w:vAlign w:val="bottom"/>
            <w:gridSpan w:val="10"/>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196"/>
        </w:trPr>
        <w:tc>
          <w:tcPr>
            <w:tcW w:w="1220" w:type="dxa"/>
            <w:vAlign w:val="bottom"/>
          </w:tcPr>
          <w:p>
            <w:pPr>
              <w:spacing w:after="0"/>
              <w:rPr>
                <w:sz w:val="17"/>
                <w:szCs w:val="17"/>
                <w:color w:val="auto"/>
              </w:rPr>
            </w:pPr>
          </w:p>
        </w:tc>
        <w:tc>
          <w:tcPr>
            <w:tcW w:w="32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Agreement, dated November 3, 2023, by and</w:t>
              </w:r>
            </w:hyperlink>
          </w:p>
        </w:tc>
        <w:tc>
          <w:tcPr>
            <w:tcW w:w="64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between the Registrant and Genzyme Corporation</w:t>
              </w:r>
            </w:hyperlink>
          </w:p>
        </w:tc>
        <w:tc>
          <w:tcPr>
            <w:tcW w:w="28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3900" w:type="dxa"/>
            <w:vAlign w:val="bottom"/>
            <w:gridSpan w:val="28"/>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Sixth Amendment to Collaboration and License</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April 10, 2024</w:t>
            </w:r>
          </w:p>
        </w:tc>
      </w:tr>
      <w:tr>
        <w:trPr>
          <w:trHeight w:val="20"/>
        </w:trPr>
        <w:tc>
          <w:tcPr>
            <w:tcW w:w="1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6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Agreement, dated March 6, 2024, by and between</w:t>
              </w:r>
            </w:hyperlink>
          </w:p>
        </w:tc>
        <w:tc>
          <w:tcPr>
            <w:tcW w:w="30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9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the Registrant and Genzyme Corporation</w:t>
              </w:r>
            </w:hyperlink>
          </w:p>
        </w:tc>
        <w:tc>
          <w:tcPr>
            <w:tcW w:w="94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3900" w:type="dxa"/>
            <w:vAlign w:val="bottom"/>
            <w:gridSpan w:val="28"/>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Collaboration and License Agreement, dated</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0"/>
        </w:trPr>
        <w:tc>
          <w:tcPr>
            <w:tcW w:w="1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September 6, 2023, by and between the Registrant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62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and Seagen Inc.</w:t>
              </w:r>
            </w:hyperlink>
          </w:p>
        </w:tc>
        <w:tc>
          <w:tcPr>
            <w:tcW w:w="28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34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Equity Distribution Agreement, dated August 4,</w:t>
              </w:r>
            </w:hyperlink>
          </w:p>
        </w:tc>
        <w:tc>
          <w:tcPr>
            <w:tcW w:w="420" w:type="dxa"/>
            <w:vAlign w:val="bottom"/>
            <w:gridSpan w:val="7"/>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333-258448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25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August 4, 2021</w:t>
            </w:r>
          </w:p>
        </w:tc>
      </w:tr>
      <w:tr>
        <w:trPr>
          <w:trHeight w:val="196"/>
        </w:trPr>
        <w:tc>
          <w:tcPr>
            <w:tcW w:w="1220" w:type="dxa"/>
            <w:vAlign w:val="bottom"/>
          </w:tcPr>
          <w:p>
            <w:pPr>
              <w:spacing w:after="0"/>
              <w:rPr>
                <w:sz w:val="17"/>
                <w:szCs w:val="17"/>
                <w:color w:val="auto"/>
              </w:rPr>
            </w:pPr>
          </w:p>
        </w:tc>
        <w:tc>
          <w:tcPr>
            <w:tcW w:w="33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2021, by and between the Registrant and Piper</w:t>
              </w:r>
            </w:hyperlink>
          </w:p>
        </w:tc>
        <w:tc>
          <w:tcPr>
            <w:tcW w:w="54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900" w:type="dxa"/>
            <w:vAlign w:val="bottom"/>
            <w:gridSpan w:val="28"/>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Sandler &amp; Co</w:t>
              </w:r>
              <w:r>
                <w:rPr>
                  <w:rFonts w:ascii="Times New Roman" w:cs="Times New Roman" w:eastAsia="Times New Roman" w:hAnsi="Times New Roman"/>
                  <w:sz w:val="18"/>
                  <w:szCs w:val="18"/>
                  <w:color w:val="000000"/>
                </w:rPr>
                <w:t>.</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32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Amendment No. 1 to the Equity Distribution</w:t>
              </w:r>
            </w:hyperlink>
          </w:p>
        </w:tc>
        <w:tc>
          <w:tcPr>
            <w:tcW w:w="660" w:type="dxa"/>
            <w:vAlign w:val="bottom"/>
            <w:gridSpan w:val="15"/>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July 11, 2024</w:t>
            </w:r>
          </w:p>
        </w:tc>
      </w:tr>
      <w:tr>
        <w:trPr>
          <w:trHeight w:val="196"/>
        </w:trPr>
        <w:tc>
          <w:tcPr>
            <w:tcW w:w="1220" w:type="dxa"/>
            <w:vAlign w:val="bottom"/>
          </w:tcPr>
          <w:p>
            <w:pPr>
              <w:spacing w:after="0"/>
              <w:rPr>
                <w:sz w:val="17"/>
                <w:szCs w:val="17"/>
                <w:color w:val="auto"/>
              </w:rPr>
            </w:pPr>
          </w:p>
        </w:tc>
        <w:tc>
          <w:tcPr>
            <w:tcW w:w="35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Agreement, dated July 11, 2024, by and between</w:t>
              </w:r>
            </w:hyperlink>
          </w:p>
        </w:tc>
        <w:tc>
          <w:tcPr>
            <w:tcW w:w="36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the Registrant and Piper Sandler &amp; Co.</w:t>
              </w:r>
            </w:hyperlink>
          </w:p>
        </w:tc>
        <w:tc>
          <w:tcPr>
            <w:tcW w:w="108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3900" w:type="dxa"/>
            <w:vAlign w:val="bottom"/>
            <w:gridSpan w:val="28"/>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Amendment No. 2 to the Equity Distribution</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October 31, 2024</w:t>
            </w:r>
          </w:p>
        </w:tc>
      </w:tr>
      <w:tr>
        <w:trPr>
          <w:trHeight w:val="196"/>
        </w:trPr>
        <w:tc>
          <w:tcPr>
            <w:tcW w:w="122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Agreement, dated October 31, 2024, by and</w:t>
              </w:r>
            </w:hyperlink>
          </w:p>
        </w:tc>
        <w:tc>
          <w:tcPr>
            <w:tcW w:w="68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4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between the Registrant and Piper Sandler &amp; Co.</w:t>
              </w:r>
            </w:hyperlink>
          </w:p>
        </w:tc>
        <w:tc>
          <w:tcPr>
            <w:tcW w:w="44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2280" w:type="dxa"/>
            <w:vAlign w:val="bottom"/>
            <w:gridSpan w:val="23"/>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900" w:type="dxa"/>
            <w:vAlign w:val="bottom"/>
            <w:gridSpan w:val="28"/>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Subsidiaries of the Registrant</w:t>
              </w:r>
            </w:hyperlink>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001-39398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January 28, 2022</w:t>
            </w:r>
          </w:p>
        </w:tc>
      </w:tr>
      <w:tr>
        <w:trPr>
          <w:trHeight w:val="20"/>
        </w:trPr>
        <w:tc>
          <w:tcPr>
            <w:tcW w:w="12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w:t>
            </w:r>
          </w:p>
        </w:tc>
        <w:tc>
          <w:tcPr>
            <w:tcW w:w="860" w:type="dxa"/>
            <w:vAlign w:val="bottom"/>
            <w:gridSpan w:val="17"/>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12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Accounting Firm</w:t>
            </w:r>
          </w:p>
        </w:tc>
        <w:tc>
          <w:tcPr>
            <w:tcW w:w="2660" w:type="dxa"/>
            <w:vAlign w:val="bottom"/>
            <w:gridSpan w:val="25"/>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Power of Attorney (reference is made to the</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 page hereto)</w:t>
            </w:r>
          </w:p>
        </w:tc>
        <w:tc>
          <w:tcPr>
            <w:tcW w:w="1620" w:type="dxa"/>
            <w:vAlign w:val="bottom"/>
            <w:tcBorders>
              <w:top w:val="single" w:sz="8" w:color="0000FF"/>
            </w:tcBorders>
            <w:gridSpan w:val="8"/>
          </w:tcPr>
          <w:p>
            <w:pPr>
              <w:spacing w:after="0"/>
              <w:rPr>
                <w:sz w:val="17"/>
                <w:szCs w:val="17"/>
                <w:color w:val="auto"/>
              </w:rPr>
            </w:pPr>
          </w:p>
        </w:tc>
        <w:tc>
          <w:tcPr>
            <w:tcW w:w="68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972" w:right="779" w:bottom="1440" w:gutter="0" w:footer="0" w:header="0"/>
        </w:sectPr>
      </w:pPr>
    </w:p>
    <w:bookmarkStart w:id="166" w:name="page167"/>
    <w:bookmarkEnd w:id="166"/>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76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3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5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the Securities Exchange Act of 1934, as Adopted</w:t>
            </w:r>
          </w:p>
        </w:tc>
        <w:tc>
          <w:tcPr>
            <w:tcW w:w="3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6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w:t>
            </w:r>
          </w:p>
        </w:tc>
        <w:tc>
          <w:tcPr>
            <w:tcW w:w="2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334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Officer Pursuant to Rules 13a-14(a) and 15d-14(a)</w:t>
            </w:r>
          </w:p>
        </w:tc>
        <w:tc>
          <w:tcPr>
            <w:tcW w:w="60" w:type="dxa"/>
            <w:vAlign w:val="bottom"/>
            <w:tcBorders>
              <w:top w:val="single" w:sz="8" w:color="0000FF"/>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6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w:t>
            </w:r>
          </w:p>
        </w:tc>
        <w:tc>
          <w:tcPr>
            <w:tcW w:w="30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22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Financial and Accounting Officer</w:t>
            </w:r>
          </w:p>
        </w:tc>
        <w:tc>
          <w:tcPr>
            <w:tcW w:w="300" w:type="dxa"/>
            <w:vAlign w:val="bottom"/>
            <w:tcBorders>
              <w:top w:val="single" w:sz="8" w:color="0000FF"/>
            </w:tcBorders>
            <w:gridSpan w:val="3"/>
          </w:tcPr>
          <w:p>
            <w:pPr>
              <w:spacing w:after="0"/>
              <w:rPr>
                <w:sz w:val="17"/>
                <w:szCs w:val="17"/>
                <w:color w:val="auto"/>
              </w:rPr>
            </w:pPr>
          </w:p>
        </w:tc>
        <w:tc>
          <w:tcPr>
            <w:tcW w:w="48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9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36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w:t>
            </w:r>
          </w:p>
        </w:tc>
        <w:tc>
          <w:tcPr>
            <w:tcW w:w="2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of 2002</w:t>
            </w:r>
          </w:p>
        </w:tc>
        <w:tc>
          <w:tcPr>
            <w:tcW w:w="334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2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Compensation Recovery Policy</w:t>
              </w:r>
            </w:hyperlink>
          </w:p>
        </w:tc>
        <w:tc>
          <w:tcPr>
            <w:tcW w:w="1620" w:type="dxa"/>
            <w:vAlign w:val="bottom"/>
            <w:gridSpan w:val="11"/>
          </w:tcPr>
          <w:p>
            <w:pPr>
              <w:spacing w:after="0"/>
              <w:rPr>
                <w:sz w:val="24"/>
                <w:szCs w:val="2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001-39398</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97.1</w:t>
            </w:r>
          </w:p>
        </w:tc>
        <w:tc>
          <w:tcPr>
            <w:tcW w:w="2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February 15, 2024</w:t>
            </w:r>
          </w:p>
        </w:tc>
      </w:tr>
      <w:tr>
        <w:trPr>
          <w:trHeight w:val="32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220" w:type="dxa"/>
            <w:vAlign w:val="bottom"/>
          </w:tcPr>
          <w:p>
            <w:pPr>
              <w:spacing w:after="0"/>
              <w:rPr>
                <w:sz w:val="18"/>
                <w:szCs w:val="18"/>
                <w:color w:val="auto"/>
              </w:rPr>
            </w:pP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0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220" w:type="dxa"/>
            <w:vAlign w:val="bottom"/>
          </w:tcPr>
          <w:p>
            <w:pPr>
              <w:spacing w:after="0"/>
              <w:rPr>
                <w:sz w:val="20"/>
                <w:szCs w:val="20"/>
                <w:color w:val="auto"/>
              </w:rPr>
            </w:pPr>
          </w:p>
        </w:tc>
        <w:tc>
          <w:tcPr>
            <w:tcW w:w="3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and included in Exhibit 101)</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pacing w:after="0" w:line="88" w:lineRule="exact"/>
        <w:rPr>
          <w:sz w:val="20"/>
          <w:szCs w:val="20"/>
          <w:color w:val="auto"/>
        </w:rPr>
      </w:pPr>
    </w:p>
    <w:p>
      <w:pPr>
        <w:ind w:left="1240" w:hanging="1214"/>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Indicates a management or compensatory plan or arrangement in which directors or executive officers are eligible to participate.</w:t>
      </w:r>
    </w:p>
    <w:p>
      <w:pPr>
        <w:spacing w:after="0" w:line="117" w:lineRule="exact"/>
        <w:rPr>
          <w:sz w:val="20"/>
          <w:szCs w:val="20"/>
          <w:color w:val="auto"/>
        </w:rPr>
      </w:pPr>
    </w:p>
    <w:p>
      <w:pPr>
        <w:ind w:left="1240" w:hanging="1214"/>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Registrant has omitted portions of the exhibit as permitted under Item 601(b)(10) of Regulation S-K.</w:t>
      </w:r>
    </w:p>
    <w:p>
      <w:pPr>
        <w:spacing w:after="0" w:line="117" w:lineRule="exact"/>
        <w:rPr>
          <w:sz w:val="20"/>
          <w:szCs w:val="20"/>
          <w:color w:val="auto"/>
        </w:rPr>
      </w:pPr>
    </w:p>
    <w:p>
      <w:pPr>
        <w:ind w:left="1240" w:hanging="1214"/>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Registrant has omitted certain schedules pursuant to Item 601(a)(5) of Regulation S-K.</w:t>
      </w:r>
    </w:p>
    <w:p>
      <w:pPr>
        <w:spacing w:after="0" w:line="117" w:lineRule="exact"/>
        <w:rPr>
          <w:sz w:val="20"/>
          <w:szCs w:val="20"/>
          <w:color w:val="auto"/>
        </w:rPr>
      </w:pPr>
    </w:p>
    <w:p>
      <w:pPr>
        <w:jc w:val="both"/>
        <w:ind w:left="1240" w:right="20" w:hanging="1214"/>
        <w:spacing w:after="0" w:line="267"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certifications furnished in Exhibits 32.1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72" w:right="779" w:bottom="1440" w:gutter="0" w:footer="0" w:header="0"/>
        </w:sectPr>
      </w:pPr>
    </w:p>
    <w:bookmarkStart w:id="167" w:name="page168"/>
    <w:bookmarkEnd w:id="167"/>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121" w:lineRule="exact"/>
        <w:rPr>
          <w:sz w:val="20"/>
          <w:szCs w:val="20"/>
          <w:color w:val="auto"/>
        </w:rPr>
      </w:pPr>
    </w:p>
    <w:p>
      <w:pPr>
        <w:ind w:left="40"/>
        <w:spacing w:after="0"/>
        <w:tabs>
          <w:tab w:leader="none" w:pos="5400" w:val="left"/>
          <w:tab w:leader="none" w:pos="7740" w:val="left"/>
        </w:tabs>
        <w:rPr>
          <w:sz w:val="20"/>
          <w:szCs w:val="20"/>
          <w:color w:val="auto"/>
        </w:rPr>
      </w:pPr>
      <w:r>
        <w:rPr>
          <w:rFonts w:ascii="Times New Roman" w:cs="Times New Roman" w:eastAsia="Times New Roman" w:hAnsi="Times New Roman"/>
          <w:sz w:val="18"/>
          <w:szCs w:val="18"/>
          <w:color w:val="auto"/>
        </w:rPr>
        <w:t>Date: January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34290</wp:posOffset>
            </wp:positionV>
            <wp:extent cx="34118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Arthur T. Sands, M.D., Ph.D.</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and Director</w:t>
      </w:r>
    </w:p>
    <w:p>
      <w:pPr>
        <w:spacing w:after="0" w:line="2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Arthur T. Sands and Hans van Houte,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w:t>
      </w:r>
    </w:p>
    <w:p>
      <w:pPr>
        <w:sectPr>
          <w:pgSz w:w="11900" w:h="16838" w:orient="portrait"/>
          <w:cols w:equalWidth="0" w:num="1">
            <w:col w:w="11160"/>
          </w:cols>
          <w:pgMar w:left="320" w:top="1035" w:right="41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Registrant in the capacities and on the dates indicated.</w:t>
      </w:r>
    </w:p>
    <w:p>
      <w:pPr>
        <w:spacing w:after="0" w:line="25" w:lineRule="exact"/>
        <w:rPr>
          <w:sz w:val="20"/>
          <w:szCs w:val="20"/>
          <w:color w:val="auto"/>
        </w:rPr>
      </w:pPr>
    </w:p>
    <w:p>
      <w:pPr>
        <w:ind w:left="166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4006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w:t>
            </w:r>
            <w:r>
              <w:rPr>
                <w:rFonts w:ascii="Times New Roman" w:cs="Times New Roman" w:eastAsia="Times New Roman" w:hAnsi="Times New Roman"/>
                <w:sz w:val="14"/>
                <w:szCs w:val="14"/>
                <w:color w:val="auto"/>
                <w:w w:val="99"/>
              </w:rPr>
              <w:t>RTHUR</w:t>
            </w:r>
            <w:r>
              <w:rPr>
                <w:rFonts w:ascii="Times New Roman" w:cs="Times New Roman" w:eastAsia="Times New Roman" w:hAnsi="Times New Roman"/>
                <w:sz w:val="18"/>
                <w:szCs w:val="18"/>
                <w:color w:val="auto"/>
                <w:w w:val="99"/>
              </w:rPr>
              <w:t xml:space="preserve"> T. S</w:t>
            </w:r>
            <w:r>
              <w:rPr>
                <w:rFonts w:ascii="Times New Roman" w:cs="Times New Roman" w:eastAsia="Times New Roman" w:hAnsi="Times New Roman"/>
                <w:sz w:val="14"/>
                <w:szCs w:val="14"/>
                <w:color w:val="auto"/>
                <w:w w:val="99"/>
              </w:rPr>
              <w:t>ANDS</w:t>
            </w:r>
          </w:p>
        </w:tc>
        <w:tc>
          <w:tcPr>
            <w:tcW w:w="41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Arthur T. Sands, M.D., Ph.D.</w:t>
            </w:r>
          </w:p>
        </w:tc>
        <w:tc>
          <w:tcPr>
            <w:tcW w:w="4180" w:type="dxa"/>
            <w:vAlign w:val="bottom"/>
          </w:tcPr>
          <w:p>
            <w:pPr>
              <w:jc w:val="center"/>
              <w:ind w:left="67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44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tc>
        <w:tc>
          <w:tcPr>
            <w:tcW w:w="41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Hans van Houte</w:t>
            </w:r>
          </w:p>
        </w:tc>
        <w:tc>
          <w:tcPr>
            <w:tcW w:w="4180" w:type="dxa"/>
            <w:vAlign w:val="bottom"/>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w:t>
            </w:r>
            <w:r>
              <w:rPr>
                <w:rFonts w:ascii="Times New Roman" w:cs="Times New Roman" w:eastAsia="Times New Roman" w:hAnsi="Times New Roman"/>
                <w:sz w:val="14"/>
                <w:szCs w:val="14"/>
                <w:color w:val="auto"/>
                <w:w w:val="99"/>
              </w:rPr>
              <w:t>ULIA</w:t>
            </w:r>
            <w:r>
              <w:rPr>
                <w:rFonts w:ascii="Times New Roman" w:cs="Times New Roman" w:eastAsia="Times New Roman" w:hAnsi="Times New Roman"/>
                <w:sz w:val="18"/>
                <w:szCs w:val="18"/>
                <w:color w:val="auto"/>
                <w:w w:val="99"/>
              </w:rPr>
              <w:t xml:space="preserve"> P. G</w:t>
            </w:r>
            <w:r>
              <w:rPr>
                <w:rFonts w:ascii="Times New Roman" w:cs="Times New Roman" w:eastAsia="Times New Roman" w:hAnsi="Times New Roman"/>
                <w:sz w:val="14"/>
                <w:szCs w:val="14"/>
                <w:color w:val="auto"/>
                <w:w w:val="99"/>
              </w:rPr>
              <w:t>REGORY</w:t>
            </w:r>
          </w:p>
        </w:tc>
        <w:tc>
          <w:tcPr>
            <w:tcW w:w="4180" w:type="dxa"/>
            <w:vAlign w:val="bottom"/>
            <w:vMerge w:val="restart"/>
          </w:tcPr>
          <w:p>
            <w:pPr>
              <w:jc w:val="center"/>
              <w:ind w:left="67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Julia P. Gregory</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Anil Kapur</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Anil Kapur</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4"/>
                <w:szCs w:val="14"/>
                <w:color w:val="auto"/>
              </w:rPr>
              <w:t>ORI</w:t>
            </w:r>
            <w:r>
              <w:rPr>
                <w:rFonts w:ascii="Times New Roman" w:cs="Times New Roman" w:eastAsia="Times New Roman" w:hAnsi="Times New Roman"/>
                <w:sz w:val="18"/>
                <w:szCs w:val="18"/>
                <w:color w:val="auto"/>
              </w:rPr>
              <w:t xml:space="preserve"> A. K</w:t>
            </w:r>
            <w:r>
              <w:rPr>
                <w:rFonts w:ascii="Times New Roman" w:cs="Times New Roman" w:eastAsia="Times New Roman" w:hAnsi="Times New Roman"/>
                <w:sz w:val="14"/>
                <w:szCs w:val="14"/>
                <w:color w:val="auto"/>
              </w:rPr>
              <w:t>UNKEL</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Lori A. Kunkel, M.D.</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David L. Lacey</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David L. Lacey, M.D.</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UDITH</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4"/>
                <w:szCs w:val="14"/>
                <w:color w:val="auto"/>
              </w:rPr>
              <w:t>EINSDORF</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Judith A. Reinsdorf, J.D.</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DWARD</w:t>
            </w:r>
            <w:r>
              <w:rPr>
                <w:rFonts w:ascii="Times New Roman" w:cs="Times New Roman" w:eastAsia="Times New Roman" w:hAnsi="Times New Roman"/>
                <w:sz w:val="18"/>
                <w:szCs w:val="18"/>
                <w:color w:val="auto"/>
              </w:rPr>
              <w:t xml:space="preserve"> C. S</w:t>
            </w:r>
            <w:r>
              <w:rPr>
                <w:rFonts w:ascii="Times New Roman" w:cs="Times New Roman" w:eastAsia="Times New Roman" w:hAnsi="Times New Roman"/>
                <w:sz w:val="14"/>
                <w:szCs w:val="14"/>
                <w:color w:val="auto"/>
              </w:rPr>
              <w:t>ALTZMAN</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Edward C. Saltzman</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w:t>
            </w:r>
            <w:r>
              <w:rPr>
                <w:rFonts w:ascii="Times New Roman" w:cs="Times New Roman" w:eastAsia="Times New Roman" w:hAnsi="Times New Roman"/>
                <w:sz w:val="14"/>
                <w:szCs w:val="14"/>
                <w:color w:val="auto"/>
                <w:w w:val="99"/>
              </w:rPr>
              <w:t>AUL</w:t>
            </w:r>
            <w:r>
              <w:rPr>
                <w:rFonts w:ascii="Times New Roman" w:cs="Times New Roman" w:eastAsia="Times New Roman" w:hAnsi="Times New Roman"/>
                <w:sz w:val="18"/>
                <w:szCs w:val="18"/>
                <w:color w:val="auto"/>
                <w:w w:val="99"/>
              </w:rPr>
              <w:t xml:space="preserve"> M. S</w:t>
            </w:r>
            <w:r>
              <w:rPr>
                <w:rFonts w:ascii="Times New Roman" w:cs="Times New Roman" w:eastAsia="Times New Roman" w:hAnsi="Times New Roman"/>
                <w:sz w:val="14"/>
                <w:szCs w:val="14"/>
                <w:color w:val="auto"/>
                <w:w w:val="99"/>
              </w:rPr>
              <w:t>ILVA</w:t>
            </w:r>
          </w:p>
        </w:tc>
        <w:tc>
          <w:tcPr>
            <w:tcW w:w="41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Paul M. Silva</w:t>
            </w: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8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41910</wp:posOffset>
            </wp:positionV>
            <wp:extent cx="16719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2025</w:t>
      </w:r>
    </w:p>
    <w:p>
      <w:pPr>
        <w:spacing w:after="0" w:line="375" w:lineRule="exact"/>
        <w:rPr>
          <w:sz w:val="20"/>
          <w:szCs w:val="20"/>
          <w:color w:val="auto"/>
        </w:rPr>
      </w:pPr>
    </w:p>
    <w:p>
      <w:pPr>
        <w:sectPr>
          <w:pgSz w:w="11900" w:h="16838" w:orient="portrait"/>
          <w:cols w:equalWidth="0" w:num="2">
            <w:col w:w="8580" w:space="720"/>
            <w:col w:w="1860"/>
          </w:cols>
          <w:pgMar w:left="320" w:top="103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166</w:t>
      </w:r>
    </w:p>
    <w:p>
      <w:pPr>
        <w:sectPr>
          <w:pgSz w:w="11900" w:h="16838" w:orient="portrait"/>
          <w:cols w:equalWidth="0" w:num="1">
            <w:col w:w="11160"/>
          </w:cols>
          <w:pgMar w:left="320" w:top="1035" w:right="419" w:bottom="1440" w:gutter="0" w:footer="0" w:header="0"/>
          <w:type w:val="continuous"/>
        </w:sectPr>
      </w:pPr>
    </w:p>
    <w:bookmarkStart w:id="168" w:name="page169"/>
    <w:bookmarkEnd w:id="16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POLICY WAS APPROVED BY THE BOARD ON JANUARY 22, 2025</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0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Nurix Therapeutics, Inc. (“</w:t>
      </w:r>
      <w:r>
        <w:rPr>
          <w:rFonts w:ascii="Times New Roman" w:cs="Times New Roman" w:eastAsia="Times New Roman" w:hAnsi="Times New Roman"/>
          <w:sz w:val="20"/>
          <w:szCs w:val="20"/>
          <w:b w:val="1"/>
          <w:bCs w:val="1"/>
          <w:color w:val="auto"/>
        </w:rPr>
        <w:t>Nurix</w:t>
      </w:r>
      <w:r>
        <w:rPr>
          <w:rFonts w:ascii="Times New Roman" w:cs="Times New Roman" w:eastAsia="Times New Roman" w:hAnsi="Times New Roman"/>
          <w:sz w:val="20"/>
          <w:szCs w:val="20"/>
          <w:color w:val="auto"/>
        </w:rPr>
        <w:t>”) believes our stock is valuable. For that reason, Nurix stock options and discounted sales of Nurix stock through our Employee Stock Purchase Plan (“</w:t>
      </w:r>
      <w:r>
        <w:rPr>
          <w:rFonts w:ascii="Times New Roman" w:cs="Times New Roman" w:eastAsia="Times New Roman" w:hAnsi="Times New Roman"/>
          <w:sz w:val="20"/>
          <w:szCs w:val="20"/>
          <w:b w:val="1"/>
          <w:bCs w:val="1"/>
          <w:color w:val="auto"/>
        </w:rPr>
        <w:t>ESPP</w:t>
      </w:r>
      <w:r>
        <w:rPr>
          <w:rFonts w:ascii="Times New Roman" w:cs="Times New Roman" w:eastAsia="Times New Roman" w:hAnsi="Times New Roman"/>
          <w:sz w:val="20"/>
          <w:szCs w:val="20"/>
          <w:color w:val="auto"/>
        </w:rPr>
        <w:t>”) are important parts of our compensation program. If you choose to invest in Nurix stock, there are some rules you need to know and follow so that you do not accidentally commit insider trading, which is both a civil wrong and a crime that carries serious legal penalties, including imprisonment for up to 20 years, criminal penalties of up to $5 million for individuals (up to $25 million for entities), and civil fines of up to three times the profits gained or losses avoided. In addition, engaging in insider trading or otherwise violating this Insider Trading Policy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could result in company-imposed disciplinary action up to and including termination of your Nurix employment.</w:t>
      </w:r>
    </w:p>
    <w:p>
      <w:pPr>
        <w:spacing w:after="0" w:line="17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0"/>
          <w:szCs w:val="20"/>
          <w:color w:val="auto"/>
        </w:rPr>
        <w:t>Insider trading happens when someone with knowledge of material nonpublic information (“</w:t>
      </w:r>
      <w:r>
        <w:rPr>
          <w:rFonts w:ascii="Times New Roman" w:cs="Times New Roman" w:eastAsia="Times New Roman" w:hAnsi="Times New Roman"/>
          <w:sz w:val="20"/>
          <w:szCs w:val="20"/>
          <w:b w:val="1"/>
          <w:bCs w:val="1"/>
          <w:color w:val="auto"/>
        </w:rPr>
        <w:t>MNPI</w:t>
      </w:r>
      <w:r>
        <w:rPr>
          <w:rFonts w:ascii="Times New Roman" w:cs="Times New Roman" w:eastAsia="Times New Roman" w:hAnsi="Times New Roman"/>
          <w:sz w:val="20"/>
          <w:szCs w:val="20"/>
          <w:color w:val="auto"/>
        </w:rPr>
        <w:t>”) about Nurix uses that MNPI, or tips off someone else to use the MNPI, to gain profits or avoid losses in the stock market.</w:t>
      </w:r>
    </w:p>
    <w:p>
      <w:pPr>
        <w:ind w:right="100"/>
        <w:spacing w:after="0" w:line="260" w:lineRule="auto"/>
        <w:rPr>
          <w:sz w:val="20"/>
          <w:szCs w:val="20"/>
          <w:color w:val="auto"/>
        </w:rPr>
      </w:pPr>
      <w:r>
        <w:rPr>
          <w:rFonts w:ascii="Times New Roman" w:cs="Times New Roman" w:eastAsia="Times New Roman" w:hAnsi="Times New Roman"/>
          <w:sz w:val="20"/>
          <w:szCs w:val="20"/>
          <w:color w:val="auto"/>
        </w:rPr>
        <w:t>Because we are committed to upholding high standards of honest and ethical business conduct, we have adopted this Policy to take an active role in preventing insider trading violations.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are considering trading our stock or other securities, please keep these three key points in mind:</w:t>
      </w:r>
    </w:p>
    <w:p>
      <w:pPr>
        <w:spacing w:after="0" w:line="216" w:lineRule="exact"/>
        <w:rPr>
          <w:sz w:val="20"/>
          <w:szCs w:val="20"/>
          <w:color w:val="auto"/>
        </w:rPr>
      </w:pPr>
    </w:p>
    <w:p>
      <w:pPr>
        <w:ind w:left="1300" w:hanging="725"/>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Never buy or sell our securities based on MNPI;</w:t>
      </w:r>
    </w:p>
    <w:p>
      <w:pPr>
        <w:spacing w:after="0" w:line="121" w:lineRule="exact"/>
        <w:rPr>
          <w:rFonts w:ascii="Times New Roman" w:cs="Times New Roman" w:eastAsia="Times New Roman" w:hAnsi="Times New Roman"/>
          <w:sz w:val="20"/>
          <w:szCs w:val="20"/>
          <w:color w:val="auto"/>
        </w:rPr>
      </w:pPr>
    </w:p>
    <w:p>
      <w:pPr>
        <w:ind w:left="1300" w:hanging="725"/>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all MNPI confidential, including from your family and friends; and</w:t>
      </w:r>
    </w:p>
    <w:p>
      <w:pPr>
        <w:spacing w:after="0" w:line="107" w:lineRule="exact"/>
        <w:rPr>
          <w:rFonts w:ascii="Times New Roman" w:cs="Times New Roman" w:eastAsia="Times New Roman" w:hAnsi="Times New Roman"/>
          <w:sz w:val="20"/>
          <w:szCs w:val="20"/>
          <w:color w:val="auto"/>
        </w:rPr>
      </w:pPr>
    </w:p>
    <w:p>
      <w:pPr>
        <w:ind w:left="1300" w:hanging="725"/>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in doubt about whether you have MNPI, ask before trading.</w:t>
      </w:r>
    </w:p>
    <w:p>
      <w:pPr>
        <w:spacing w:after="0" w:line="3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trust our employees and directors, and write our policies with that trust in mind. You are responsible for understanding and following this Policy and for the consequences of any actions you may take. Our General Counsel will assist with implementing, interpreting and enforcing this Policy, pre-clearing trading activities of certain people and pre-approving any Rule 10b5- 1 Plans (plans that permit insiders to sell company securities on a pre-determined schedule that the insider doesn’t control, discussed more fully later in this Policy).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PERSONS COVERED BY THIS POLICY</w:t>
      </w:r>
    </w:p>
    <w:p>
      <w:pPr>
        <w:spacing w:after="0" w:line="125"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9"/>
          <w:szCs w:val="19"/>
          <w:color w:val="auto"/>
        </w:rPr>
        <w:t>This Policy applies to our employees, contractors, consultants, and directors, as well as to their immediate family members, people sharing their households and anyone subject to their influence or control. It applies as well to entities such as venture capital funds, partnerships, trusts and corporations with which our employees, contractors, consultants, and directors are associated or affiliated. An “</w:t>
      </w:r>
      <w:r>
        <w:rPr>
          <w:rFonts w:ascii="Times New Roman" w:cs="Times New Roman" w:eastAsia="Times New Roman" w:hAnsi="Times New Roman"/>
          <w:sz w:val="19"/>
          <w:szCs w:val="19"/>
          <w:b w:val="1"/>
          <w:bCs w:val="1"/>
          <w:color w:val="auto"/>
        </w:rPr>
        <w:t>immediate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family member</w:t>
      </w:r>
      <w:r>
        <w:rPr>
          <w:rFonts w:ascii="Times New Roman" w:cs="Times New Roman" w:eastAsia="Times New Roman" w:hAnsi="Times New Roman"/>
          <w:sz w:val="19"/>
          <w:szCs w:val="19"/>
          <w:color w:val="auto"/>
        </w:rPr>
        <w:t>” under this Policy means any child, stepchild, parent, stepparent, spouse, domestic partner, sibling, mother-in-law, father-in-law, son-in-law, daughter-in-law, brother-in-law, or sister-in-law of a person, and includes any person (other than a tenant or employee) sharing the household of that person. We will refer to all of these individuals and entities in this Policy collectively as “</w:t>
      </w:r>
      <w:r>
        <w:rPr>
          <w:rFonts w:ascii="Times New Roman" w:cs="Times New Roman" w:eastAsia="Times New Roman" w:hAnsi="Times New Roman"/>
          <w:sz w:val="19"/>
          <w:szCs w:val="19"/>
          <w:b w:val="1"/>
          <w:bCs w:val="1"/>
          <w:color w:val="auto"/>
        </w:rPr>
        <w:t>Insiders</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Certain Insiders are subject to additional rules. For example, our officers’ (as defined in Rule 16a-1(f)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directors’ (together with</w:t>
      </w:r>
    </w:p>
    <w:p>
      <w:pPr>
        <w:sectPr>
          <w:pgSz w:w="11900" w:h="16838" w:orient="portrait"/>
          <w:cols w:equalWidth="0" w:num="1">
            <w:col w:w="11240"/>
          </w:cols>
          <w:pgMar w:left="320" w:top="114" w:right="339" w:bottom="1440" w:gutter="0" w:footer="0" w:header="0"/>
        </w:sectPr>
      </w:pPr>
    </w:p>
    <w:bookmarkStart w:id="169" w:name="page170"/>
    <w:bookmarkEnd w:id="169"/>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officers, our “</w:t>
      </w:r>
      <w:r>
        <w:rPr>
          <w:rFonts w:ascii="Times New Roman" w:cs="Times New Roman" w:eastAsia="Times New Roman" w:hAnsi="Times New Roman"/>
          <w:sz w:val="20"/>
          <w:szCs w:val="20"/>
          <w:b w:val="1"/>
          <w:bCs w:val="1"/>
          <w:color w:val="auto"/>
        </w:rPr>
        <w:t>Section 16 Insiders</w:t>
      </w:r>
      <w:r>
        <w:rPr>
          <w:rFonts w:ascii="Times New Roman" w:cs="Times New Roman" w:eastAsia="Times New Roman" w:hAnsi="Times New Roman"/>
          <w:sz w:val="20"/>
          <w:szCs w:val="20"/>
          <w:color w:val="auto"/>
        </w:rPr>
        <w:t>”) trades in our stock must be pre-approved and these individuals are subject to special reporting requirements of the U.S.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We also may have Insiders who are not Section 16 Insiders but who have regular access to MNPI in the normal course of their job; these individuals are known as our “</w:t>
      </w:r>
      <w:r>
        <w:rPr>
          <w:rFonts w:ascii="Times New Roman" w:cs="Times New Roman" w:eastAsia="Times New Roman" w:hAnsi="Times New Roman"/>
          <w:sz w:val="20"/>
          <w:szCs w:val="20"/>
          <w:b w:val="1"/>
          <w:bCs w:val="1"/>
          <w:color w:val="auto"/>
        </w:rPr>
        <w:t>Designated Insiders</w:t>
      </w:r>
      <w:r>
        <w:rPr>
          <w:rFonts w:ascii="Times New Roman" w:cs="Times New Roman" w:eastAsia="Times New Roman" w:hAnsi="Times New Roman"/>
          <w:sz w:val="20"/>
          <w:szCs w:val="20"/>
          <w:color w:val="auto"/>
        </w:rPr>
        <w:t xml:space="preserve">” and are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Policy. Designated Insiders must also get pre-approval of any trades in our stock. The list of Designated Insiders may be amended by our General Counsel without Board approval.</w:t>
      </w:r>
    </w:p>
    <w:p>
      <w:pPr>
        <w:spacing w:after="0" w:line="191"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If you are aware of MNPI when your employment or service relationship ends, you still may not trade our securities until that MNPI has become public or is no longer material.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THIS POLICY COVERS</w:t>
      </w:r>
    </w:p>
    <w:p>
      <w:pPr>
        <w:spacing w:after="0" w:line="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primary purpose of this Policy is to prevent people with MNPI from profiting from that MNPI before it is made publicly available, thus allowing all of our stockholders to benefit from the information at the same time. More specifically, federal securities laws prohibit a person from using MNPI to make decisions about trading our stock, including tipping off someone else with that information so that they can trade our securities.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is information about our company, positive or negative, that a reasonable investor would consider important when deciding to buy or sell our securities. Material information can be positive or negative and can relate to virtually any aspect of Nurix’s business or its securities. Some examples of MNPI include not-yet- announced financial or company performance information (especially cash balance, burn and runway), significant regulatory communications, timing and achievement of major development milestones, results of research studies and clinical trials, entry into a new commercial agreement or termination of an existing commercial agreement, mergers, acquisitions or collaborations, important pipeline expansion, significant cybersecurity incidents or data breaches, significant new litigation or regulatory inquiries or developments in existing litigation or inquiries, significant developments in borrowings, or financings or capital investments, significant changes in corporate strategy, stock offerings or stock splits and changes in senior executive management or our Board of Directors. This list is illustrative only and is not intended to provide a comprehensive list of circumstances that could result in material information. Determination of what may constitute material information will depend upon the facts and circumstances in each particular situation. “</w:t>
      </w:r>
      <w:r>
        <w:rPr>
          <w:rFonts w:ascii="Times New Roman" w:cs="Times New Roman" w:eastAsia="Times New Roman" w:hAnsi="Times New Roman"/>
          <w:sz w:val="20"/>
          <w:szCs w:val="20"/>
          <w:b w:val="1"/>
          <w:bCs w:val="1"/>
          <w:color w:val="auto"/>
        </w:rPr>
        <w:t>Nonpublic</w:t>
      </w:r>
      <w:r>
        <w:rPr>
          <w:rFonts w:ascii="Times New Roman" w:cs="Times New Roman" w:eastAsia="Times New Roman" w:hAnsi="Times New Roman"/>
          <w:sz w:val="20"/>
          <w:szCs w:val="20"/>
          <w:color w:val="auto"/>
        </w:rPr>
        <w:t>” means that the confidential information has not yet been shared broadly outside the company. Please remember as well that we may possess confidential information relating to or belonging to our collaborators, partners or other third parties, and that it is equally important that we treat this information with the same care with which we treat our own information. If you are not sure whether information is considered public, you should either consult with our General Counsel or assume that the information is nonpublic and treat it as confidential.</w:t>
      </w:r>
    </w:p>
    <w:p>
      <w:pPr>
        <w:spacing w:after="0" w:line="1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This Policy applies to all transactions involving our securities, including shares of our common stock, restricted stock units (“</w:t>
      </w:r>
      <w:r>
        <w:rPr>
          <w:rFonts w:ascii="Times New Roman" w:cs="Times New Roman" w:eastAsia="Times New Roman" w:hAnsi="Times New Roman"/>
          <w:sz w:val="19"/>
          <w:szCs w:val="19"/>
          <w:b w:val="1"/>
          <w:bCs w:val="1"/>
          <w:color w:val="auto"/>
        </w:rPr>
        <w:t>RSUs</w:t>
      </w:r>
      <w:r>
        <w:rPr>
          <w:rFonts w:ascii="Times New Roman" w:cs="Times New Roman" w:eastAsia="Times New Roman" w:hAnsi="Times New Roman"/>
          <w:sz w:val="19"/>
          <w:szCs w:val="19"/>
          <w:color w:val="auto"/>
        </w:rPr>
        <w:t>”) and options to purchase common stock, and any other type of debt or equity securities we may issue, such as bonds, preferred stock, convertible notes, warrants and exchange-traded options or other derivative securities relating to Nurix’s securities, whether or not issued by Nurix.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PROHIBITED ACTIVITIES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a list of activities prohibited under this policy based on specific relationships with Nurix: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7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Nurix Therapeutics, Inc.</w:t>
        <w:tab/>
        <w:t>2</w:t>
      </w:r>
      <w:r>
        <w:rPr>
          <w:sz w:val="20"/>
          <w:szCs w:val="20"/>
          <w:color w:val="auto"/>
        </w:rPr>
        <w:tab/>
      </w:r>
      <w:r>
        <w:rPr>
          <w:rFonts w:ascii="Times New Roman" w:cs="Times New Roman" w:eastAsia="Times New Roman" w:hAnsi="Times New Roman"/>
          <w:sz w:val="19"/>
          <w:szCs w:val="19"/>
          <w:i w:val="1"/>
          <w:iCs w:val="1"/>
          <w:color w:val="auto"/>
        </w:rPr>
        <w:t>Insider Trading Policy</w:t>
      </w:r>
    </w:p>
    <w:p>
      <w:pPr>
        <w:sectPr>
          <w:pgSz w:w="11900" w:h="16838" w:orient="portrait"/>
          <w:cols w:equalWidth="0" w:num="1">
            <w:col w:w="11080"/>
          </w:cols>
          <w:pgMar w:left="320" w:top="1440" w:right="499" w:bottom="1440" w:gutter="0" w:footer="0" w:header="0"/>
        </w:sectPr>
      </w:pPr>
    </w:p>
    <w:bookmarkStart w:id="170" w:name="page171"/>
    <w:bookmarkEnd w:id="170"/>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Insider:</w:t>
      </w:r>
    </w:p>
    <w:p>
      <w:pPr>
        <w:spacing w:after="0" w:line="216" w:lineRule="exact"/>
        <w:rPr>
          <w:sz w:val="20"/>
          <w:szCs w:val="20"/>
          <w:color w:val="auto"/>
        </w:rPr>
      </w:pPr>
    </w:p>
    <w:p>
      <w:pPr>
        <w:ind w:left="1180" w:right="240" w:hanging="524"/>
        <w:spacing w:after="0" w:line="283"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our securities while in possession of any MNPI (other than pursuant to a 10b5-1 Plan or a non-Rule 10b5-1 Trading Arrangement (as defined below) entered into in accordance with this Policy).</w:t>
      </w:r>
    </w:p>
    <w:p>
      <w:pPr>
        <w:spacing w:after="0" w:line="146" w:lineRule="exact"/>
        <w:rPr>
          <w:rFonts w:ascii="Times New Roman" w:cs="Times New Roman" w:eastAsia="Times New Roman" w:hAnsi="Times New Roman"/>
          <w:sz w:val="20"/>
          <w:szCs w:val="20"/>
          <w:color w:val="auto"/>
        </w:rPr>
      </w:pPr>
    </w:p>
    <w:p>
      <w:pPr>
        <w:ind w:left="1180" w:right="20" w:hanging="524"/>
        <w:spacing w:after="0" w:line="268"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our securities outside of a Trading Window or during any Blackout Period designated by our General Counsel (other than pursuant to a 10b5-1 Plan or a non- Rule 10b5-1 Trading Arrangement entered into in accordance with this Policy). See the definition of “Trading Window” and “Blackout Period” below.</w:t>
      </w:r>
    </w:p>
    <w:p>
      <w:pPr>
        <w:spacing w:after="0" w:line="161" w:lineRule="exact"/>
        <w:rPr>
          <w:rFonts w:ascii="Times New Roman" w:cs="Times New Roman" w:eastAsia="Times New Roman" w:hAnsi="Times New Roman"/>
          <w:sz w:val="20"/>
          <w:szCs w:val="20"/>
          <w:color w:val="auto"/>
        </w:rPr>
      </w:pPr>
    </w:p>
    <w:p>
      <w:pPr>
        <w:ind w:left="1180" w:right="240" w:hanging="524"/>
        <w:spacing w:after="0" w:line="283"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in the securities of another company in the same industry or sector as Nurix based on MNPI about Nurix, a Nurix collaborator or a Nurix affiliate.</w:t>
      </w:r>
    </w:p>
    <w:p>
      <w:pPr>
        <w:spacing w:after="0" w:line="146" w:lineRule="exact"/>
        <w:rPr>
          <w:rFonts w:ascii="Times New Roman" w:cs="Times New Roman" w:eastAsia="Times New Roman" w:hAnsi="Times New Roman"/>
          <w:sz w:val="20"/>
          <w:szCs w:val="20"/>
          <w:color w:val="auto"/>
        </w:rPr>
      </w:pPr>
    </w:p>
    <w:p>
      <w:pPr>
        <w:ind w:left="1180" w:right="880" w:hanging="524"/>
        <w:spacing w:after="0" w:line="283"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approved in advance by the General Counsel, make a gift, charitable contribution or other transfer without consideration of our securities during a period when you cannot trade.</w:t>
      </w:r>
    </w:p>
    <w:p>
      <w:pPr>
        <w:spacing w:after="0" w:line="155" w:lineRule="exact"/>
        <w:rPr>
          <w:rFonts w:ascii="Times New Roman" w:cs="Times New Roman" w:eastAsia="Times New Roman" w:hAnsi="Times New Roman"/>
          <w:sz w:val="20"/>
          <w:szCs w:val="20"/>
          <w:color w:val="auto"/>
        </w:rPr>
      </w:pPr>
    </w:p>
    <w:p>
      <w:pPr>
        <w:ind w:left="1180" w:right="280" w:hanging="524"/>
        <w:spacing w:after="0" w:line="273"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Share MNPI with any outside person, </w:t>
      </w:r>
      <w:r>
        <w:rPr>
          <w:rFonts w:ascii="Times New Roman" w:cs="Times New Roman" w:eastAsia="Times New Roman" w:hAnsi="Times New Roman"/>
          <w:sz w:val="20"/>
          <w:szCs w:val="20"/>
          <w:i w:val="1"/>
          <w:iCs w:val="1"/>
          <w:color w:val="auto"/>
        </w:rPr>
        <w:t>unless</w:t>
      </w:r>
      <w:r>
        <w:rPr>
          <w:rFonts w:ascii="Times New Roman" w:cs="Times New Roman" w:eastAsia="Times New Roman" w:hAnsi="Times New Roman"/>
          <w:sz w:val="20"/>
          <w:szCs w:val="20"/>
          <w:color w:val="auto"/>
        </w:rPr>
        <w:t xml:space="preserve"> required by your job and such person is under NDA, or as authorized by our General Counsel.</w:t>
      </w:r>
    </w:p>
    <w:p>
      <w:pPr>
        <w:spacing w:after="0" w:line="165" w:lineRule="exact"/>
        <w:rPr>
          <w:rFonts w:ascii="Times New Roman" w:cs="Times New Roman" w:eastAsia="Times New Roman" w:hAnsi="Times New Roman"/>
          <w:sz w:val="20"/>
          <w:szCs w:val="20"/>
          <w:color w:val="auto"/>
        </w:rPr>
      </w:pPr>
    </w:p>
    <w:p>
      <w:pPr>
        <w:ind w:left="1180" w:right="140" w:hanging="524"/>
        <w:spacing w:after="0" w:line="273"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Give trading advice about Nurix to anyone, </w:t>
      </w:r>
      <w:r>
        <w:rPr>
          <w:rFonts w:ascii="Times New Roman" w:cs="Times New Roman" w:eastAsia="Times New Roman" w:hAnsi="Times New Roman"/>
          <w:sz w:val="20"/>
          <w:szCs w:val="20"/>
          <w:i w:val="1"/>
          <w:iCs w:val="1"/>
          <w:color w:val="auto"/>
        </w:rPr>
        <w:t>unless</w:t>
      </w:r>
      <w:r>
        <w:rPr>
          <w:rFonts w:ascii="Times New Roman" w:cs="Times New Roman" w:eastAsia="Times New Roman" w:hAnsi="Times New Roman"/>
          <w:sz w:val="20"/>
          <w:szCs w:val="20"/>
          <w:color w:val="auto"/>
        </w:rPr>
        <w:t xml:space="preserve"> the advice is to tell someone not to trade our securities because the trade would violate this Policy or the law.</w:t>
      </w:r>
    </w:p>
    <w:p>
      <w:pPr>
        <w:spacing w:after="0" w:line="169" w:lineRule="exact"/>
        <w:rPr>
          <w:rFonts w:ascii="Times New Roman" w:cs="Times New Roman" w:eastAsia="Times New Roman" w:hAnsi="Times New Roman"/>
          <w:sz w:val="20"/>
          <w:szCs w:val="20"/>
          <w:color w:val="auto"/>
        </w:rPr>
      </w:pPr>
    </w:p>
    <w:p>
      <w:pPr>
        <w:ind w:left="1180" w:right="80" w:hanging="524"/>
        <w:spacing w:after="0" w:line="261"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Engage in transactions involving options or other derivative securities on our stock, such as puts and calls, whether on an exchange or in any other market, </w:t>
      </w:r>
      <w:r>
        <w:rPr>
          <w:rFonts w:ascii="Times New Roman" w:cs="Times New Roman" w:eastAsia="Times New Roman" w:hAnsi="Times New Roman"/>
          <w:sz w:val="20"/>
          <w:szCs w:val="20"/>
          <w:i w:val="1"/>
          <w:iCs w:val="1"/>
          <w:color w:val="auto"/>
        </w:rPr>
        <w:t>unless</w:t>
      </w:r>
      <w:r>
        <w:rPr>
          <w:rFonts w:ascii="Times New Roman" w:cs="Times New Roman" w:eastAsia="Times New Roman" w:hAnsi="Times New Roman"/>
          <w:sz w:val="20"/>
          <w:szCs w:val="20"/>
          <w:color w:val="auto"/>
        </w:rPr>
        <w:t xml:space="preserve"> you limit the transaction solely to exercising a compensatory equity grant issued by us.</w:t>
      </w:r>
    </w:p>
    <w:p>
      <w:pPr>
        <w:spacing w:after="0" w:line="181"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in hedging or monetization transactions involving our securities, such as zero cost collars and forward sale contracts.</w:t>
      </w:r>
    </w:p>
    <w:p>
      <w:pPr>
        <w:spacing w:after="0" w:line="227" w:lineRule="exact"/>
        <w:rPr>
          <w:rFonts w:ascii="Times New Roman" w:cs="Times New Roman" w:eastAsia="Times New Roman" w:hAnsi="Times New Roman"/>
          <w:sz w:val="19"/>
          <w:szCs w:val="19"/>
          <w:color w:val="auto"/>
        </w:rPr>
      </w:pPr>
    </w:p>
    <w:p>
      <w:pPr>
        <w:ind w:left="1180" w:hanging="524"/>
        <w:spacing w:after="0"/>
        <w:tabs>
          <w:tab w:leader="none" w:pos="11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Contribute our securities to exchange funds in a manner that could be interpreted as hedging in our stock.</w:t>
      </w:r>
    </w:p>
    <w:p>
      <w:pPr>
        <w:spacing w:after="0" w:line="229" w:lineRule="exact"/>
        <w:rPr>
          <w:rFonts w:ascii="Times New Roman" w:cs="Times New Roman" w:eastAsia="Times New Roman" w:hAnsi="Times New Roman"/>
          <w:sz w:val="20"/>
          <w:szCs w:val="20"/>
          <w:color w:val="auto"/>
        </w:rPr>
      </w:pPr>
    </w:p>
    <w:p>
      <w:pPr>
        <w:ind w:left="1180" w:right="260" w:hanging="524"/>
        <w:spacing w:after="0" w:line="269"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short sales of our securities, meaning a sale of securities that you do not own, including short sales “against the box.”</w:t>
      </w:r>
    </w:p>
    <w:p>
      <w:pPr>
        <w:spacing w:after="0" w:line="168" w:lineRule="exact"/>
        <w:rPr>
          <w:rFonts w:ascii="Times New Roman" w:cs="Times New Roman" w:eastAsia="Times New Roman" w:hAnsi="Times New Roman"/>
          <w:sz w:val="20"/>
          <w:szCs w:val="20"/>
          <w:color w:val="auto"/>
        </w:rPr>
      </w:pPr>
    </w:p>
    <w:p>
      <w:pPr>
        <w:ind w:left="1180" w:right="60" w:hanging="524"/>
        <w:spacing w:after="0" w:line="287"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Use or pledge our securities as collateral in a margin account or as collateral for a loan, </w:t>
      </w:r>
      <w:r>
        <w:rPr>
          <w:rFonts w:ascii="Times New Roman" w:cs="Times New Roman" w:eastAsia="Times New Roman" w:hAnsi="Times New Roman"/>
          <w:sz w:val="20"/>
          <w:szCs w:val="20"/>
          <w:i w:val="1"/>
          <w:iCs w:val="1"/>
          <w:color w:val="auto"/>
        </w:rPr>
        <w:t>unless</w:t>
      </w:r>
      <w:r>
        <w:rPr>
          <w:rFonts w:ascii="Times New Roman" w:cs="Times New Roman" w:eastAsia="Times New Roman" w:hAnsi="Times New Roman"/>
          <w:sz w:val="20"/>
          <w:szCs w:val="20"/>
          <w:color w:val="auto"/>
        </w:rPr>
        <w:t xml:space="preserve"> the pledge has been approved by our General Counsel at least two weeks prior to the proposed execution of documents for the pledge.</w:t>
      </w:r>
    </w:p>
    <w:p>
      <w:pPr>
        <w:spacing w:after="0" w:line="142" w:lineRule="exact"/>
        <w:rPr>
          <w:rFonts w:ascii="Times New Roman" w:cs="Times New Roman" w:eastAsia="Times New Roman" w:hAnsi="Times New Roman"/>
          <w:sz w:val="20"/>
          <w:szCs w:val="20"/>
          <w:color w:val="auto"/>
        </w:rPr>
      </w:pPr>
    </w:p>
    <w:p>
      <w:pPr>
        <w:ind w:left="1180" w:right="220" w:hanging="524"/>
        <w:spacing w:after="0" w:line="258"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Distribute our securities to limited partners, general partners or stockholders of any entity outside of a Trading Window or during a Blackout Period (other than pursuant to a 10b5-1 Plan entered into in accordance with this Policy), unless those limited partners, general partners or stockholders have agreed in writing to hold the securities until the next open Trading Window.</w:t>
      </w:r>
    </w:p>
    <w:p>
      <w:pPr>
        <w:spacing w:after="0" w:line="185" w:lineRule="exact"/>
        <w:rPr>
          <w:rFonts w:ascii="Times New Roman" w:cs="Times New Roman" w:eastAsia="Times New Roman" w:hAnsi="Times New Roman"/>
          <w:sz w:val="20"/>
          <w:szCs w:val="20"/>
          <w:color w:val="auto"/>
        </w:rPr>
      </w:pPr>
    </w:p>
    <w:p>
      <w:pPr>
        <w:ind w:left="1180" w:right="300" w:hanging="524"/>
        <w:spacing w:after="0" w:line="269" w:lineRule="auto"/>
        <w:tabs>
          <w:tab w:leader="none" w:pos="117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of the above activities for securities you own in any other company if you have MNPI about that company obtained in the course of your service to Nurix.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Nurix Therapeutics, Inc.</w:t>
        <w:tab/>
        <w:t>3</w:t>
      </w:r>
      <w:r>
        <w:rPr>
          <w:sz w:val="20"/>
          <w:szCs w:val="20"/>
          <w:color w:val="auto"/>
        </w:rPr>
        <w:tab/>
      </w:r>
      <w:r>
        <w:rPr>
          <w:rFonts w:ascii="Times New Roman" w:cs="Times New Roman" w:eastAsia="Times New Roman" w:hAnsi="Times New Roman"/>
          <w:sz w:val="19"/>
          <w:szCs w:val="19"/>
          <w:i w:val="1"/>
          <w:iCs w:val="1"/>
          <w:color w:val="auto"/>
        </w:rPr>
        <w:t>Insider Trading Policy</w:t>
      </w:r>
    </w:p>
    <w:p>
      <w:pPr>
        <w:sectPr>
          <w:pgSz w:w="11900" w:h="16838" w:orient="portrait"/>
          <w:cols w:equalWidth="0" w:num="1">
            <w:col w:w="11060"/>
          </w:cols>
          <w:pgMar w:left="320" w:top="1440" w:right="519" w:bottom="1440" w:gutter="0" w:footer="0" w:header="0"/>
        </w:sectPr>
      </w:pPr>
    </w:p>
    <w:bookmarkStart w:id="171" w:name="page172"/>
    <w:bookmarkEnd w:id="171"/>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16 Insider and Designated Insider – All the Insider prohibitions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660" w:hanging="328"/>
        <w:spacing w:after="0" w:line="250"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our stock outside of an approved 10b5-1 Plan or approved non-Rule 10b5-1 Trading Arrangement without obtaining pre-approval from our General Counsel by: (a) providing written notification of the amount and nature of the proposed trade, (b) certifying no earlier than two full business days prior to the proposed trade that you have no MNPI and, to your knowledge, you will have no MNPI as of the proposed trade date, and (c) receiving email confirmation from our General Counsel approving the trade, which approval can be granted or denied at his or her discretion. You may satisfy (a) and (b) by emailing the required information and certification to our General Counsel and must notify our General Counsel promptly via email of any changes to the certification in (b) prior to the proposed trade. Our General Counsel must get pre-approval from our Chief Financial Officer, or if our Chief Financial Offer is the General Counsel, then our Chief Executive Officer. For the avoidance of doubt, the foregoing shall not apply to transactions in stock held by entities such as venture capital funds, partnerships, trusts and corporations with which our directors are associated or affiliated.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Exceptions to Prohibited Activities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trading restrictions of this Policy do not apply to the following:</w:t>
      </w:r>
    </w:p>
    <w:p>
      <w:pPr>
        <w:spacing w:after="0" w:line="212" w:lineRule="exact"/>
        <w:rPr>
          <w:sz w:val="20"/>
          <w:szCs w:val="20"/>
          <w:color w:val="auto"/>
        </w:rPr>
      </w:pPr>
    </w:p>
    <w:p>
      <w:pPr>
        <w:ind w:left="660" w:right="100" w:hanging="328"/>
        <w:spacing w:after="0" w:line="315" w:lineRule="auto"/>
        <w:tabs>
          <w:tab w:leader="none" w:pos="64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401(k) Plan</w:t>
      </w:r>
      <w:r>
        <w:rPr>
          <w:rFonts w:ascii="Times New Roman" w:cs="Times New Roman" w:eastAsia="Times New Roman" w:hAnsi="Times New Roman"/>
          <w:sz w:val="19"/>
          <w:szCs w:val="19"/>
          <w:color w:val="auto"/>
        </w:rPr>
        <w:t>. Investing 401(k) plan contributions in a company stock fund in accordance with the terms of our 401(k) plan.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However, any changes in your investment election regarding Nurix’s securities are subject to trading restrictions under this Policy.</w:t>
      </w:r>
    </w:p>
    <w:p>
      <w:pPr>
        <w:spacing w:after="0" w:line="128" w:lineRule="exact"/>
        <w:rPr>
          <w:rFonts w:ascii="Times New Roman" w:cs="Times New Roman" w:eastAsia="Times New Roman" w:hAnsi="Times New Roman"/>
          <w:sz w:val="19"/>
          <w:szCs w:val="19"/>
          <w:color w:val="auto"/>
        </w:rPr>
      </w:pPr>
    </w:p>
    <w:p>
      <w:pPr>
        <w:ind w:left="660" w:right="180" w:hanging="328"/>
        <w:spacing w:after="0" w:line="263"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Employee Stock Purchase Plan</w:t>
      </w:r>
      <w:r>
        <w:rPr>
          <w:rFonts w:ascii="Times New Roman" w:cs="Times New Roman" w:eastAsia="Times New Roman" w:hAnsi="Times New Roman"/>
          <w:sz w:val="20"/>
          <w:szCs w:val="20"/>
          <w:color w:val="auto"/>
        </w:rPr>
        <w:t>. Purchasing our stock through periodic, automatic payroll contributions to our ESPP, making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election changes related to the ESPP and electing to enroll in the ESPP. However, any sales of our stock acquired under the ESPP are subject to trading restrictions under this Policy.</w:t>
      </w:r>
    </w:p>
    <w:p>
      <w:pPr>
        <w:spacing w:after="0" w:line="161" w:lineRule="exact"/>
        <w:rPr>
          <w:rFonts w:ascii="Times New Roman" w:cs="Times New Roman" w:eastAsia="Times New Roman" w:hAnsi="Times New Roman"/>
          <w:sz w:val="20"/>
          <w:szCs w:val="20"/>
          <w:color w:val="auto"/>
        </w:rPr>
      </w:pPr>
    </w:p>
    <w:p>
      <w:pPr>
        <w:ind w:left="660" w:right="40" w:hanging="328"/>
        <w:spacing w:after="0" w:line="254"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Options</w:t>
      </w:r>
      <w:r>
        <w:rPr>
          <w:rFonts w:ascii="Times New Roman" w:cs="Times New Roman" w:eastAsia="Times New Roman" w:hAnsi="Times New Roman"/>
          <w:sz w:val="20"/>
          <w:szCs w:val="20"/>
          <w:color w:val="auto"/>
        </w:rPr>
        <w:t>. Exercising stock options granted under our equity incentive plans (i) when cash is paid to satisfy the full exercise price;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(ii) when previously owned company stock is delivered to Nurix to satisfy the full exercise price; or (iii) through a net exercise of a stock option that is permitted by Nurix’s equity incentive plan and that does not involve a sale of shares in the open market. Payment of taxes in connection with exercising stock options granted under the Nurix equity incentive plans pursuant to net settlement arrangements approved by Nurix for the payment of taxes upon the exercise of stock options and that does not involve a sale of shares in the open market. However, the sale of any shares issued on the exercise of company-granted stock options, as well as any cashless exercise of company-granted stock options in which stock is sold on the open market to pay the exercise price or taxes (i.e., “same-day sales”) are subject to trading restrictions under this Policy.</w:t>
      </w:r>
    </w:p>
    <w:p>
      <w:pPr>
        <w:spacing w:after="0" w:line="172" w:lineRule="exact"/>
        <w:rPr>
          <w:rFonts w:ascii="Times New Roman" w:cs="Times New Roman" w:eastAsia="Times New Roman" w:hAnsi="Times New Roman"/>
          <w:sz w:val="20"/>
          <w:szCs w:val="20"/>
          <w:color w:val="auto"/>
        </w:rPr>
      </w:pPr>
    </w:p>
    <w:p>
      <w:pPr>
        <w:ind w:left="660" w:right="240" w:hanging="328"/>
        <w:spacing w:after="0" w:line="287"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RSUs</w:t>
      </w:r>
      <w:r>
        <w:rPr>
          <w:rFonts w:ascii="Times New Roman" w:cs="Times New Roman" w:eastAsia="Times New Roman" w:hAnsi="Times New Roman"/>
          <w:sz w:val="20"/>
          <w:szCs w:val="20"/>
          <w:color w:val="auto"/>
        </w:rPr>
        <w:t>. The settlement of RSUs pursuant to a net settlement or a “sale to cover” for non-discretionary, automatic tax withholdings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initiated and approved by Nurix for the payment of taxes upon the vesting of RSUs.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WHEN TRADING IS ALLOWED</w:t>
      </w:r>
    </w:p>
    <w:p>
      <w:pPr>
        <w:spacing w:after="0" w:line="12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When you have access to MNPI, you need to take special care in planning when you might trade our stock. We have provided guidelines below to help you plan your trading in a way that is consistent with this Policy and the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Nurix Therapeutics, Inc.</w:t>
        <w:tab/>
        <w:t>4</w:t>
      </w:r>
      <w:r>
        <w:rPr>
          <w:sz w:val="20"/>
          <w:szCs w:val="20"/>
          <w:color w:val="auto"/>
        </w:rPr>
        <w:tab/>
      </w:r>
      <w:r>
        <w:rPr>
          <w:rFonts w:ascii="Times New Roman" w:cs="Times New Roman" w:eastAsia="Times New Roman" w:hAnsi="Times New Roman"/>
          <w:sz w:val="19"/>
          <w:szCs w:val="19"/>
          <w:i w:val="1"/>
          <w:iCs w:val="1"/>
          <w:color w:val="auto"/>
        </w:rPr>
        <w:t>Insider Trading Policy</w:t>
      </w:r>
    </w:p>
    <w:p>
      <w:pPr>
        <w:sectPr>
          <w:pgSz w:w="11900" w:h="16838" w:orient="portrait"/>
          <w:cols w:equalWidth="0" w:num="1">
            <w:col w:w="11080"/>
          </w:cols>
          <w:pgMar w:left="320" w:top="1440" w:right="499" w:bottom="1440" w:gutter="0" w:footer="0" w:header="0"/>
        </w:sectPr>
      </w:pPr>
    </w:p>
    <w:bookmarkStart w:id="172" w:name="page173"/>
    <w:bookmarkEnd w:id="172"/>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Trading Windows and Blackout Periods</w:t>
      </w:r>
    </w:p>
    <w:p>
      <w:pPr>
        <w:spacing w:after="0" w:line="212" w:lineRule="exact"/>
        <w:rPr>
          <w:sz w:val="20"/>
          <w:szCs w:val="20"/>
          <w:color w:val="auto"/>
        </w:rPr>
      </w:pPr>
    </w:p>
    <w:p>
      <w:pPr>
        <w:ind w:left="660" w:right="140" w:hanging="328"/>
        <w:spacing w:after="0" w:line="252" w:lineRule="auto"/>
        <w:tabs>
          <w:tab w:leader="none" w:pos="6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Trading Windows</w:t>
      </w:r>
      <w:r>
        <w:rPr>
          <w:rFonts w:ascii="Times New Roman" w:cs="Times New Roman" w:eastAsia="Times New Roman" w:hAnsi="Times New Roman"/>
          <w:sz w:val="20"/>
          <w:szCs w:val="20"/>
          <w:color w:val="auto"/>
        </w:rPr>
        <w:t>. Both our existing stockholders and potential new investors in our stock need time to absorb our external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statements before the information in those statements will be considered “public.” For that reason, we have implemented windows of time when you can trade our stock without violating this Policy. Other than pursuant to an approved 10b5-1 Plan or an approved non-Rule 10b5-1 Trading Arrangement, all Insiders are allowed to trade our securities only during the Trading Window period, which opens after the close of trading on the next full trading day following the widespread public release of our quarterly or year-end operating results, and closes at the close of trading on the last date of the then-current quarter. For example, if we publicly announce our quarterly financial results after close of trading on a Monday (or before trading begins on a Tuesday), then the first time an Insider can trade our securities is after the close of market on Tuesday (effectively at the opening of the market on Wednesday for regular trading).</w:t>
      </w:r>
    </w:p>
    <w:p>
      <w:pPr>
        <w:spacing w:after="0" w:line="72" w:lineRule="exact"/>
        <w:rPr>
          <w:sz w:val="20"/>
          <w:szCs w:val="20"/>
          <w:color w:val="auto"/>
        </w:rPr>
      </w:pPr>
    </w:p>
    <w:p>
      <w:pPr>
        <w:ind w:left="160" w:right="260"/>
        <w:spacing w:after="0" w:line="283" w:lineRule="auto"/>
        <w:rPr>
          <w:sz w:val="20"/>
          <w:szCs w:val="20"/>
          <w:color w:val="auto"/>
        </w:rPr>
      </w:pPr>
      <w:r>
        <w:rPr>
          <w:rFonts w:ascii="Times New Roman" w:cs="Times New Roman" w:eastAsia="Times New Roman" w:hAnsi="Times New Roman"/>
          <w:sz w:val="20"/>
          <w:szCs w:val="20"/>
          <w:color w:val="auto"/>
        </w:rPr>
        <w:t>However, if we announce quarterly financial results after trading begins on that Tuesday, then the first time the Insider can trade is after the close of market on Wednesday (effectively at the opening of the market on Thursday for regular trading).</w:t>
      </w:r>
    </w:p>
    <w:p>
      <w:pPr>
        <w:spacing w:after="0" w:line="142" w:lineRule="exact"/>
        <w:rPr>
          <w:sz w:val="20"/>
          <w:szCs w:val="20"/>
          <w:color w:val="auto"/>
        </w:rPr>
      </w:pPr>
    </w:p>
    <w:p>
      <w:pPr>
        <w:ind w:left="660" w:right="180" w:hanging="328"/>
        <w:spacing w:after="0" w:line="260"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Trading During Trading Windows While in the Possession of MNPI</w:t>
      </w:r>
      <w:r>
        <w:rPr>
          <w:rFonts w:ascii="Times New Roman" w:cs="Times New Roman" w:eastAsia="Times New Roman" w:hAnsi="Times New Roman"/>
          <w:sz w:val="20"/>
          <w:szCs w:val="20"/>
          <w:color w:val="auto"/>
        </w:rPr>
        <w:t>. Even if a Trading Window that would allow you to trade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securities is open, you still may not trade our securities if you possess MNPI at that time. An Insider who knows MNPI during an open Trading Window may trade our securities only after the close of trading on the next full trading day following our widespread public release of that MNPI.</w:t>
      </w:r>
    </w:p>
    <w:p>
      <w:pPr>
        <w:spacing w:after="0" w:line="177" w:lineRule="exact"/>
        <w:rPr>
          <w:rFonts w:ascii="Times New Roman" w:cs="Times New Roman" w:eastAsia="Times New Roman" w:hAnsi="Times New Roman"/>
          <w:sz w:val="20"/>
          <w:szCs w:val="20"/>
          <w:color w:val="auto"/>
        </w:rPr>
      </w:pPr>
    </w:p>
    <w:p>
      <w:pPr>
        <w:ind w:left="660" w:right="100" w:hanging="328"/>
        <w:spacing w:after="0" w:line="260"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Trading During Blackout Periods</w:t>
      </w:r>
      <w:r>
        <w:rPr>
          <w:rFonts w:ascii="Times New Roman" w:cs="Times New Roman" w:eastAsia="Times New Roman" w:hAnsi="Times New Roman"/>
          <w:sz w:val="20"/>
          <w:szCs w:val="20"/>
          <w:color w:val="auto"/>
        </w:rPr>
        <w:t>. Even if a Trading Window is open, our General Counsel, at her discretion, may designate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special trading restrictions (“</w:t>
      </w:r>
      <w:r>
        <w:rPr>
          <w:rFonts w:ascii="Times New Roman" w:cs="Times New Roman" w:eastAsia="Times New Roman" w:hAnsi="Times New Roman"/>
          <w:sz w:val="20"/>
          <w:szCs w:val="20"/>
          <w:b w:val="1"/>
          <w:bCs w:val="1"/>
          <w:color w:val="auto"/>
        </w:rPr>
        <w:t>Blackout Period</w:t>
      </w:r>
      <w:r>
        <w:rPr>
          <w:rFonts w:ascii="Times New Roman" w:cs="Times New Roman" w:eastAsia="Times New Roman" w:hAnsi="Times New Roman"/>
          <w:sz w:val="20"/>
          <w:szCs w:val="20"/>
          <w:color w:val="auto"/>
        </w:rPr>
        <w:t>”) that apply to specific individuals or groups of people (including all Insiders) for as long as our General Counsel determines. No Insider subject to a Blackout Period may trade our securities during any such Blackout Period.</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Additionally, no Insider subject to a Blackout Period is permitted to tell anyone not subject to the Blackout Period that a Blackout Period has been designated or that one previously was in place, because that also is confidential information that cannot be disclosed internally or externally.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PERMITTED TRADES UNDER 10B5-1 PLANS</w:t>
      </w:r>
    </w:p>
    <w:p>
      <w:pPr>
        <w:spacing w:after="0" w:line="233"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Nurix allows Insiders to trade in Nurix securities while in possession of MNPI, outside of a Trading Window or during a Blackout Period, only pursuant to a “10b5-1 Plan.”</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 10b5-1 Plan is a plan written in advance that allows an Insider with MNPI to trade a predetermined number of shares at a predetermined time based on terms put in place before the Insider had any MNPI as contemplated in Rule 10b5-1; these trades occur in accordance with the 10b5-1 Plan and without any action or influence by the Insider. We encourage all of our Section 16 Insiders and Designated Insiders to establish a 10b5-1 plan. If you are interested in setting up a 10b5-1 Plan, you should consult with our General Counsel and make sure that:</w:t>
      </w:r>
    </w:p>
    <w:p>
      <w:pPr>
        <w:spacing w:after="0" w:line="187" w:lineRule="exact"/>
        <w:rPr>
          <w:sz w:val="20"/>
          <w:szCs w:val="20"/>
          <w:color w:val="auto"/>
        </w:rPr>
      </w:pPr>
    </w:p>
    <w:p>
      <w:pPr>
        <w:ind w:left="640" w:hanging="308"/>
        <w:spacing w:after="0"/>
        <w:tabs>
          <w:tab w:leader="none" w:pos="6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complies with the requirements of Rule 10b5-1 under the Exchange Act and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Nurix Therapeutics, Inc.</w:t>
        <w:tab/>
        <w:t>5</w:t>
      </w:r>
      <w:r>
        <w:rPr>
          <w:sz w:val="20"/>
          <w:szCs w:val="20"/>
          <w:color w:val="auto"/>
        </w:rPr>
        <w:tab/>
      </w:r>
      <w:r>
        <w:rPr>
          <w:rFonts w:ascii="Times New Roman" w:cs="Times New Roman" w:eastAsia="Times New Roman" w:hAnsi="Times New Roman"/>
          <w:sz w:val="19"/>
          <w:szCs w:val="19"/>
          <w:i w:val="1"/>
          <w:iCs w:val="1"/>
          <w:color w:val="auto"/>
        </w:rPr>
        <w:t>Insider Trading Policy</w:t>
      </w:r>
    </w:p>
    <w:p>
      <w:pPr>
        <w:sectPr>
          <w:pgSz w:w="11900" w:h="16838" w:orient="portrait"/>
          <w:cols w:equalWidth="0" w:num="1">
            <w:col w:w="11160"/>
          </w:cols>
          <w:pgMar w:left="320" w:top="1440" w:right="419" w:bottom="1440" w:gutter="0" w:footer="0" w:header="0"/>
        </w:sectPr>
      </w:pPr>
    </w:p>
    <w:bookmarkStart w:id="173" w:name="page174"/>
    <w:bookmarkEnd w:id="173"/>
    <w:p>
      <w:pPr>
        <w:spacing w:after="0" w:line="189" w:lineRule="exact"/>
        <w:rPr>
          <w:sz w:val="20"/>
          <w:szCs w:val="20"/>
          <w:color w:val="auto"/>
        </w:rPr>
      </w:pPr>
    </w:p>
    <w:p>
      <w:pPr>
        <w:ind w:left="660" w:right="140" w:hanging="328"/>
        <w:spacing w:after="0" w:line="264" w:lineRule="auto"/>
        <w:tabs>
          <w:tab w:leader="none" w:pos="64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have certified to our General Counsel in writing, no earlier than two business days prior to the date that the 10b5-1 Plan is formally established (and shall not have withdrawn such certification prior to adoption of such 10b5-1 Plan), that as of such date and as of the adoption date of the 10b5-1 Plan, (i) you do not and, to your knowledge, will not be in possession of MNPI, (ii) you are aware that all trades to be made pursuant to the 10b5-1 Plan will be made in accordance with applicable SEC rules, including Section 16 of the Exchange Act and Rule 144 of the Securities of 1933, as amended, as applicable, (iii) you are adopting the 10b5-1 Plan in good faith and not as part of a plan or scheme to evade the prohibitions of Section 10(b) of the Exchange Act and Rule</w:t>
      </w:r>
    </w:p>
    <w:p>
      <w:pPr>
        <w:spacing w:after="0" w:line="4" w:lineRule="exact"/>
        <w:rPr>
          <w:rFonts w:ascii="Times New Roman" w:cs="Times New Roman" w:eastAsia="Times New Roman" w:hAnsi="Times New Roman"/>
          <w:sz w:val="19"/>
          <w:szCs w:val="19"/>
          <w:color w:val="auto"/>
        </w:rPr>
      </w:pPr>
    </w:p>
    <w:p>
      <w:pPr>
        <w:ind w:left="660" w:right="32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10b5-1, and (iv) you will act in good faith with respect to the 10b5-1 Plan throughout its duration. This certification may be made in an email to our General Counsel. You must notify our General Counsel promptly via</w:t>
      </w:r>
    </w:p>
    <w:p>
      <w:pPr>
        <w:spacing w:after="0" w:line="1" w:lineRule="exact"/>
        <w:rPr>
          <w:rFonts w:ascii="Times New Roman" w:cs="Times New Roman" w:eastAsia="Times New Roman" w:hAnsi="Times New Roman"/>
          <w:sz w:val="19"/>
          <w:szCs w:val="19"/>
          <w:color w:val="auto"/>
        </w:rPr>
      </w:pPr>
    </w:p>
    <w:p>
      <w:pPr>
        <w:ind w:left="620" w:right="62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email and withdraw the certification if any changes of circumstances prior to the adoption date of the 10b5-1 Plan have or will render such certification to be inaccurate as of that time.</w:t>
      </w:r>
    </w:p>
    <w:p>
      <w:pPr>
        <w:spacing w:after="0" w:line="188" w:lineRule="exact"/>
        <w:rPr>
          <w:rFonts w:ascii="Times New Roman" w:cs="Times New Roman" w:eastAsia="Times New Roman" w:hAnsi="Times New Roman"/>
          <w:sz w:val="19"/>
          <w:szCs w:val="19"/>
          <w:color w:val="auto"/>
        </w:rPr>
      </w:pPr>
    </w:p>
    <w:p>
      <w:pPr>
        <w:ind w:left="660" w:right="220" w:hanging="328"/>
        <w:spacing w:after="0" w:line="253" w:lineRule="auto"/>
        <w:tabs>
          <w:tab w:leader="none" w:pos="64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10b5-1 Plan does not occur (i) for a Section 16 Insider: until the later of (a) ninety (90) days after the adoption of the 10b5-1 Plan and (B) two (2) business days following the disclosure of Nurix’s financial results in a Form 10-Q or Form 10-K for the completed fiscal quarter in which the 10b5-1 Plan was adopted (but not to exceed 120 days following the adoption of the 10b5-1 Plan); and (ii) for persons other than Section 16 Insiders: until at least 30 days after the effective date of the 10b5-1 Plan. These waiting periods are collectively referred to as the “</w:t>
      </w:r>
      <w:r>
        <w:rPr>
          <w:rFonts w:ascii="Times New Roman" w:cs="Times New Roman" w:eastAsia="Times New Roman" w:hAnsi="Times New Roman"/>
          <w:sz w:val="20"/>
          <w:szCs w:val="20"/>
          <w:b w:val="1"/>
          <w:bCs w:val="1"/>
          <w:color w:val="auto"/>
        </w:rPr>
        <w:t>Cooling-Off Period</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left="660" w:right="520" w:hanging="328"/>
        <w:spacing w:after="0" w:line="261" w:lineRule="auto"/>
        <w:tabs>
          <w:tab w:leader="none" w:pos="64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is not a single-trade 10b5- 1 Plan adopted during the 12-month period immediately following the person’s adoption of another single-trade 10b5-1 Plan, subject to the exceptions noted in Rule 10b5-1, which are provided for you in the Appendix.</w:t>
      </w:r>
    </w:p>
    <w:p>
      <w:pPr>
        <w:spacing w:after="0" w:line="181" w:lineRule="exact"/>
        <w:rPr>
          <w:rFonts w:ascii="Times New Roman" w:cs="Times New Roman" w:eastAsia="Times New Roman" w:hAnsi="Times New Roman"/>
          <w:sz w:val="20"/>
          <w:szCs w:val="20"/>
          <w:color w:val="auto"/>
        </w:rPr>
      </w:pPr>
    </w:p>
    <w:p>
      <w:pPr>
        <w:ind w:left="660" w:right="900" w:hanging="328"/>
        <w:spacing w:after="0" w:line="269" w:lineRule="auto"/>
        <w:tabs>
          <w:tab w:leader="none" w:pos="64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is put in place during an open Trading Window and not during any regular quarterly or specially declared Blackout Period.</w:t>
      </w:r>
    </w:p>
    <w:p>
      <w:pPr>
        <w:spacing w:after="0" w:line="172" w:lineRule="exact"/>
        <w:rPr>
          <w:rFonts w:ascii="Times New Roman" w:cs="Times New Roman" w:eastAsia="Times New Roman" w:hAnsi="Times New Roman"/>
          <w:sz w:val="20"/>
          <w:szCs w:val="20"/>
          <w:color w:val="auto"/>
        </w:rPr>
      </w:pPr>
    </w:p>
    <w:p>
      <w:pPr>
        <w:ind w:left="660" w:right="180" w:hanging="328"/>
        <w:spacing w:after="0" w:line="261" w:lineRule="auto"/>
        <w:tabs>
          <w:tab w:leader="none" w:pos="64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have no more than one 10b5-1 Plan adopted at any point in time (i.e., multiple concurrent or overlapping plans are prohibited), subject to the exceptions noted in Rule 10b5-1, which are provided for you in the Appendix. One of these exceptions is for plans authorizing certain “sell-to-cover” transactions.</w:t>
      </w:r>
    </w:p>
    <w:p>
      <w:pPr>
        <w:spacing w:after="0" w:line="73"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Approval of a 10b5-1 Plan by our General Counsel and/or an acknowledgement of a 10b5-1 Plan by Nurix shall not be considered a determination by our General Counsel or Nurix that the 10b5-1 Plan satisfies the requirements of Rule 10b5-1.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10b5-1 Plan Modifications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Once you have an approved 10b5-1 Plan in place, you will need approval from our General Counsel to make certain changes to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Modifying or changing the amount, price, or timing of the purchase or sale of our securities underlying the 10b5-1 Plan (or a modification or change to a written formula or algorithm, or computer program that affects the amount, price, or timing of the purchase or sale of such securities) (any such modification or change, a “</w:t>
      </w:r>
      <w:r>
        <w:rPr>
          <w:rFonts w:ascii="Times New Roman" w:cs="Times New Roman" w:eastAsia="Times New Roman" w:hAnsi="Times New Roman"/>
          <w:sz w:val="20"/>
          <w:szCs w:val="20"/>
          <w:b w:val="1"/>
          <w:bCs w:val="1"/>
          <w:color w:val="auto"/>
        </w:rPr>
        <w:t>Plan Modification</w:t>
      </w:r>
      <w:r>
        <w:rPr>
          <w:rFonts w:ascii="Times New Roman" w:cs="Times New Roman" w:eastAsia="Times New Roman" w:hAnsi="Times New Roman"/>
          <w:sz w:val="20"/>
          <w:szCs w:val="20"/>
          <w:color w:val="auto"/>
        </w:rPr>
        <w:t>”) will be deemed to be the same as terminating your existing 10b5-1 Plan and entering into a new 10b5-1 Plan. As a result, the approval process for a Plan Modification is the same as the approval process for initially adopting a 10b5-1 Plan, including being subject to a new Cooling-Off Period. We discourage you from making multiple Plan Modifications, as that may give the appearance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Nurix Therapeutics, Inc.</w:t>
        <w:tab/>
        <w:t>6</w:t>
      </w:r>
      <w:r>
        <w:rPr>
          <w:sz w:val="20"/>
          <w:szCs w:val="20"/>
          <w:color w:val="auto"/>
        </w:rPr>
        <w:tab/>
      </w:r>
      <w:r>
        <w:rPr>
          <w:rFonts w:ascii="Times New Roman" w:cs="Times New Roman" w:eastAsia="Times New Roman" w:hAnsi="Times New Roman"/>
          <w:sz w:val="19"/>
          <w:szCs w:val="19"/>
          <w:i w:val="1"/>
          <w:iCs w:val="1"/>
          <w:color w:val="auto"/>
        </w:rPr>
        <w:t>Insider Trading Policy</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that you are trading on MNPI under the guise of that plan. Plan Modifications can only be made during a Trading Window and not during any Blackout Period and only when you are not in possession of MNPI. For other modifications to a 10b5-1 Plan, you must notify the General Counsel of such modification in writing at least two business days prior to the modification and such modification must be approved by the General Counsel.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10b5-1 Plan Terminations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Once you have an approved 10b5-1 Plan in place, you will need approval from our General Counsel to terminate 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Trading Arrangements</w:t>
      </w:r>
    </w:p>
    <w:p>
      <w:pPr>
        <w:spacing w:after="0" w:line="104"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20"/>
          <w:szCs w:val="20"/>
          <w:color w:val="auto"/>
        </w:rPr>
        <w:t>Insiders are not allowed to enter into “non-Rule 10b5-1 trading arrangements” (as defined in Regulation S-K Item 408(c)) (a “</w:t>
      </w:r>
      <w:r>
        <w:rPr>
          <w:rFonts w:ascii="Times New Roman" w:cs="Times New Roman" w:eastAsia="Times New Roman" w:hAnsi="Times New Roman"/>
          <w:sz w:val="20"/>
          <w:szCs w:val="20"/>
          <w:b w:val="1"/>
          <w:bCs w:val="1"/>
          <w:color w:val="auto"/>
        </w:rPr>
        <w:t>non-Rule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10b5-1 Trading Arrangement</w:t>
      </w:r>
      <w:r>
        <w:rPr>
          <w:rFonts w:ascii="Times New Roman" w:cs="Times New Roman" w:eastAsia="Times New Roman" w:hAnsi="Times New Roman"/>
          <w:sz w:val="20"/>
          <w:szCs w:val="20"/>
          <w:color w:val="auto"/>
        </w:rPr>
        <w:t>”) unless otherwise approved in advance by our General Counsel.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THERE ARE SIGNIFICANT CONSEQUENCES FOR VIOLATING INSIDER TRADING LAWS</w:t>
      </w:r>
    </w:p>
    <w:p>
      <w:pPr>
        <w:spacing w:after="0" w:line="11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The consequences of violating the insider trading laws can be severe. People who violate insider trading laws may be required to disgorge profits made or losses avoided by trading, pay the loss suffered by the persons who purchased securities from or sold securities to the insider tippee,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CONSEQUENCES OF VIOLATING THIS POLICY</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We may impose sanctions on anyone violating this Policy and may issue stop-transfer orders to our transfer agent to forestall any attempted trades that would violate this Policy. Sanctions may include disciplinary action, including termination of your Nurix employment. Section 16 Insiders and Designated Insiders may be required to certify compliance with this Policy on an annual basis. Notifications and approvals required under this Policy may be provided by email.</w:t>
      </w:r>
    </w:p>
    <w:p>
      <w:pPr>
        <w:spacing w:after="0" w:line="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The trading prohibitions of this Policy are not the only securities-trading rules and regulations you need to follow. You should be aware of additional prohibitions and restrictions set by contract or by federal and state securities laws and regulations (e.g., contractual restrictions on the resale of securities, rules on short-swing trading by Section 16 Insiders, compliance with Rule 144 under the Securities Act and others). Any Insider who is uncertain whether other prohibitions or restrictions apply should ask our General Counsel.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1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General Counsel will administer and interpret this Policy and enforce compliance as needed. The General Counsel may consult with Nurix’s outside legal counsel as needed. The General Counsel may designate other individuals to perform the General Counsel’s duties under this Policy.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Neither Nurix nor the General Counsel will be liable for any act made under this Policy.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Neither Nurix nor the General Counsel is responsible for any failure to approve a trade or for imposing any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Nurix Therapeutics, Inc.</w:t>
        <w:tab/>
        <w:t>7</w:t>
      </w:r>
      <w:r>
        <w:rPr>
          <w:sz w:val="20"/>
          <w:szCs w:val="20"/>
          <w:color w:val="auto"/>
        </w:rPr>
        <w:tab/>
      </w:r>
      <w:r>
        <w:rPr>
          <w:rFonts w:ascii="Times New Roman" w:cs="Times New Roman" w:eastAsia="Times New Roman" w:hAnsi="Times New Roman"/>
          <w:sz w:val="19"/>
          <w:szCs w:val="19"/>
          <w:i w:val="1"/>
          <w:iCs w:val="1"/>
          <w:color w:val="auto"/>
        </w:rPr>
        <w:t>Insider Trading Policy</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VIOLATIONS; QUESTIONS</w:t>
      </w:r>
    </w:p>
    <w:p>
      <w:pPr>
        <w:spacing w:after="0" w:line="12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Any Insider who violates this Policy or any federal or state laws governing insider trading or tipping, or who knows of any such violation by any other Insider, must report the violation immediately to our General Counsel.</w:t>
      </w:r>
    </w:p>
    <w:p>
      <w:pPr>
        <w:spacing w:after="0" w:line="6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20"/>
          <w:szCs w:val="20"/>
          <w:color w:val="auto"/>
        </w:rPr>
        <w:t>Please direct all questions about this Policy to our General Counsel. If you want to submit a concern or complaint regarding a possible violation of this Policy anonymously, you should follow the procedures outlined in our Whistleblower Policy. Anyone who violates this Policy may be subject to disciplinary measures, which may include termination of employment.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TO THIS POLICY</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Board reserves the right in its sole discretion to modify or grant waivers to this Policy. Any amendments or waiver may be publicly disclosed if required by applicable laws, rules and regulations. For the avoidance of doubt, unless explicitly stated by Nurix’s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any waiver, amendment or modification of the Policy by the Board shall not be considered a waiver of Nurix’s Code of Business Conduct and Ethics.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BY THE COMPANY</w:t>
      </w:r>
    </w:p>
    <w:p>
      <w:pPr>
        <w:spacing w:after="0" w:line="11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Nurix will not transact in our securities unless in compliance with applicable U.S. securities laws, rules and regulations and applicable listing standards of The Nasdaq Stock Market LLC.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DATE</w:t>
      </w:r>
    </w:p>
    <w:p>
      <w:pPr>
        <w:spacing w:after="0" w:line="7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20"/>
          <w:szCs w:val="20"/>
          <w:color w:val="auto"/>
        </w:rPr>
        <w:t>The effective date of this Policy is January 22, 2025. The prior amendments to this Policy that were approved by the Board on January 31, 2023, to be effective February 27, 2023, do not affect the affirmative defense available under an existing 10b5-1 Plan that was entered into prior to February 27, 2023, except to the extent that a Plan Modification is made to such plan after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Nurix Therapeutics, Inc.</w:t>
        <w:tab/>
        <w:t>8</w:t>
      </w:r>
      <w:r>
        <w:rPr>
          <w:sz w:val="20"/>
          <w:szCs w:val="20"/>
          <w:color w:val="auto"/>
        </w:rPr>
        <w:tab/>
      </w:r>
      <w:r>
        <w:rPr>
          <w:rFonts w:ascii="Times New Roman" w:cs="Times New Roman" w:eastAsia="Times New Roman" w:hAnsi="Times New Roman"/>
          <w:sz w:val="19"/>
          <w:szCs w:val="19"/>
          <w:i w:val="1"/>
          <w:iCs w:val="1"/>
          <w:color w:val="auto"/>
        </w:rPr>
        <w:t>Insider Trading Policy</w:t>
      </w:r>
    </w:p>
    <w:p>
      <w:pPr>
        <w:sectPr>
          <w:pgSz w:w="11900" w:h="16838" w:orient="portrait"/>
          <w:cols w:equalWidth="0" w:num="1">
            <w:col w:w="11180"/>
          </w:cols>
          <w:pgMar w:left="320" w:top="1440" w:right="399" w:bottom="1440" w:gutter="0" w:footer="0" w:header="0"/>
        </w:sectPr>
      </w:pPr>
    </w:p>
    <w:bookmarkStart w:id="176" w:name="page177"/>
    <w:bookmarkEnd w:id="176"/>
    <w:p>
      <w:pPr>
        <w:spacing w:after="0" w:line="1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9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Designated Insiders</w:t>
      </w:r>
    </w:p>
    <w:p>
      <w:pPr>
        <w:spacing w:after="0" w:line="328" w:lineRule="exact"/>
        <w:rPr>
          <w:sz w:val="20"/>
          <w:szCs w:val="20"/>
          <w:color w:val="auto"/>
        </w:rPr>
      </w:pPr>
    </w:p>
    <w:p>
      <w:pPr>
        <w:ind w:right="399"/>
        <w:spacing w:after="0" w:line="471" w:lineRule="auto"/>
        <w:rPr>
          <w:sz w:val="20"/>
          <w:szCs w:val="20"/>
          <w:color w:val="auto"/>
        </w:rPr>
      </w:pPr>
      <w:r>
        <w:rPr>
          <w:rFonts w:ascii="Times New Roman" w:cs="Times New Roman" w:eastAsia="Times New Roman" w:hAnsi="Times New Roman"/>
          <w:sz w:val="20"/>
          <w:szCs w:val="20"/>
          <w:color w:val="auto"/>
        </w:rPr>
        <w:t>All Vice President level employees and above and their respective administrative assistants All members of the Legal team All members of the Finance team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members of the Disclosure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members of the Asset teams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individuals to be listed as determined by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20"/>
        <w:spacing w:after="0"/>
        <w:tabs>
          <w:tab w:leader="none" w:pos="5620" w:val="left"/>
          <w:tab w:leader="none" w:pos="5920" w:val="left"/>
        </w:tabs>
        <w:rPr>
          <w:sz w:val="20"/>
          <w:szCs w:val="20"/>
          <w:color w:val="auto"/>
        </w:rPr>
      </w:pPr>
      <w:r>
        <w:rPr>
          <w:rFonts w:ascii="Times New Roman" w:cs="Times New Roman" w:eastAsia="Times New Roman" w:hAnsi="Times New Roman"/>
          <w:sz w:val="20"/>
          <w:szCs w:val="20"/>
          <w:color w:val="auto"/>
        </w:rPr>
        <w:t>Nurix Therapeutics, Inc.</w:t>
        <w:tab/>
        <w:t>9</w:t>
      </w:r>
      <w:r>
        <w:rPr>
          <w:sz w:val="20"/>
          <w:szCs w:val="20"/>
          <w:color w:val="auto"/>
        </w:rPr>
        <w:tab/>
      </w:r>
      <w:r>
        <w:rPr>
          <w:rFonts w:ascii="Times New Roman" w:cs="Times New Roman" w:eastAsia="Times New Roman" w:hAnsi="Times New Roman"/>
          <w:sz w:val="19"/>
          <w:szCs w:val="19"/>
          <w:i w:val="1"/>
          <w:iCs w:val="1"/>
          <w:color w:val="auto"/>
        </w:rPr>
        <w:t>Insider Trading Policy</w:t>
      </w:r>
    </w:p>
    <w:p>
      <w:pPr>
        <w:sectPr>
          <w:pgSz w:w="11900" w:h="16838" w:orient="portrait"/>
          <w:cols w:equalWidth="0" w:num="1">
            <w:col w:w="10139"/>
          </w:cols>
          <w:pgMar w:left="320" w:top="1440" w:right="1440" w:bottom="1440" w:gutter="0" w:footer="0" w:header="0"/>
        </w:sectPr>
      </w:pPr>
    </w:p>
    <w:bookmarkStart w:id="177" w:name="page178"/>
    <w:bookmarkEnd w:id="177"/>
    <w:p>
      <w:pPr>
        <w:spacing w:after="0" w:line="1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Appendix</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Exceptions to the Multiple, Overlapping 10b5-1 Plan Restriction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exceptions are:</w:t>
      </w:r>
    </w:p>
    <w:p>
      <w:pPr>
        <w:spacing w:after="0" w:line="121" w:lineRule="exact"/>
        <w:rPr>
          <w:sz w:val="20"/>
          <w:szCs w:val="20"/>
          <w:color w:val="auto"/>
        </w:rPr>
      </w:pPr>
    </w:p>
    <w:p>
      <w:pPr>
        <w:jc w:val="both"/>
        <w:ind w:left="820" w:right="260" w:hanging="327"/>
        <w:spacing w:after="0" w:line="254" w:lineRule="auto"/>
        <w:tabs>
          <w:tab w:leader="none" w:pos="80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“sell-to-cover” 10b5-1 Plan where such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 For the avoidance of doubt, this exception does not extend to sales incident to the exercise of option awards.</w:t>
      </w:r>
    </w:p>
    <w:p>
      <w:pPr>
        <w:spacing w:after="0" w:line="187" w:lineRule="exact"/>
        <w:rPr>
          <w:rFonts w:ascii="Times New Roman" w:cs="Times New Roman" w:eastAsia="Times New Roman" w:hAnsi="Times New Roman"/>
          <w:sz w:val="20"/>
          <w:szCs w:val="20"/>
          <w:color w:val="auto"/>
        </w:rPr>
      </w:pPr>
    </w:p>
    <w:p>
      <w:pPr>
        <w:ind w:left="820" w:right="40" w:hanging="327"/>
        <w:spacing w:after="0" w:line="250" w:lineRule="auto"/>
        <w:tabs>
          <w:tab w:leader="none" w:pos="80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series of separate contracts with different broker-dealers or other agents acting on behalf of the person (other than Nurix) to execute trades thereunder may be treated as a single 10b5-1 Plan, provided that the individual constituent contracts with each broker-dealer or other agent, when taken together as a whole, meet all of the applicable conditions of and remain collectively subject to the provisions of Rule 10b5-1, including that a modification of any individual contract acts as modification of the whole 10b5-1 Plan, as defined in Rule 10b5-1(c)(1)(iv). The substitution of a broker-dealer or other agent acting on behalf of the person (other than Nurix) for another broker- dealer that is executing trades pursuant to a 10b5-1 Plan shall not be a “Plan Modification” as long as the purchase or sales instructions applicable to the substitute and substituted broker are identical with respect to the prices of securities to be purchased or sold, dates of the purchases or sales to be executed, and amount of securities to be purchased or sold.</w:t>
      </w:r>
    </w:p>
    <w:p>
      <w:pPr>
        <w:spacing w:after="0" w:line="192" w:lineRule="exact"/>
        <w:rPr>
          <w:rFonts w:ascii="Times New Roman" w:cs="Times New Roman" w:eastAsia="Times New Roman" w:hAnsi="Times New Roman"/>
          <w:sz w:val="20"/>
          <w:szCs w:val="20"/>
          <w:color w:val="auto"/>
        </w:rPr>
      </w:pPr>
    </w:p>
    <w:p>
      <w:pPr>
        <w:ind w:left="820" w:hanging="327"/>
        <w:spacing w:after="0" w:line="253" w:lineRule="auto"/>
        <w:tabs>
          <w:tab w:leader="none" w:pos="80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later-commencing 10b5-1 Plan for purchases or sales of any securities of Nurix on the open market under which trading is not authorized to begin until after all trades under the earlier- commencing 10b5-1 Plan are completed or expired without execution. However, the first trade under such later-commencing 10b5-1 Plan must be scheduled after the “Effective Cooling-Off Period,” or the Cooling-Off Period that would be applicable to the later-commencing 10b5-1 Plan if the date of adoption of the later-commencing 10b5-1 Plan were deemed to be the date of termination of the earlier-commencing 10b5-1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Exceptions to the Single-Trade 10b5-1 Plan Restriction</w:t>
      </w:r>
    </w:p>
    <w:p>
      <w:pPr>
        <w:spacing w:after="0" w:line="22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color w:val="auto"/>
        </w:rPr>
        <w:t>There is an exception for eligible “sell-to-cover” 10b5-1 Plans where the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7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Nurix Therapeutics, Inc.</w:t>
        <w:tab/>
        <w:t>10</w:t>
      </w:r>
      <w:r>
        <w:rPr>
          <w:sz w:val="20"/>
          <w:szCs w:val="20"/>
          <w:color w:val="auto"/>
        </w:rPr>
        <w:tab/>
      </w:r>
      <w:r>
        <w:rPr>
          <w:rFonts w:ascii="Times New Roman" w:cs="Times New Roman" w:eastAsia="Times New Roman" w:hAnsi="Times New Roman"/>
          <w:sz w:val="19"/>
          <w:szCs w:val="19"/>
          <w:i w:val="1"/>
          <w:iCs w:val="1"/>
          <w:color w:val="auto"/>
        </w:rPr>
        <w:t>Insider Trading Policy</w:t>
      </w:r>
    </w:p>
    <w:p>
      <w:pPr>
        <w:sectPr>
          <w:pgSz w:w="11900" w:h="16838" w:orient="portrait"/>
          <w:cols w:equalWidth="0" w:num="1">
            <w:col w:w="11060"/>
          </w:cols>
          <w:pgMar w:left="320" w:top="1440" w:right="519" w:bottom="1440" w:gutter="0" w:footer="0" w:header="0"/>
        </w:sectPr>
      </w:pPr>
    </w:p>
    <w:bookmarkStart w:id="178" w:name="page179"/>
    <w:bookmarkEnd w:id="178"/>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right="180"/>
        <w:spacing w:after="0" w:line="216"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333-258448 and 333-280117) and Form S-8 (Nos. 333-240065, 333-253159, 333-262406, 333-269671, 333-277114, and 333-282917) of Nurix Therapeutics, Inc. of our report dated January 28, 2025 relating to the financial statements, which appears in this Form 10-K.</w:t>
      </w:r>
    </w:p>
    <w:p>
      <w:pPr>
        <w:spacing w:after="0" w:line="31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238" w:lineRule="auto"/>
        <w:rPr>
          <w:sz w:val="20"/>
          <w:szCs w:val="20"/>
          <w:color w:val="auto"/>
        </w:rPr>
      </w:pPr>
      <w:r>
        <w:rPr>
          <w:rFonts w:ascii="Georgia" w:cs="Georgia" w:eastAsia="Georgia" w:hAnsi="Georgia"/>
          <w:sz w:val="18"/>
          <w:szCs w:val="18"/>
          <w:color w:val="auto"/>
        </w:rPr>
        <w:t>January 28, 2025</w:t>
      </w:r>
    </w:p>
    <w:p>
      <w:pPr>
        <w:sectPr>
          <w:pgSz w:w="11900" w:h="16838" w:orient="portrait"/>
          <w:cols w:equalWidth="0" w:num="1">
            <w:col w:w="11240"/>
          </w:cols>
          <w:pgMar w:left="320" w:top="1418"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T. Sands, certify that:</w:t>
      </w:r>
    </w:p>
    <w:p>
      <w:pPr>
        <w:spacing w:after="0" w:line="117"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Nurix Therapeutics,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6300"/>
        <w:spacing w:after="0"/>
        <w:tabs>
          <w:tab w:leader="none" w:pos="674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28, 2025</w:t>
      </w:r>
    </w:p>
    <w:p>
      <w:pPr>
        <w:sectPr>
          <w:pgSz w:w="11900" w:h="16838" w:orient="portrait"/>
          <w:cols w:equalWidth="0" w:num="1">
            <w:col w:w="11240"/>
          </w:cols>
          <w:pgMar w:left="320" w:top="1251"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Hans van Houte, certify that:</w:t>
      </w:r>
    </w:p>
    <w:p>
      <w:pPr>
        <w:spacing w:after="0" w:line="117"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Nurix Therapeutics,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300"/>
        <w:spacing w:after="0"/>
        <w:tabs>
          <w:tab w:leader="none" w:pos="674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34290</wp:posOffset>
            </wp:positionV>
            <wp:extent cx="2854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Hans van Houte</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28, 2025</w:t>
      </w:r>
    </w:p>
    <w:p>
      <w:pPr>
        <w:sectPr>
          <w:pgSz w:w="11900" w:h="16838" w:orient="portrait"/>
          <w:cols w:equalWidth="0" w:num="1">
            <w:col w:w="11240"/>
          </w:cols>
          <w:pgMar w:left="320" w:top="1251"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officers of Nurix Therapeutics, Inc. (the Company) certifies, pursuant to 18 U.S.C. § 1350, as adopted pursuant to §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99" w:lineRule="exact"/>
        <w:rPr>
          <w:sz w:val="20"/>
          <w:szCs w:val="20"/>
          <w:color w:val="auto"/>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November 30, 2024 (the Annual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94"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Hans van Houte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28, 2025</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lvl w:ilvl="1">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lowerRoman"/>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decimal"/>
      <w:start w:val="2"/>
    </w:lvl>
  </w:abstractNum>
  <w:abstractNum w:abstractNumId="59">
    <w:nsid w:val="5DB70AE5"/>
    <w:multiLevelType w:val="hybridMultilevel"/>
    <w:lvl w:ilvl="0">
      <w:lvlJc w:val="left"/>
      <w:lvlText w:val="(%1)"/>
      <w:numFmt w:val="decimal"/>
      <w:start w:val="3"/>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decimal"/>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57" Type="http://schemas.openxmlformats.org/officeDocument/2006/relationships/image" Target="media/image220.png"/><Relationship Id="rId270"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25" Type="http://schemas.openxmlformats.org/officeDocument/2006/relationships/hyperlink" Target="https://www.sec.gov/Archives/edgar/data/1549595/000156459020046400/nrix-ex31_464.htm" TargetMode="External"/><Relationship Id="rId226" Type="http://schemas.openxmlformats.org/officeDocument/2006/relationships/hyperlink" Target="https://www.sec.gov/Archives/edgar/data/1549595/000119312522307328/d410964dex31.htm" TargetMode="External"/><Relationship Id="rId227" Type="http://schemas.openxmlformats.org/officeDocument/2006/relationships/hyperlink" Target="https://www.sec.gov/Archives/edgar/data/1549595/000119312520186809/d903927dex41.htm" TargetMode="External"/><Relationship Id="rId228" Type="http://schemas.openxmlformats.org/officeDocument/2006/relationships/hyperlink" Target="https://www.sec.gov/Archives/edgar/data/1549595/000154959523000021/nrix-20221130xexx43.htm" TargetMode="External"/><Relationship Id="rId229" Type="http://schemas.openxmlformats.org/officeDocument/2006/relationships/hyperlink" Target="https://www.sec.gov/Archives/edgar/data/1549595/000119312522190492/d355546dex41.htm" TargetMode="External"/><Relationship Id="rId230" Type="http://schemas.openxmlformats.org/officeDocument/2006/relationships/hyperlink" Target="https://www.sec.gov/Archives/edgar/data/1549595/000119312524094875/d818273dex41.htm" TargetMode="External"/><Relationship Id="rId231" Type="http://schemas.openxmlformats.org/officeDocument/2006/relationships/hyperlink" Target="https://www.sec.gov/Archives/edgar/data/1549595/000119312520186809/d903927dex101.htm" TargetMode="External"/><Relationship Id="rId232" Type="http://schemas.openxmlformats.org/officeDocument/2006/relationships/hyperlink" Target="https://www.sec.gov/Archives/edgar/data/1549595/000119312520186809/d903927dex102.htm" TargetMode="External"/><Relationship Id="rId233" Type="http://schemas.openxmlformats.org/officeDocument/2006/relationships/hyperlink" Target="https://www.sec.gov/Archives/edgar/data/1549595/000119312520195056/d903927dex103.htm" TargetMode="External"/><Relationship Id="rId234" Type="http://schemas.openxmlformats.org/officeDocument/2006/relationships/hyperlink" Target="https://www.sec.gov/Archives/edgar/data/1549595/000119312520195056/d903927dex104.htm" TargetMode="External"/><Relationship Id="rId235" Type="http://schemas.openxmlformats.org/officeDocument/2006/relationships/hyperlink" Target="https://www.sec.gov/Archives/edgar/data/1549595/000154959524000150/nrix-20241031xs8_ex9912024.htm" TargetMode="External"/><Relationship Id="rId236" Type="http://schemas.openxmlformats.org/officeDocument/2006/relationships/hyperlink" Target="https://www.sec.gov/Archives/edgar/data/1549595/000119312520195056/d903927dex105.htm" TargetMode="External"/><Relationship Id="rId237" Type="http://schemas.openxmlformats.org/officeDocument/2006/relationships/hyperlink" Target="https://www.sec.gov/Archives/edgar/data/1549595/000119312520186809/d903927dex1011.htm" TargetMode="External"/><Relationship Id="rId238" Type="http://schemas.openxmlformats.org/officeDocument/2006/relationships/hyperlink" Target="https://www.sec.gov/Archives/edgar/data/1549595/000119312520195056/d903927dex107.htm" TargetMode="External"/><Relationship Id="rId239" Type="http://schemas.openxmlformats.org/officeDocument/2006/relationships/hyperlink" Target="https://www.sec.gov/Archives/edgar/data/1549595/000156459021006071/nrix-ex107_389.htm" TargetMode="External"/><Relationship Id="rId240" Type="http://schemas.openxmlformats.org/officeDocument/2006/relationships/hyperlink" Target="https://www.sec.gov/Archives/edgar/data/1549595/000156459022003007/nrix-ex109_580.htm" TargetMode="External"/><Relationship Id="rId241" Type="http://schemas.openxmlformats.org/officeDocument/2006/relationships/hyperlink" Target="https://www.sec.gov/Archives/edgar/data/1549595/000156459022003007/nrix-ex1011_579.htm" TargetMode="External"/><Relationship Id="rId242" Type="http://schemas.openxmlformats.org/officeDocument/2006/relationships/hyperlink" Target="https://www.sec.gov/Archives/edgar/data/1549595/000119312520186809/d903927dex108.htm" TargetMode="External"/><Relationship Id="rId245" Type="http://schemas.openxmlformats.org/officeDocument/2006/relationships/hyperlink" Target="https://www.sec.gov/Archives/edgar/data/1549595/000154959524000131/ex101_nurixare26amendmentn.htm" TargetMode="External"/><Relationship Id="rId246" Type="http://schemas.openxmlformats.org/officeDocument/2006/relationships/hyperlink" Target="https://www.sec.gov/Archives/edgar/data/1549595/000154959524000131/ex102_nurixare26amendmentn.htm" TargetMode="External"/><Relationship Id="rId247" Type="http://schemas.openxmlformats.org/officeDocument/2006/relationships/hyperlink" Target="https://www.sec.gov/Archives/edgar/data/1549595/000154959524000131/ex103_nurixare26amendmentn.htm" TargetMode="External"/><Relationship Id="rId248" Type="http://schemas.openxmlformats.org/officeDocument/2006/relationships/hyperlink" Target="https://www.sec.gov/Archives/edgar/data/0001549595/000156459021050851/nrix-ex102_26.htm" TargetMode="External"/><Relationship Id="rId249" Type="http://schemas.openxmlformats.org/officeDocument/2006/relationships/hyperlink" Target="https://www.sec.gov/Archives/edgar/data/1549595/000154959523000048/nrix-20230831xex101.htm" TargetMode="External"/><Relationship Id="rId250" Type="http://schemas.openxmlformats.org/officeDocument/2006/relationships/hyperlink" Target="https://www.sec.gov/Archives/edgar/data/1549595/000154959524000049/nrix-20240229xxex102leasee.htm" TargetMode="External"/><Relationship Id="rId251" Type="http://schemas.openxmlformats.org/officeDocument/2006/relationships/hyperlink" Target="https://www.sec.gov/Archives/edgar/data/1549595/000154959524000131/ex104_nurixare19amendmentn.htm" TargetMode="External"/><Relationship Id="rId252" Type="http://schemas.openxmlformats.org/officeDocument/2006/relationships/hyperlink" Target="https://www.sec.gov/Archives/edgar/data/1549595/000156459022013988/nrix-ex101_270.htm" TargetMode="External"/><Relationship Id="rId253" Type="http://schemas.openxmlformats.org/officeDocument/2006/relationships/hyperlink" Target="https://www.sec.gov/Archives/edgar/data/1549595/000154959523000048/nrix-20230831xex102.htm" TargetMode="External"/><Relationship Id="rId254" Type="http://schemas.openxmlformats.org/officeDocument/2006/relationships/hyperlink" Target="https://www.sec.gov/Archives/edgar/data/1549595/000119312520186809/d903927dex109.htm" TargetMode="External"/><Relationship Id="rId255" Type="http://schemas.openxmlformats.org/officeDocument/2006/relationships/hyperlink" Target="https://www.sec.gov/Archives/edgar/data/1549595/000156459022033709/nrix-ex102_182.htm" TargetMode="External"/><Relationship Id="rId256" Type="http://schemas.openxmlformats.org/officeDocument/2006/relationships/hyperlink" Target="https://www.sec.gov/Archives/edgar/data/1549595/000156459022033709/nrix-ex103_181.htm" TargetMode="External"/><Relationship Id="rId258" Type="http://schemas.openxmlformats.org/officeDocument/2006/relationships/hyperlink" Target="https://www.sec.gov/Archives/edgar/data/1549595/000119312520186809/d903927dex1010.htm" TargetMode="External"/><Relationship Id="rId259" Type="http://schemas.openxmlformats.org/officeDocument/2006/relationships/hyperlink" Target="https://www.sec.gov/Archives/edgar/data/1549595/000156459021006071/nrix-ex1011_158.htm" TargetMode="External"/><Relationship Id="rId260" Type="http://schemas.openxmlformats.org/officeDocument/2006/relationships/hyperlink" Target="https://www.sec.gov/Archives/edgar/data/1549595/000156459022033709/nrix-ex104_180.htm" TargetMode="External"/><Relationship Id="rId261" Type="http://schemas.openxmlformats.org/officeDocument/2006/relationships/hyperlink" Target="https://www.sec.gov/Archives/edgar/data/1549595/000156459022033709/nrix-ex105_179.htm" TargetMode="External"/><Relationship Id="rId262" Type="http://schemas.openxmlformats.org/officeDocument/2006/relationships/hyperlink" Target="https://www.sec.gov/Archives/edgar/data/1549595/000156459022033709/nrix-ex106_183.htm" TargetMode="External"/><Relationship Id="rId263" Type="http://schemas.openxmlformats.org/officeDocument/2006/relationships/hyperlink" Target="https://www.sec.gov/Archives/edgar/data/1549595/000154959524000025/nrix-20231130xex1024sanofi.htm" TargetMode="External"/><Relationship Id="rId264" Type="http://schemas.openxmlformats.org/officeDocument/2006/relationships/hyperlink" Target="https://www.sec.gov/Archives/edgar/data/1549595/000154959524000049/nrix-20240229xxex101sanofi.htm" TargetMode="External"/><Relationship Id="rId265" Type="http://schemas.openxmlformats.org/officeDocument/2006/relationships/hyperlink" Target="https://www.sec.gov/Archives/edgar/data/1549595/000154959524000025/nrix-20231130ex1025seagen.htm" TargetMode="External"/><Relationship Id="rId266" Type="http://schemas.openxmlformats.org/officeDocument/2006/relationships/hyperlink" Target="https://www.sec.gov/Archives/edgar/data/1549595/000119312521236301/d211774dex12.htm" TargetMode="External"/><Relationship Id="rId267" Type="http://schemas.openxmlformats.org/officeDocument/2006/relationships/hyperlink" Target="https://www.sec.gov/Archives/edgar/data/1549595/000154959524000097/exhibit101v2.htm" TargetMode="External"/><Relationship Id="rId268" Type="http://schemas.openxmlformats.org/officeDocument/2006/relationships/hyperlink" Target="https://www.sec.gov/ix?doc=/Archives/edgar/data/1549595/000119312524248678/d904494d8k.htm" TargetMode="External"/><Relationship Id="rId269" Type="http://schemas.openxmlformats.org/officeDocument/2006/relationships/hyperlink" Target="https://www.sec.gov/Archives/edgar/data/1549595/000156459022003007/nrix-ex211_11.htm" TargetMode="External"/><Relationship Id="rId271" Type="http://schemas.openxmlformats.org/officeDocument/2006/relationships/hyperlink" Target="https://www.sec.gov/ix?doc=/Archives/edgar/data/1549595/000154959524000025/nrix-202311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2025-01-28T15:50:21Z</dcterms:created>
  <dcterms:modified xsi:type="dcterms:W3CDTF">2025-01-28T15:50:21Z</dcterms:modified>
</cp:coreProperties>
</file>