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448219.xml.htm"/>
      <w:bookmarkStart w:id="1" w:name="kswkform4_178544821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Hansen Gwenn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NURIX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1600 SIERRA POINT PKWY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BRISBANE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Nurix Therapeutics, Inc.</w:t>
              </w:r>
            </w:hyperlink>
            <w:r>
              <w:rPr/>
              <w:t xml:space="preserve"> [ </w:t>
            </w:r>
            <w:r>
              <w:rPr>
                <w:rFonts w:ascii="Times;serif" w:hAnsi="Times;serif"/>
                <w:color w:val="0000FF"/>
                <w:sz w:val="24"/>
                <w:shd w:fill="FFFFFF" w:val="clear"/>
              </w:rPr>
              <w:t>NRIX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118,755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2,858</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121,613</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3,572</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125,185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3,847</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23.3828</w:t>
            </w:r>
            <w:r>
              <w:rPr>
                <w:rFonts w:ascii="Times;serif" w:hAnsi="Times;serif"/>
                <w:color w:val="008000"/>
                <w:position w:val="7"/>
                <w:sz w:val="16"/>
                <w:sz w:val="20"/>
                <w:shd w:fill="FFFFFF" w:val="clear"/>
              </w:rPr>
              <w:t>(2)</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121,338</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3,750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2,858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2,858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3,572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39,303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shares required to be sold by the Reporting Person to cover tax withholding obligations in connection with the vesting of restricted stock units ("RSUs"). These sales are mandated by the Issuer's election under its equity incentive plans to require the satisfaction of tax withholding obligations to be funded by a "sell to cover" transaction and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 price. The lowest price at which shares were sold was $23.00 and the highest price at which shares were sold was $23.90. The Reporting Person undertakes to provide upon request to the staff of the Securities and Exchange Commission, the Issuer or its stockholders, full information regarding the total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will vest as to 1/12 of the total award quarterly over three years, with the first quarterly increment vesting on July 30, 2024, subject to the Reporting Person's provision of services to the Issuer on each vesting date. Shares of the Issuer's common stock will be delivered to the Reporting Person following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RSUs do not expire; they either vest or are canceled prior to the vest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RSUs will vest as to 1/12 of the total award quarterly over three years, with the first quarterly increment vesting on July 30, 2025, subject to the Reporting Person's provision of services to the Issuer on each vesting date. Shares of the Issuer's common stock will be delivered to the Reporting Person following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RSUs will vest as to 1/12 of the total award quarterly over three years, with the first quarterly increment vesting on July 30, 2026, subject to the Reporting Person's provision of services to the Issuer on each vesting date. Shares of the Issuer's common stock will be delivered to the Reporting Person following vesting.</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Burbach, as Attorney-in-Fact for Gwenn Hansen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7160" TargetMode="External"/><Relationship Id="rId5" Type="http://schemas.openxmlformats.org/officeDocument/2006/relationships/hyperlink" Target="http://www.sec.gov/cgi-bin/browse-edgar?action=getcompany&amp;CIK=00015495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988</Words>
  <Characters>5185</Characters>
  <CharactersWithSpaces>6038</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