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120" w:after="283"/>
        <w:ind w:left="0" w:right="0" w:firstLine="72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52"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52"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52"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______________________________________________________________________</w:t>
      </w:r>
    </w:p>
    <w:p>
      <w:pPr>
        <w:pStyle w:val="TextBody"/>
        <w:bidi w:val="0"/>
        <w:spacing w:lineRule="auto" w:line="252" w:before="18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52"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______________________________________________________________________</w:t>
      </w:r>
    </w:p>
    <w:p>
      <w:pPr>
        <w:pStyle w:val="TextBody"/>
        <w:bidi w:val="0"/>
        <w:spacing w:lineRule="auto" w:line="252" w:before="0" w:after="0"/>
        <w:jc w:val="left"/>
        <w:rPr>
          <w:rFonts w:ascii="Times New Roman;sans-serif" w:hAnsi="Times New Roman;sans-serif"/>
          <w:b/>
          <w:color w:val="000000"/>
          <w:sz w:val="18"/>
        </w:rPr>
      </w:pPr>
      <w:r>
        <w:rPr>
          <w:rFonts w:ascii="Times New Roman;sans-serif" w:hAnsi="Times New Roman;sans-serif"/>
          <w:b/>
          <w:color w:val="000000"/>
          <w:sz w:val="18"/>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52"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May 31, 2023</w:t>
      </w:r>
    </w:p>
    <w:p>
      <w:pPr>
        <w:pStyle w:val="TextBody"/>
        <w:bidi w:val="0"/>
        <w:spacing w:lineRule="auto" w:line="252" w:before="120" w:after="283"/>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52" w:before="120" w:after="283"/>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                </w:t>
      </w:r>
    </w:p>
    <w:p>
      <w:pPr>
        <w:pStyle w:val="TextBody"/>
        <w:bidi w:val="0"/>
        <w:spacing w:lineRule="auto" w:line="252" w:before="120" w:after="283"/>
        <w:jc w:val="center"/>
        <w:rPr>
          <w:rFonts w:ascii="Times New Roman;sans-serif" w:hAnsi="Times New Roman;sans-serif"/>
          <w:b/>
          <w:color w:val="000000"/>
          <w:sz w:val="18"/>
        </w:rPr>
      </w:pPr>
      <w:r>
        <w:rPr>
          <w:rFonts w:ascii="Times New Roman;sans-serif" w:hAnsi="Times New Roman;sans-serif"/>
          <w:b/>
          <w:color w:val="000000"/>
          <w:sz w:val="18"/>
        </w:rPr>
        <w:t>Commission File Number: 001-39398</w:t>
      </w:r>
    </w:p>
    <w:p>
      <w:pPr>
        <w:pStyle w:val="TextBody"/>
        <w:bidi w:val="0"/>
        <w:spacing w:lineRule="auto" w:line="252"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______________________________________________________________________</w:t>
      </w:r>
    </w:p>
    <w:p>
      <w:pPr>
        <w:pStyle w:val="TextBody"/>
        <w:bidi w:val="0"/>
        <w:spacing w:lineRule="auto" w:line="252" w:before="180" w:after="283"/>
        <w:jc w:val="center"/>
        <w:rPr>
          <w:rFonts w:ascii="Times New Roman;sans-serif" w:hAnsi="Times New Roman;sans-serif"/>
          <w:b/>
          <w:color w:val="000000"/>
          <w:sz w:val="48"/>
        </w:rPr>
      </w:pPr>
      <w:r>
        <w:rPr>
          <w:rFonts w:ascii="Times New Roman;sans-serif" w:hAnsi="Times New Roman;sans-serif"/>
          <w:b/>
          <w:color w:val="000000"/>
          <w:sz w:val="48"/>
        </w:rPr>
        <w:t>NURIX THERAPEUTICS, INC.</w:t>
      </w:r>
    </w:p>
    <w:p>
      <w:pPr>
        <w:pStyle w:val="TextBody"/>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4635" w:type="dxa"/>
        <w:jc w:val="center"/>
        <w:tblInd w:w="0" w:type="dxa"/>
        <w:tblLayout w:type="fixed"/>
        <w:tblCellMar>
          <w:top w:w="28" w:type="dxa"/>
          <w:left w:w="28" w:type="dxa"/>
          <w:bottom w:w="28" w:type="dxa"/>
          <w:right w:w="28" w:type="dxa"/>
        </w:tblCellMar>
      </w:tblPr>
      <w:tblGrid>
        <w:gridCol w:w="1110"/>
        <w:gridCol w:w="980"/>
        <w:gridCol w:w="985"/>
        <w:gridCol w:w="455"/>
        <w:gridCol w:w="455"/>
        <w:gridCol w:w="650"/>
      </w:tblGrid>
      <w:tr>
        <w:trPr/>
        <w:tc>
          <w:tcPr>
            <w:tcW w:w="111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56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8"/>
              </w:rPr>
            </w:pPr>
            <w:r>
              <w:rPr>
                <w:rFonts w:ascii="Times New Roman;sans-serif" w:hAnsi="Times New Roman;sans-serif"/>
                <w:b/>
                <w:color w:val="000000"/>
                <w:sz w:val="18"/>
              </w:rPr>
              <w:t>27-0838048</w:t>
            </w:r>
          </w:p>
        </w:tc>
      </w:tr>
      <w:tr>
        <w:trPr/>
        <w:tc>
          <w:tcPr>
            <w:tcW w:w="307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8"/>
              </w:rPr>
            </w:pPr>
            <w:r>
              <w:rPr>
                <w:rFonts w:ascii="Times New Roman;sans-serif" w:hAnsi="Times New Roman;sans-serif"/>
                <w:b/>
                <w:color w:val="000000"/>
                <w:sz w:val="18"/>
              </w:rPr>
              <w:t>(State or other jurisdiction of</w:t>
              <w:br/>
              <w:t>incorporation or organization)</w:t>
            </w:r>
          </w:p>
        </w:tc>
        <w:tc>
          <w:tcPr>
            <w:tcW w:w="156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8"/>
              </w:rPr>
            </w:pPr>
            <w:r>
              <w:rPr>
                <w:rFonts w:ascii="Times New Roman;sans-serif" w:hAnsi="Times New Roman;sans-serif"/>
                <w:b/>
                <w:color w:val="000000"/>
                <w:sz w:val="18"/>
              </w:rPr>
              <w:t>(I.R.S. Employer</w:t>
              <w:br/>
              <w:t>Identification No.)</w:t>
            </w:r>
          </w:p>
        </w:tc>
      </w:tr>
      <w:tr>
        <w:trPr/>
        <w:tc>
          <w:tcPr>
            <w:tcW w:w="3075"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color w:val="000000"/>
                <w:sz w:val="18"/>
              </w:rPr>
            </w:pPr>
            <w:r>
              <w:rPr>
                <w:rFonts w:ascii="Times New Roman;sans-serif" w:hAnsi="Times New Roman;sans-serif"/>
                <w:b/>
                <w:color w:val="000000"/>
                <w:sz w:val="18"/>
              </w:rPr>
              <w:t>1700 Owens Street, Suite 205</w:t>
            </w:r>
          </w:p>
          <w:p>
            <w:pPr>
              <w:pStyle w:val="TableContents"/>
              <w:bidi w:val="0"/>
              <w:spacing w:lineRule="auto" w:line="252" w:before="0" w:after="0"/>
              <w:jc w:val="center"/>
              <w:rPr>
                <w:rFonts w:ascii="Times New Roman;sans-serif" w:hAnsi="Times New Roman;sans-serif"/>
                <w:b/>
                <w:color w:val="000000"/>
                <w:sz w:val="18"/>
              </w:rPr>
            </w:pPr>
            <w:r>
              <w:rPr>
                <w:rFonts w:ascii="Times New Roman;sans-serif" w:hAnsi="Times New Roman;sans-serif"/>
                <w:b/>
                <w:color w:val="000000"/>
                <w:sz w:val="18"/>
              </w:rPr>
              <w:t>San Francisco, CA</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94158</w:t>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(Zip Code)</w:t>
            </w:r>
          </w:p>
        </w:tc>
      </w:tr>
    </w:tbl>
    <w:p>
      <w:pPr>
        <w:pStyle w:val="TextBody"/>
        <w:bidi w:val="0"/>
        <w:spacing w:lineRule="auto" w:line="252" w:before="6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(415) 660-5320</w:t>
      </w:r>
    </w:p>
    <w:p>
      <w:pPr>
        <w:pStyle w:val="TextBody"/>
        <w:bidi w:val="0"/>
        <w:spacing w:lineRule="auto" w:line="252"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______________________________________________________________________</w:t>
      </w:r>
    </w:p>
    <w:p>
      <w:pPr>
        <w:pStyle w:val="TextBody"/>
        <w:bidi w:val="0"/>
        <w:spacing w:lineRule="auto" w:line="252"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616" w:type="dxa"/>
        <w:jc w:val="center"/>
        <w:tblInd w:w="0" w:type="dxa"/>
        <w:tblLayout w:type="fixed"/>
        <w:tblCellMar>
          <w:top w:w="28" w:type="dxa"/>
          <w:left w:w="28" w:type="dxa"/>
          <w:bottom w:w="28" w:type="dxa"/>
          <w:right w:w="28" w:type="dxa"/>
        </w:tblCellMar>
      </w:tblPr>
      <w:tblGrid>
        <w:gridCol w:w="1301"/>
        <w:gridCol w:w="1145"/>
        <w:gridCol w:w="1153"/>
        <w:gridCol w:w="109"/>
        <w:gridCol w:w="109"/>
        <w:gridCol w:w="109"/>
        <w:gridCol w:w="294"/>
        <w:gridCol w:w="294"/>
        <w:gridCol w:w="296"/>
        <w:gridCol w:w="109"/>
        <w:gridCol w:w="109"/>
        <w:gridCol w:w="109"/>
        <w:gridCol w:w="1019"/>
        <w:gridCol w:w="1019"/>
        <w:gridCol w:w="1441"/>
      </w:tblGrid>
      <w:tr>
        <w:trPr/>
        <w:tc>
          <w:tcPr>
            <w:tcW w:w="130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NRIX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Market</w:t>
            </w:r>
          </w:p>
        </w:tc>
      </w:tr>
    </w:tbl>
    <w:p>
      <w:pPr>
        <w:pStyle w:val="TextBody"/>
        <w:bidi w:val="0"/>
        <w:spacing w:lineRule="auto" w:line="252" w:before="120" w:after="283"/>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52" w:before="120" w:after="283"/>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52"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33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12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52" w:before="120" w:after="283"/>
        <w:jc w:val="left"/>
        <w:rPr/>
      </w:pPr>
      <w:r>
        <w:rPr>
          <w:rFonts w:ascii="Times New Roman;sans-serif" w:hAnsi="Times New Roman;sans-serif"/>
          <w:b w:val="false"/>
          <w:color w:val="000000"/>
          <w:sz w:val="20"/>
        </w:rPr>
        <w:t>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52"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Registrant had 48,200,071 shares of common stock, $0.001 par value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Quarterly Report on Form 10-Q contains forward-looking statements within the meaning of the Private Securities Litigation Reform Act of 1995. All statements contained in this Quarterly Report on Form 10-Q other than statements of historical fact, including statements concerning our business strategy and plans, future operating results and financial position, as well as our objectives and expectations for our future operations, are forward-looking statements.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timing and conduct of our clinical trial programs for our lead drug candidates NX-2127, NX-1607 and NX-5948 and other drug candidates, including statements regarding the timing of data and anticipated announcements, the selection of new development candidates and the initiation of clinical trials;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timing of, and our ability to obtain, marketing approvals for our lead drug candidates NX-2127, NX-1607 and NX-5948 and other drug candidates;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our plans to pursue research and development of other drug candidates;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timing of investigational new drug application (IND) submissions for our drug candidates;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potential advantages of our DELigase platform and our drug candidates;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extent to which our scientific approach and DELigase platform may potentially address a broad range of diseases;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potential benefits of our arrangements with Sanofi S.A. and Gilead Sciences, Inc.;</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timing of and our ability to obtain and maintain regulatory approvals for our drug candidates;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potential receipt of revenue from future sales of our drug candidates;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rate and degree of market acceptance and clinical utility of our drug candidates;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our estimates regarding the potential market opportunity for our drug candidates;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our sales, marketing and distribution capabilities and strategy;</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our ability to establish and maintain arrangements for the manufacturing of our drug candidates;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expected impact of macroeconomic conditions, including inflation, increasing interest rates and volatile market conditions, the federal debt ceiling and budget, instability in the global banking system, and global events, including the ongoing war in Ukraine, on our business, clinical trials, financial condition, liquidity and results of operations;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potential achievement of milestones and receipt of royalty payments under our collaborations;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our ability to enter into additional collaborations with third parties;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our intellectual property position;</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our estimates regarding expenses, future revenues, capital requirements and needs for additional financing;</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impact of government laws and regulations; and</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our competitive position.</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 Factors Summary</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a number of risks and uncertainties, including those risks discussed at-length below. These risks include, among others, the following:</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We have incurred significant losses since our inception. We expect to incur losses over at least the next several years and may never achieve or maintain profitability.</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We have never generated revenue from product sales and may never be profitable.</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We will need substantial additional funding. If we are unable to raise capital when needed, we may be required to delay, limit, reduce or terminate our research or product development programs or future commercialization efforts.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Current and future legislation may increase the difficulty and cost for us, and any collaborators, to obtain marketing approval of and commercialize our drug candidates and affect the prices we, or they, may obtain.</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We are early in our development efforts. Our lead drug candidates, NX-2127, NX-1607 and NX-5948, are in the early stages of clinical development. If we are unable to advance our drug candidates through clinical development, develop, obtain regulatory approval for and commercialize our drug candidates or experience significant delays in doing so, our business may be materially harmed.</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Our limited operating history may make it difficult to evaluate the success of our business to date and to assess our future viability.</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If serious adverse events, undesirable side effects or unexpected characteristics are identified during the development of any drug candidates we may develop, we may need to abandon or limit our further clinical development of those drug candidates.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results of preclinical studies and early-stage clinical trials may not be predictive of future results. Initial success in clinical trials may not be indicative of results obtained when these trials are completed or in later-stage trials.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If we decide to seek Orphan Drug Designation or other designations from regulators for any of our current or future drug candidates, we may be unsuccessful or may be unable to maintain the benefits associated with these designations, including the potential for supplemental market exclusivity associated with an Orphan Drug Designation.</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We face substantial competition in an environment of rapid technological change, which may result in others discovering, developing or commercializing products before or more successfully than we do.</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We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Third parties may initiate legal proceedings alleging that we are infringing, misappropriating or otherwise violating their intellectual property rights, the outcome of which would be uncertain and could have a material adverse effect on our business.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Unfavorable global economic conditions could adversely affect our business, financial condition, stock price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3"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720"/>
                        <w:jc w:val="center"/>
                        <w:rPr/>
                      </w:pPr>
                      <w:r>
                        <w:rPr/>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If we fail to attract and retain management and other key personnel, we may be unable to continue to successfully develop our current and any future drug candidates, commercialize our drug candidates or otherwise implement our business plan.</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Even if we are able to commercialize any drug candidates, the products may become subject to unfavorable pricing regulations, third-party reimbursement practices or healthcare reform initiatives, which would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51460"/>
                <wp:effectExtent l="0" t="0" r="0" b="0"/>
                <wp:wrapNone/>
                <wp:docPr id="4" name="Frame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720"/>
                        <w:jc w:val="center"/>
                        <w:rPr/>
                      </w:pPr>
                      <w:r>
                        <w:rPr/>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760" w:type="dxa"/>
        <w:jc w:val="center"/>
        <w:tblInd w:w="0" w:type="dxa"/>
        <w:tblLayout w:type="fixed"/>
        <w:tblCellMar>
          <w:top w:w="28" w:type="dxa"/>
          <w:left w:w="28" w:type="dxa"/>
          <w:bottom w:w="28" w:type="dxa"/>
          <w:right w:w="28" w:type="dxa"/>
        </w:tblCellMar>
      </w:tblPr>
      <w:tblGrid>
        <w:gridCol w:w="320"/>
        <w:gridCol w:w="281"/>
        <w:gridCol w:w="283"/>
        <w:gridCol w:w="2454"/>
        <w:gridCol w:w="2454"/>
        <w:gridCol w:w="2457"/>
        <w:gridCol w:w="149"/>
        <w:gridCol w:w="149"/>
        <w:gridCol w:w="213"/>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0a8088f342f4458b8fa7c96a91aab59_16">
              <w:r>
                <w:rPr>
                  <w:rStyle w:val="InternetLink"/>
                  <w:rFonts w:ascii="Times New Roman;sans-serif" w:hAnsi="Times New Roman;sans-serif"/>
                  <w:b/>
                  <w:strike w:val="false"/>
                  <w:dstrike w:val="false"/>
                  <w:color w:val="000000"/>
                  <w:sz w:val="20"/>
                  <w:u w:val="none"/>
                  <w:effect w:val="non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0a8088f342f4458b8fa7c96a91aab59_16">
              <w:r>
                <w:rPr>
                  <w:rStyle w:val="InternetLink"/>
                  <w:rFonts w:ascii="Times New Roman;sans-serif" w:hAnsi="Times New Roman;sans-serif"/>
                  <w:b w:val="false"/>
                  <w:color w:val="0000FF"/>
                  <w:sz w:val="20"/>
                  <w:u w:val="single"/>
                </w:rPr>
                <w:t>FINANCIAL INFORMATION</w:t>
              </w:r>
            </w:hyperlink>
          </w:p>
        </w:tc>
        <w:tc>
          <w:tcPr>
            <w:tcW w:w="5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0"/>
              <w:jc w:val="right"/>
              <w:rPr/>
            </w:pPr>
            <w:hyperlink w:anchor="i00a8088f342f4458b8fa7c96a91aab59_16">
              <w:r>
                <w:rPr>
                  <w:rStyle w:val="InternetLink"/>
                  <w:rFonts w:ascii="Times New Roman;sans-serif" w:hAnsi="Times New Roman;sans-serif"/>
                  <w:b w:val="false"/>
                  <w:strike w:val="false"/>
                  <w:dstrike w:val="false"/>
                  <w:color w:val="000000"/>
                  <w:sz w:val="20"/>
                  <w:u w:val="none"/>
                  <w:effect w:val="non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0a8088f342f4458b8fa7c96a91aab59_19">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0a8088f342f4458b8fa7c96a91aab59_19">
              <w:r>
                <w:rPr>
                  <w:rStyle w:val="InternetLink"/>
                  <w:rFonts w:ascii="Times New Roman;sans-serif" w:hAnsi="Times New Roman;sans-serif"/>
                  <w:b w:val="false"/>
                  <w:color w:val="0000FF"/>
                  <w:sz w:val="20"/>
                  <w:u w:val="single"/>
                </w:rPr>
                <w:t>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00a8088f342f4458b8fa7c96a91aab59_19">
              <w:r>
                <w:rPr>
                  <w:rStyle w:val="InternetLink"/>
                  <w:rFonts w:ascii="Times New Roman;sans-serif" w:hAnsi="Times New Roman;sans-serif"/>
                  <w:b w:val="false"/>
                  <w:strike w:val="false"/>
                  <w:dstrike w:val="false"/>
                  <w:color w:val="000000"/>
                  <w:sz w:val="20"/>
                  <w:u w:val="none"/>
                  <w:effect w:val="non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0a8088f342f4458b8fa7c96a91aab59_22">
              <w:r>
                <w:rPr>
                  <w:rStyle w:val="InternetLink"/>
                  <w:rFonts w:ascii="Times New Roman;sans-serif" w:hAnsi="Times New Roman;sans-serif"/>
                  <w:b w:val="false"/>
                  <w:color w:val="0000FF"/>
                  <w:sz w:val="20"/>
                  <w:u w:val="single"/>
                </w:rPr>
                <w:t xml:space="preserve">Condensed Consolidated Balance Sheets </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00a8088f342f4458b8fa7c96a91aab59_22">
              <w:r>
                <w:rPr>
                  <w:rStyle w:val="InternetLink"/>
                  <w:rFonts w:ascii="Times New Roman;sans-serif" w:hAnsi="Times New Roman;sans-serif"/>
                  <w:b w:val="false"/>
                  <w:strike w:val="false"/>
                  <w:dstrike w:val="false"/>
                  <w:color w:val="000000"/>
                  <w:sz w:val="20"/>
                  <w:u w:val="none"/>
                  <w:effect w:val="non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0a8088f342f4458b8fa7c96a91aab59_25">
              <w:r>
                <w:rPr>
                  <w:rStyle w:val="InternetLink"/>
                  <w:rFonts w:ascii="Times New Roman;sans-serif" w:hAnsi="Times New Roman;sans-serif"/>
                  <w:b w:val="false"/>
                  <w:color w:val="0000FF"/>
                  <w:sz w:val="20"/>
                  <w:u w:val="single"/>
                </w:rPr>
                <w:t xml:space="preserve">Condensed Consolidated Statements of Operations </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00a8088f342f4458b8fa7c96a91aab59_25">
              <w:r>
                <w:rPr>
                  <w:rStyle w:val="InternetLink"/>
                  <w:rFonts w:ascii="Times New Roman;sans-serif" w:hAnsi="Times New Roman;sans-serif"/>
                  <w:b w:val="false"/>
                  <w:strike w:val="false"/>
                  <w:dstrike w:val="false"/>
                  <w:color w:val="000000"/>
                  <w:sz w:val="20"/>
                  <w:u w:val="none"/>
                  <w:effect w:val="none"/>
                </w:rPr>
                <w:t>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0a8088f342f4458b8fa7c96a91aab59_28">
              <w:r>
                <w:rPr>
                  <w:rStyle w:val="InternetLink"/>
                  <w:rFonts w:ascii="Times New Roman;sans-serif" w:hAnsi="Times New Roman;sans-serif"/>
                  <w:b w:val="false"/>
                  <w:color w:val="0000FF"/>
                  <w:sz w:val="20"/>
                  <w:u w:val="single"/>
                </w:rPr>
                <w:t xml:space="preserve">Condensed Consolidated Statements of Comprehensive Loss </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00a8088f342f4458b8fa7c96a91aab59_28">
              <w:r>
                <w:rPr>
                  <w:rStyle w:val="InternetLink"/>
                  <w:rFonts w:ascii="Times New Roman;sans-serif" w:hAnsi="Times New Roman;sans-serif"/>
                  <w:b w:val="false"/>
                  <w:strike w:val="false"/>
                  <w:dstrike w:val="false"/>
                  <w:color w:val="000000"/>
                  <w:sz w:val="20"/>
                  <w:u w:val="none"/>
                  <w:effect w:val="none"/>
                </w:rPr>
                <w:t>3</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0a8088f342f4458b8fa7c96a91aab59_31">
              <w:r>
                <w:rPr>
                  <w:rStyle w:val="InternetLink"/>
                  <w:rFonts w:ascii="Times New Roman;sans-serif" w:hAnsi="Times New Roman;sans-serif"/>
                  <w:b w:val="false"/>
                  <w:color w:val="0000FF"/>
                  <w:sz w:val="20"/>
                  <w:u w:val="single"/>
                </w:rPr>
                <w:t xml:space="preserve">Condensed Consolidated Statements of Stockholders’ Equity </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00a8088f342f4458b8fa7c96a91aab59_31">
              <w:r>
                <w:rPr>
                  <w:rStyle w:val="InternetLink"/>
                  <w:rFonts w:ascii="Times New Roman;sans-serif" w:hAnsi="Times New Roman;sans-serif"/>
                  <w:b w:val="false"/>
                  <w:strike w:val="false"/>
                  <w:dstrike w:val="false"/>
                  <w:color w:val="000000"/>
                  <w:sz w:val="20"/>
                  <w:u w:val="none"/>
                  <w:effect w:val="none"/>
                </w:rPr>
                <w:t>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0a8088f342f4458b8fa7c96a91aab59_34">
              <w:r>
                <w:rPr>
                  <w:rStyle w:val="InternetLink"/>
                  <w:rFonts w:ascii="Times New Roman;sans-serif" w:hAnsi="Times New Roman;sans-serif"/>
                  <w:b w:val="false"/>
                  <w:color w:val="0000FF"/>
                  <w:sz w:val="20"/>
                  <w:u w:val="single"/>
                </w:rPr>
                <w:t xml:space="preserve">Condensed Consolidated Statements of Cash Flows </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00a8088f342f4458b8fa7c96a91aab59_34">
              <w:r>
                <w:rPr>
                  <w:rStyle w:val="InternetLink"/>
                  <w:rFonts w:ascii="Times New Roman;sans-serif" w:hAnsi="Times New Roman;sans-serif"/>
                  <w:b w:val="false"/>
                  <w:strike w:val="false"/>
                  <w:dstrike w:val="false"/>
                  <w:color w:val="000000"/>
                  <w:sz w:val="20"/>
                  <w:u w:val="none"/>
                  <w:effect w:val="none"/>
                </w:rPr>
                <w:t>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0a8088f342f4458b8fa7c96a91aab59_37">
              <w:r>
                <w:rPr>
                  <w:rStyle w:val="InternetLink"/>
                  <w:rFonts w:ascii="Times New Roman;sans-serif" w:hAnsi="Times New Roman;sans-serif"/>
                  <w:b w:val="false"/>
                  <w:color w:val="0000FF"/>
                  <w:sz w:val="20"/>
                  <w:u w:val="single"/>
                </w:rPr>
                <w:t>Notes to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00a8088f342f4458b8fa7c96a91aab59_37">
              <w:r>
                <w:rPr>
                  <w:rStyle w:val="InternetLink"/>
                  <w:rFonts w:ascii="Times New Roman;sans-serif" w:hAnsi="Times New Roman;sans-serif"/>
                  <w:b w:val="false"/>
                  <w:strike w:val="false"/>
                  <w:dstrike w:val="false"/>
                  <w:color w:val="000000"/>
                  <w:sz w:val="20"/>
                  <w:u w:val="none"/>
                  <w:effect w:val="none"/>
                </w:rPr>
                <w:t>7</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0a8088f342f4458b8fa7c96a91aab59_82">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0a8088f342f4458b8fa7c96a91aab59_8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00a8088f342f4458b8fa7c96a91aab59_82">
              <w:r>
                <w:rPr>
                  <w:rStyle w:val="InternetLink"/>
                  <w:rFonts w:ascii="Times New Roman;sans-serif" w:hAnsi="Times New Roman;sans-serif"/>
                  <w:b w:val="false"/>
                  <w:strike w:val="false"/>
                  <w:dstrike w:val="false"/>
                  <w:color w:val="000000"/>
                  <w:sz w:val="20"/>
                  <w:u w:val="none"/>
                  <w:effect w:val="none"/>
                </w:rPr>
                <w:t>20</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0a8088f342f4458b8fa7c96a91aab59_106">
              <w:r>
                <w:rPr>
                  <w:rStyle w:val="InternetLink"/>
                  <w:rFonts w:ascii="Times New Roman;sans-serif" w:hAnsi="Times New Roman;sans-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0a8088f342f4458b8fa7c96a91aab59_106">
              <w:r>
                <w:rPr>
                  <w:rStyle w:val="InternetLink"/>
                  <w:rFonts w:ascii="Times New Roman;sans-serif" w:hAnsi="Times New Roman;sans-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00a8088f342f4458b8fa7c96a91aab59_106">
              <w:r>
                <w:rPr>
                  <w:rStyle w:val="InternetLink"/>
                  <w:rFonts w:ascii="Times New Roman;sans-serif" w:hAnsi="Times New Roman;sans-serif"/>
                  <w:b w:val="false"/>
                  <w:strike w:val="false"/>
                  <w:dstrike w:val="false"/>
                  <w:color w:val="000000"/>
                  <w:sz w:val="20"/>
                  <w:u w:val="none"/>
                  <w:effect w:val="none"/>
                </w:rPr>
                <w:t>30</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0a8088f342f4458b8fa7c96a91aab59_109">
              <w:r>
                <w:rPr>
                  <w:rStyle w:val="InternetLink"/>
                  <w:rFonts w:ascii="Times New Roman;sans-serif" w:hAnsi="Times New Roman;sans-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0a8088f342f4458b8fa7c96a91aab59_109">
              <w:r>
                <w:rPr>
                  <w:rStyle w:val="InternetLink"/>
                  <w:rFonts w:ascii="Times New Roman;sans-serif" w:hAnsi="Times New Roman;sans-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00a8088f342f4458b8fa7c96a91aab59_109">
              <w:r>
                <w:rPr>
                  <w:rStyle w:val="InternetLink"/>
                  <w:rFonts w:ascii="Times New Roman;sans-serif" w:hAnsi="Times New Roman;sans-serif"/>
                  <w:b w:val="false"/>
                  <w:strike w:val="false"/>
                  <w:dstrike w:val="false"/>
                  <w:color w:val="000000"/>
                  <w:sz w:val="20"/>
                  <w:u w:val="none"/>
                  <w:effect w:val="none"/>
                </w:rPr>
                <w:t>30</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0a8088f342f4458b8fa7c96a91aab59_112">
              <w:r>
                <w:rPr>
                  <w:rStyle w:val="InternetLink"/>
                  <w:rFonts w:ascii="Times New Roman;sans-serif" w:hAnsi="Times New Roman;sans-serif"/>
                  <w:b/>
                  <w:strike w:val="false"/>
                  <w:dstrike w:val="false"/>
                  <w:color w:val="000000"/>
                  <w:sz w:val="20"/>
                  <w:u w:val="none"/>
                  <w:effect w:val="non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0a8088f342f4458b8fa7c96a91aab59_112">
              <w:r>
                <w:rPr>
                  <w:rStyle w:val="InternetLink"/>
                  <w:rFonts w:ascii="Times New Roman;sans-serif" w:hAnsi="Times New Roman;sans-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00a8088f342f4458b8fa7c96a91aab59_112">
              <w:r>
                <w:rPr>
                  <w:rStyle w:val="InternetLink"/>
                  <w:rFonts w:ascii="Times New Roman;sans-serif" w:hAnsi="Times New Roman;sans-serif"/>
                  <w:b w:val="false"/>
                  <w:strike w:val="false"/>
                  <w:dstrike w:val="false"/>
                  <w:color w:val="000000"/>
                  <w:sz w:val="20"/>
                  <w:u w:val="none"/>
                  <w:effect w:val="none"/>
                </w:rPr>
                <w:t>31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0a8088f342f4458b8fa7c96a91aab59_115">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0a8088f342f4458b8fa7c96a91aab59_115">
              <w:r>
                <w:rPr>
                  <w:rStyle w:val="InternetLink"/>
                  <w:rFonts w:ascii="Times New Roman;sans-serif" w:hAnsi="Times New Roman;sans-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00a8088f342f4458b8fa7c96a91aab59_115">
              <w:r>
                <w:rPr>
                  <w:rStyle w:val="InternetLink"/>
                  <w:rFonts w:ascii="Times New Roman;sans-serif" w:hAnsi="Times New Roman;sans-serif"/>
                  <w:b w:val="false"/>
                  <w:strike w:val="false"/>
                  <w:dstrike w:val="false"/>
                  <w:color w:val="000000"/>
                  <w:sz w:val="20"/>
                  <w:u w:val="none"/>
                  <w:effect w:val="none"/>
                </w:rPr>
                <w:t>31</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0a8088f342f4458b8fa7c96a91aab59_118">
              <w:r>
                <w:rPr>
                  <w:rStyle w:val="InternetLink"/>
                  <w:rFonts w:ascii="Times New Roman;sans-serif" w:hAnsi="Times New Roman;sans-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0a8088f342f4458b8fa7c96a91aab59_118">
              <w:r>
                <w:rPr>
                  <w:rStyle w:val="InternetLink"/>
                  <w:rFonts w:ascii="Times New Roman;sans-serif" w:hAnsi="Times New Roman;sans-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00a8088f342f4458b8fa7c96a91aab59_118">
              <w:r>
                <w:rPr>
                  <w:rStyle w:val="InternetLink"/>
                  <w:rFonts w:ascii="Times New Roman;sans-serif" w:hAnsi="Times New Roman;sans-serif"/>
                  <w:b w:val="false"/>
                  <w:strike w:val="false"/>
                  <w:dstrike w:val="false"/>
                  <w:color w:val="000000"/>
                  <w:sz w:val="20"/>
                  <w:u w:val="none"/>
                  <w:effect w:val="none"/>
                </w:rPr>
                <w:t>31</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0a8088f342f4458b8fa7c96a91aab59_145">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0a8088f342f4458b8fa7c96a91aab59_145">
              <w:r>
                <w:rPr>
                  <w:rStyle w:val="InternetLink"/>
                  <w:rFonts w:ascii="Times New Roman;sans-serif" w:hAnsi="Times New Roman;sans-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00a8088f342f4458b8fa7c96a91aab59_145">
              <w:r>
                <w:rPr>
                  <w:rStyle w:val="InternetLink"/>
                  <w:rFonts w:ascii="Times New Roman;sans-serif" w:hAnsi="Times New Roman;sans-serif"/>
                  <w:b w:val="false"/>
                  <w:strike w:val="false"/>
                  <w:dstrike w:val="false"/>
                  <w:color w:val="000000"/>
                  <w:sz w:val="20"/>
                  <w:u w:val="none"/>
                  <w:effect w:val="none"/>
                </w:rPr>
                <w:t>84</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0a8088f342f4458b8fa7c96a91aab59_148">
              <w:r>
                <w:rPr>
                  <w:rStyle w:val="InternetLink"/>
                  <w:rFonts w:ascii="Times New Roman;sans-serif" w:hAnsi="Times New Roman;sans-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0a8088f342f4458b8fa7c96a91aab59_148">
              <w:r>
                <w:rPr>
                  <w:rStyle w:val="InternetLink"/>
                  <w:rFonts w:ascii="Times New Roman;sans-serif" w:hAnsi="Times New Roman;sans-serif"/>
                  <w:b w:val="false"/>
                  <w:color w:val="0000FF"/>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00a8088f342f4458b8fa7c96a91aab59_148">
              <w:r>
                <w:rPr>
                  <w:rStyle w:val="InternetLink"/>
                  <w:rFonts w:ascii="Times New Roman;sans-serif" w:hAnsi="Times New Roman;sans-serif"/>
                  <w:b w:val="false"/>
                  <w:strike w:val="false"/>
                  <w:dstrike w:val="false"/>
                  <w:color w:val="000000"/>
                  <w:sz w:val="20"/>
                  <w:u w:val="none"/>
                  <w:effect w:val="none"/>
                </w:rPr>
                <w:t>84</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0a8088f342f4458b8fa7c96a91aab59_151">
              <w:r>
                <w:rPr>
                  <w:rStyle w:val="InternetLink"/>
                  <w:rFonts w:ascii="Times New Roman;sans-serif" w:hAnsi="Times New Roman;sans-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0a8088f342f4458b8fa7c96a91aab59_151">
              <w:r>
                <w:rPr>
                  <w:rStyle w:val="InternetLink"/>
                  <w:rFonts w:ascii="Times New Roman;sans-serif" w:hAnsi="Times New Roman;sans-serif"/>
                  <w:b w:val="false"/>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00a8088f342f4458b8fa7c96a91aab59_151">
              <w:r>
                <w:rPr>
                  <w:rStyle w:val="InternetLink"/>
                  <w:rFonts w:ascii="Times New Roman;sans-serif" w:hAnsi="Times New Roman;sans-serif"/>
                  <w:b w:val="false"/>
                  <w:strike w:val="false"/>
                  <w:dstrike w:val="false"/>
                  <w:color w:val="000000"/>
                  <w:sz w:val="20"/>
                  <w:u w:val="none"/>
                  <w:effect w:val="none"/>
                </w:rPr>
                <w:t>84</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0a8088f342f4458b8fa7c96a91aab59_154">
              <w:r>
                <w:rPr>
                  <w:rStyle w:val="InternetLink"/>
                  <w:rFonts w:ascii="Times New Roman;sans-serif" w:hAnsi="Times New Roman;sans-serif"/>
                  <w:b w:val="false"/>
                  <w:strike w:val="false"/>
                  <w:dstrike w:val="false"/>
                  <w:color w:val="000000"/>
                  <w:sz w:val="20"/>
                  <w:u w:val="none"/>
                  <w:effect w:val="non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0a8088f342f4458b8fa7c96a91aab59_154">
              <w:r>
                <w:rPr>
                  <w:rStyle w:val="InternetLink"/>
                  <w:rFonts w:ascii="Times New Roman;sans-serif" w:hAnsi="Times New Roman;sans-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00a8088f342f4458b8fa7c96a91aab59_154">
              <w:r>
                <w:rPr>
                  <w:rStyle w:val="InternetLink"/>
                  <w:rFonts w:ascii="Times New Roman;sans-serif" w:hAnsi="Times New Roman;sans-serif"/>
                  <w:b w:val="false"/>
                  <w:strike w:val="false"/>
                  <w:dstrike w:val="false"/>
                  <w:color w:val="000000"/>
                  <w:sz w:val="20"/>
                  <w:u w:val="none"/>
                  <w:effect w:val="none"/>
                </w:rPr>
                <w:t>84</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0a8088f342f4458b8fa7c96a91aab59_157">
              <w:r>
                <w:rPr>
                  <w:rStyle w:val="InternetLink"/>
                  <w:rFonts w:ascii="Times New Roman;sans-serif" w:hAnsi="Times New Roman;sans-serif"/>
                  <w:b w:val="false"/>
                  <w:strike w:val="false"/>
                  <w:dstrike w:val="false"/>
                  <w:color w:val="000000"/>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0a8088f342f4458b8fa7c96a91aab59_157">
              <w:r>
                <w:rPr>
                  <w:rStyle w:val="InternetLink"/>
                  <w:rFonts w:ascii="Times New Roman;sans-serif" w:hAnsi="Times New Roman;sans-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00a8088f342f4458b8fa7c96a91aab59_157">
              <w:r>
                <w:rPr>
                  <w:rStyle w:val="InternetLink"/>
                  <w:rFonts w:ascii="Times New Roman;sans-serif" w:hAnsi="Times New Roman;sans-serif"/>
                  <w:b w:val="false"/>
                  <w:strike w:val="false"/>
                  <w:dstrike w:val="false"/>
                  <w:color w:val="000000"/>
                  <w:sz w:val="20"/>
                  <w:u w:val="none"/>
                  <w:effect w:val="none"/>
                </w:rPr>
                <w:t>85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00a8088f342f4458b8fa7c96a91aab59_160">
              <w:r>
                <w:rPr>
                  <w:rStyle w:val="InternetLink"/>
                  <w:rFonts w:ascii="Times New Roman;sans-serif" w:hAnsi="Times New Roman;sans-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00a8088f342f4458b8fa7c96a91aab59_160">
              <w:r>
                <w:rPr>
                  <w:rStyle w:val="InternetLink"/>
                  <w:rFonts w:ascii="Times New Roman;sans-serif" w:hAnsi="Times New Roman;sans-serif"/>
                  <w:b w:val="false"/>
                  <w:strike w:val="false"/>
                  <w:dstrike w:val="false"/>
                  <w:color w:val="000000"/>
                  <w:sz w:val="20"/>
                  <w:u w:val="none"/>
                  <w:effect w:val="none"/>
                </w:rPr>
                <w:t>86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5" name="Frame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NURIX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89"/>
        <w:gridCol w:w="2350"/>
        <w:gridCol w:w="2300"/>
        <w:gridCol w:w="211"/>
        <w:gridCol w:w="826"/>
        <w:gridCol w:w="109"/>
        <w:gridCol w:w="109"/>
        <w:gridCol w:w="109"/>
        <w:gridCol w:w="109"/>
        <w:gridCol w:w="211"/>
        <w:gridCol w:w="826"/>
        <w:gridCol w:w="156"/>
      </w:tblGrid>
      <w:tr>
        <w:trPr/>
        <w:tc>
          <w:tcPr>
            <w:tcW w:w="288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May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November 30,</w:t>
              <w:br/>
              <w:t>2022</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non</w:t>
              <w:noBreakHyphen/>
              <w:t>current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416,759 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stockholdersʼ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6)</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Stockholdersʼ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$0.001 par value— 10,000,000 shares authorized as of May 31, 2023 and November 30, 2022; no shares issued and outstanding as of May 31, 2023 and November 30, 2022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500,000,000 shares authorized as of May 31, 2023 and November 30, 2022; 47,631,208 and 47,172,299 shares issued and outstanding as of May 31, 2023 and November 30, 2022,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709,220 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stockholdersʼ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303,696 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stockholdersʼ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416,759 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NURIX THERAPEUTICS,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60"/>
        <w:gridCol w:w="1493"/>
        <w:gridCol w:w="1507"/>
        <w:gridCol w:w="211"/>
        <w:gridCol w:w="784"/>
        <w:gridCol w:w="109"/>
        <w:gridCol w:w="109"/>
        <w:gridCol w:w="109"/>
        <w:gridCol w:w="109"/>
        <w:gridCol w:w="211"/>
        <w:gridCol w:w="784"/>
        <w:gridCol w:w="109"/>
        <w:gridCol w:w="109"/>
        <w:gridCol w:w="109"/>
        <w:gridCol w:w="109"/>
        <w:gridCol w:w="211"/>
        <w:gridCol w:w="784"/>
        <w:gridCol w:w="109"/>
        <w:gridCol w:w="109"/>
        <w:gridCol w:w="109"/>
        <w:gridCol w:w="109"/>
        <w:gridCol w:w="211"/>
        <w:gridCol w:w="784"/>
        <w:gridCol w:w="157"/>
      </w:tblGrid>
      <w:tr>
        <w:trPr/>
        <w:tc>
          <w:tcPr>
            <w:tcW w:w="176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May 31,</w:t>
            </w:r>
          </w:p>
        </w:tc>
      </w:tr>
      <w:tr>
        <w:trPr/>
        <w:tc>
          <w:tcPr>
            <w:tcW w:w="4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 revenue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109,512 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(88,459)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net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(87,934)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shares outstanding, basic and diluted</w:t>
            </w:r>
          </w:p>
        </w:tc>
        <w:tc>
          <w:tcPr>
            <w:tcW w:w="110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54,259,045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44,898,409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54,144,909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44,797,235</w:t>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NURIX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38"/>
        <w:gridCol w:w="1493"/>
        <w:gridCol w:w="1521"/>
        <w:gridCol w:w="211"/>
        <w:gridCol w:w="786"/>
        <w:gridCol w:w="109"/>
        <w:gridCol w:w="109"/>
        <w:gridCol w:w="109"/>
        <w:gridCol w:w="109"/>
        <w:gridCol w:w="211"/>
        <w:gridCol w:w="786"/>
        <w:gridCol w:w="109"/>
        <w:gridCol w:w="109"/>
        <w:gridCol w:w="109"/>
        <w:gridCol w:w="109"/>
        <w:gridCol w:w="211"/>
        <w:gridCol w:w="786"/>
        <w:gridCol w:w="109"/>
        <w:gridCol w:w="109"/>
        <w:gridCol w:w="109"/>
        <w:gridCol w:w="109"/>
        <w:gridCol w:w="211"/>
        <w:gridCol w:w="786"/>
        <w:gridCol w:w="157"/>
      </w:tblGrid>
      <w:tr>
        <w:trPr/>
        <w:tc>
          <w:tcPr>
            <w:tcW w:w="1738"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May 31,</w:t>
            </w:r>
          </w:p>
        </w:tc>
      </w:tr>
      <w:tr>
        <w:trPr/>
        <w:tc>
          <w:tcPr>
            <w:tcW w:w="4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(87,934)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available-for-sale marketable securities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(90,411)</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NURIX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077"/>
        <w:gridCol w:w="541"/>
        <w:gridCol w:w="543"/>
        <w:gridCol w:w="344"/>
        <w:gridCol w:w="344"/>
        <w:gridCol w:w="348"/>
        <w:gridCol w:w="109"/>
        <w:gridCol w:w="109"/>
        <w:gridCol w:w="109"/>
        <w:gridCol w:w="214"/>
        <w:gridCol w:w="366"/>
        <w:gridCol w:w="111"/>
        <w:gridCol w:w="109"/>
        <w:gridCol w:w="109"/>
        <w:gridCol w:w="109"/>
        <w:gridCol w:w="211"/>
        <w:gridCol w:w="826"/>
        <w:gridCol w:w="109"/>
        <w:gridCol w:w="109"/>
        <w:gridCol w:w="109"/>
        <w:gridCol w:w="109"/>
        <w:gridCol w:w="259"/>
        <w:gridCol w:w="776"/>
        <w:gridCol w:w="136"/>
        <w:gridCol w:w="109"/>
        <w:gridCol w:w="109"/>
        <w:gridCol w:w="109"/>
        <w:gridCol w:w="211"/>
        <w:gridCol w:w="852"/>
        <w:gridCol w:w="109"/>
        <w:gridCol w:w="109"/>
        <w:gridCol w:w="109"/>
        <w:gridCol w:w="109"/>
        <w:gridCol w:w="211"/>
        <w:gridCol w:w="826"/>
        <w:gridCol w:w="156"/>
      </w:tblGrid>
      <w:tr>
        <w:trPr/>
        <w:tc>
          <w:tcPr>
            <w:tcW w:w="107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 xml:space="preserve">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 xml:space="preserve">equity </w:t>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November 30, 2021</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44,664,371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early exercised stock options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under employee stock purchase plan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available-for-sale marketable securities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(42,533)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February 28, 2022</w:t>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44,853,448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305,917 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early exercised stock options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available-for-sale marketable securities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May 31, 2022</w:t>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45,040,068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578,605 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266,739 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078"/>
        <w:gridCol w:w="541"/>
        <w:gridCol w:w="543"/>
        <w:gridCol w:w="344"/>
        <w:gridCol w:w="344"/>
        <w:gridCol w:w="348"/>
        <w:gridCol w:w="109"/>
        <w:gridCol w:w="109"/>
        <w:gridCol w:w="109"/>
        <w:gridCol w:w="214"/>
        <w:gridCol w:w="366"/>
        <w:gridCol w:w="111"/>
        <w:gridCol w:w="109"/>
        <w:gridCol w:w="109"/>
        <w:gridCol w:w="109"/>
        <w:gridCol w:w="211"/>
        <w:gridCol w:w="826"/>
        <w:gridCol w:w="109"/>
        <w:gridCol w:w="109"/>
        <w:gridCol w:w="109"/>
        <w:gridCol w:w="109"/>
        <w:gridCol w:w="259"/>
        <w:gridCol w:w="776"/>
        <w:gridCol w:w="136"/>
        <w:gridCol w:w="109"/>
        <w:gridCol w:w="109"/>
        <w:gridCol w:w="109"/>
        <w:gridCol w:w="211"/>
        <w:gridCol w:w="852"/>
        <w:gridCol w:w="109"/>
        <w:gridCol w:w="109"/>
        <w:gridCol w:w="109"/>
        <w:gridCol w:w="109"/>
        <w:gridCol w:w="211"/>
        <w:gridCol w:w="826"/>
        <w:gridCol w:w="155"/>
      </w:tblGrid>
      <w:tr>
        <w:trPr/>
        <w:tc>
          <w:tcPr>
            <w:tcW w:w="107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 xml:space="preserve">income (loss)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 xml:space="preserve">equity </w:t>
            </w:r>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November 30, 2022</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47,172,299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303,696 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early exercised stock options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under employee stock purchase plan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available-for-sale marketable securities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(40,733)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February 28, 2023</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47,444,853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pre-funded warrants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early exercised stock options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available-for-sale marketable securities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May 31, 2023</w:t>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47,631,208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728,038 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(466,262)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259,921 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NURIX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178" w:type="dxa"/>
        <w:jc w:val="center"/>
        <w:tblInd w:w="0" w:type="dxa"/>
        <w:tblLayout w:type="fixed"/>
        <w:tblCellMar>
          <w:top w:w="28" w:type="dxa"/>
          <w:left w:w="28" w:type="dxa"/>
          <w:bottom w:w="28" w:type="dxa"/>
          <w:right w:w="28" w:type="dxa"/>
        </w:tblCellMar>
      </w:tblPr>
      <w:tblGrid>
        <w:gridCol w:w="2808"/>
        <w:gridCol w:w="2463"/>
        <w:gridCol w:w="2483"/>
        <w:gridCol w:w="196"/>
        <w:gridCol w:w="721"/>
        <w:gridCol w:w="109"/>
        <w:gridCol w:w="109"/>
        <w:gridCol w:w="109"/>
        <w:gridCol w:w="109"/>
        <w:gridCol w:w="196"/>
        <w:gridCol w:w="721"/>
        <w:gridCol w:w="154"/>
      </w:tblGrid>
      <w:tr>
        <w:trPr/>
        <w:tc>
          <w:tcPr>
            <w:tcW w:w="2808"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May 31,</w:t>
            </w:r>
          </w:p>
        </w:tc>
      </w:tr>
      <w:tr>
        <w:trPr/>
        <w:tc>
          <w:tcPr>
            <w:tcW w:w="7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amortization (accretion) of premium (discount) on marketable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property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lease right-of-use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marketable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Maturities of marketable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investing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 and pre-funded warrants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under employee stock purchase plan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cash equivalents and restricted cash</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(38,358)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of non-cash investing and financing activities:</w:t>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to property and equipment included in accounts payable and accrued expenses and other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stock-based compensation related to internal-use software development</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early exercised stock options</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6968" w:type="dxa"/>
        <w:jc w:val="center"/>
        <w:tblInd w:w="0" w:type="dxa"/>
        <w:tblLayout w:type="fixed"/>
        <w:tblCellMar>
          <w:top w:w="28" w:type="dxa"/>
          <w:left w:w="28" w:type="dxa"/>
          <w:bottom w:w="28" w:type="dxa"/>
          <w:right w:w="28" w:type="dxa"/>
        </w:tblCellMar>
      </w:tblPr>
      <w:tblGrid>
        <w:gridCol w:w="1700"/>
        <w:gridCol w:w="1493"/>
        <w:gridCol w:w="1501"/>
        <w:gridCol w:w="196"/>
        <w:gridCol w:w="646"/>
        <w:gridCol w:w="109"/>
        <w:gridCol w:w="109"/>
        <w:gridCol w:w="109"/>
        <w:gridCol w:w="109"/>
        <w:gridCol w:w="196"/>
        <w:gridCol w:w="646"/>
        <w:gridCol w:w="154"/>
      </w:tblGrid>
      <w:tr>
        <w:trPr/>
        <w:tc>
          <w:tcPr>
            <w:tcW w:w="170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As of May 31,</w:t>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 of cash, cash equivalents and restricted cash:</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NURIX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1. Organization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Description of Business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Nurix Therapeutics, Inc. (the Company) was incorporated in the state of Delaware on August 27, 2009, and is headquartered in San Francisco, California. The Company is a clinical stage biopharmaceutical company focused on the discovery, development and commercialization of medicines based on the modulation of cellular protein levels as a novel treatment approach for cancer and other challenging diseases. Leveraging the Company’s expertise in E3 ligases together with its proprietary DNA-encoded libraries, the Company has built DELigase, an integrated discovery platform to identify and advance novel drug candidates targeting E3 ligases, a broad class of enzymes that can modulate proteins within the cell. The Company’s drug discovery approach is to either harness or inhibit the natural function of E3 ligases within the ubiquitin-proteasome system to selectively decrease or increase cellular protein levels. The Company’s wholly owned, clinical stage pipeline includes targeted protein degraders of Bruton’s tyrosine kinase, a B-cell signaling protein, and inhibitors of Casitas B-lineage lymphoma proto-oncogene B, an E3 ligase that regulates activation of multiple immune cell types including T cells and NK cells. The Company’s partnered drug discovery pipeline consists of ten programs under collaboration agreements with Sanofi S.A. (Sanofi) and Gilead Sciences, Inc. (Gilead), within which the Company retains options for co-development and co-commercialization rights in the United States for up to four drug candidates, two for each collaboration.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Equity Distribution Agreement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2021, the Company filed a shelf registration statement on Form S-3 with the Securities and Exchange Commission (SEC), which was amended in February 2023. This shelf registration statement, which includes a base prospectus, allows the Company at any time to offer and sell up to $450.0 million of the Company’s registered common stock, preferred stock, debt securities, warrants, subscriptions rights and or units or any combination of securities described in the prospectus in one or more offerings. In addition, in August 2021, the Company entered into an Equity Distribution Agreement with Piper Sandler &amp; Co. (Piper Sandler) pursuant to which, from time to time, the Company may offer and sell through Piper Sandler up to $150.0 million of the common stock registered under the shelf registration statement pursuant to one or more “at the market” offerings.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not required to sell any shares at any time during the term of the Equity Distribution Agreement. The Company agreed to pay Piper Sandler a commission of 3% of the gross sales price of any shares sold pursuant to the Equity Distribution Agreement. In June 2022, the Company issued and sold 2,000,000 shares of common stock under the Equity Distribution Agreement at a price of $10.0001 per share of common stock for net proceeds of $19.3 million, after deducting offering commissions and expenses paid by the Company. As of May 31, 2023, the Company had $130.0 million of common stock remaining available for sale under the Equity Distribution Agreement.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Registered Direct Offerings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July 2022, the Company entered into separate securities purchase agreements with certain purchasers to issue and sell pre</w:t>
        <w:noBreakHyphen/>
        <w:t>funded warrants to purchase an aggregate of 6,814,920 shares of the Company’s common stock in registered direct offerings (RDOs) at a price of $13.939 per pre-funded warrant. Net proceeds from the RDOs were $94.8 million, after deducting offering expenses of $0.2 million. Refer to Note 7 for more information regarding the pre-funded warrants issued in the RDOs.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Liquidity and Management Plans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May 31, 2023, the Company had cash, cash equivalents and short-term marketable securities of $281.2 million and an accumulated deficit of $466.3 million. The Company’s operations have historically been financed through the issuance of common stock, redeemable convertible preferred stock and pre-funded warrants and proceeds received under the Company’s collaboration and license agreements. Since inception, the Company has generally incurred significant losses and negative net cash flows from operations. The Company does not expect its existing cash, cash equivalents and marketable securities to be sufficient to fund the completion of its clinical trials through commercialization and will need substantial additional funding to support its continuing operations and pursue its long-term business plan. The Company anticipates incurring additional losses until such time, if ever, that it can generate significant sales of its drug candidates currently in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believes that its cash, cash equivalents and short-term marketable securities are sufficient to continue operating activities for at least 12 months following the issuance date of these condensed consolidated financial statements. Future capital requirements will depend on many factors, including the timing and extent of spending on research and development and payments the Company may receive under its collaboration agreements with Sanofi and Gilead or future collaboration agreements, if any. There can be no assurance that, in the event the Company requires additional financing, such financing will be available at terms acceptable to the Company if at all. If additional capital is not available, failure to generate sufficient cash flows from operations, raise additional capital and reduce discretionary spending could have a material adverse effect on the Company’s ability to achieve its intended business objectives.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Basis of Presentation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condensed consolidated financial statements have been prepared in accordance with U.S. generally accepted accounting principles (U.S. GAAP) and applicable rules and regulations of the SEC regarding interim financial reporting. The Company’s condensed consolidated financial statements have been prepared on the same basis as the annual financial statements and reflect, in the opinion of management, all adjustments of a normal and recurring nature that are necessary for the fair statement of the Company’s financial position as of and for the three and six months ended May 31, 2023. The condensed consolidated balance sheet as of November 30, 2022, was derived from the audited annual financial statements as of that date. Certain information and footnote disclosures normally included in financial statements prepared in accordance with U.S. GAAP have been condensed or omitted from these interim financial statements. These interim financial statements and related disclosures have been prepared with the presumption that users of the interim financial statements have read or have access to the audited annual financial statements for the preceding fiscal year. Accordingly, these financial statements should be read in conjunction with the audited annual financial statements and notes thereto contained in the Company’s Annual Report on Form 10-K for the year ended November 30, 2022, as filed with the SEC. These interim results are not necessarily indicative of results to be expected for the full fiscal year or any future interim period. Certain prior year amounts have been reclassified for consistency with the current year cash flow presentation. The reclassification did not impact total cash flow from operating, investing or financing activities.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Principles of Consolidation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include the accounts of the Company and its wholly owned subsidiaries, including DeCART Therapeutics Inc, which was legally dissolved in July 2022. All intercompany balances and transactions have been eliminated in consolidation.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reported amounts of revenues and expenses during the reporting period. On an ongoing basis, management evaluates its estimates, including those related to the useful lives of long-lived assets, the measurement of stock-based compensation, accruals for research and development activities, income taxes and revenue recognition. The Company bases its estimates on historical experience and on other relevant assumptions that are reasonable under the circumstances. Actual results could materially differ from those estimates. Refer to Note 3 for more information regarding the estimates related to revenue recognition.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Concentration of Credit Risk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 of credit risk consist of cash, cash equivalents and marketable securities. The Company invests its cash equivalents in highly rated money market funds. The Company’s marketable securities consist of debt securities issued by highly rated corporate entities, foreign governments, the U.S. federal government or state and local governments. The Company’s exposure to any individual corporate entity is limited by policy, and its ongoing cash management strategy is to maintain diversity in its deposit accounts across financial institutions; however, the Company is exposed to credit risk on deposits in the event of default by the financial institutions to the extent account balances exceed the amount insured by the Federal Deposit Insurance Corporation (FDIC). The Company is closely monitoring ongoing events involving limited liquidity, defaults, non-performance or other adverse developments that affect financial institutions or other companies in the financial services industry or the financial services industry generally, including Silicon Valley Bank (SVB). On March 10, 2023, SVB, where the Company maintained an operating account with a cash balance of less than 1% of the Company's total cash, cash equivalents and marketable securities, was closed by the California Department of Financial Protection and Innovation and the FDIC was appointed as receiver. On March 12, 2023, the U.S. Department of the Treasury, Federal Reserve Board, and FDIC released a joint statement announcing that the FDIC would complete its resolution of SVB in a manner that fully protected all depositors at SVB and that depositors would have access to all of their money starting March 13, 2023. On March 26, 2023, it was announced that First-Citizens Bank &amp; Trust Company would assume all of SVB's deposits and loans as of March 27, 2023. In light of the foregoing, the Company does not believe that it has exposure to loss as a result of SVB’s receivership. During the periods presented, the Company has not experienced any losses on its deposits of cash, cash equivalents or marketable securities.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Other Risks and Uncertainties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a number of risks similar to other clinical stage biopharmaceutical companies, including, but not limited to, changes in any of the following areas that the Company believes could have a material adverse effect on its future financial position or results of operations: risks related to the successful discovery and development of its drug candidates, ability to raise additional capital, development of new technological innovations by its competitors and delay or inability to obtain drug substance and finished drug product from the Company’s third-party contract manufacturers necessary for the Company’s drug candidates, protection of intellectual property rights, litigation or claims against the Company based on intellectual property rights and regulatory clearance and market acceptance for any of the Company’s products candidates for which the Company receives marketing approval.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Moreover, the Company is subject to risks and uncertainties as a result of macroeconomic events and conditions, including increasing financial market volatility and uncertainty, inflation, increasing interest rates, the federal debt ceiling and budget, instability in the global banking system, the impact of war or military conflict, including the war in Ukraine, and public health pandemics. The extent to which macroeconomic factors, including increasing financial market volatility and uncertainty, will impact the Company’s business will depend on future developments that are highly uncertain and cannot be predicted at this time.</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generally accepted accounting principles requires management to make estimates and assumptions that affect the amounts reported in the financial statements and accompanying notes. The extent to which the increasing financial market volatility and uncertainty may directly or indirectly impact the Company’s financial statements is highly uncertain and subject to change.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relies on single source manufacturers and suppliers for the supply of its drug candidates. Disruption from these manufacturers or suppliers would have a negative impact on the Company’s business, financial position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contains a lease at inception. Lease right-of-use (ROU) assets, current lease liabilities and long-term lease liabilities are recognized at the lease commencement date based on the present value of the future minimum lease payments over the lease term at the commencement date. ROU assets also include any initial direct costs incurred and any lease payments made on or before the lease commencement date, less lease incentives received. The Company uses its incremental borrowing rate based on the information available at the commencement date in determining the lease liabilities as the Company’s leases generally do not provide an implicit rate. The incremental borrowing rate, the ROU asset and the lease liability are reevaluated upon a lease modification. The Company determines its incremental borrowing rate based on the rate of interest that the Company would have to pay to borrow on a collateralized basis over a similar term, in an amount equal to the lease payments in a similar economic environment. Lease terms may include options to extend or terminate the lease when the Company is reasonably certain that the option will be exercised. Lease expense for operating leases is recognized on a straight-line basis over the lease term. The Company does not have any finance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elected to apply each of the practical expedients described in Topic 842 which allow companies (i) not to reassess prior conclusions on whether any expired or existing contracts are or contain a lease, lease classification, and initial direct costs, (ii) combine lease and non-lease components for all underlying assets groups, and (iii) not recognize ROU assets or lease liabilities for short-term leases. A short-term lease is a lease that, at the commencement date, has a lease term of 12 months or less and does not include an option to purchase the underlying asset that the lessee is reasonably certain to exercise.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Revenue Recognition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revenue when its customer obtains control of promised goods or services, in an amount that reflects the consideration which the Company expects to receive in exchange for those goods or services. To recognize revenue from a contract with a customer, the Company performs the following five steps: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(i)identify the contract(s) with a customer;</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(ii)identify the performance obligations in the contract;</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(iii)determine the transaction price;</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(iv)allocate the transaction price to the performance obligations in the contract; and</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(v)recognize revenue when (or as) the Company satisfies a performance obligation.</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contract inception, the Company assesses the goods or services promised within each contract,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collaboration agreements under which it may obtain upfront payments, milestone payments, royalty payments and other fees. Promises under these arrangements may include research licenses, research services, including selection campaign research services for certain replacement targets, the obligation to share information during the research and the participation of alliance managers and in joint research committees, joint patent committees and joint steering committees. The Company assesses these promises within the context of the agreements to determine the performance obligations.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Exclusive license rights: If a license to the Company’s intellectual property is determined to be distinct from the other promises identified in the arrangement, the Company recognizes revenue from nonrefundable, upfront payments allocated to the license when the license is transferred to the customer and the customer is able to use and benefit from the license and the underlying intellectual property. If the license is the predominant promise, and it is determined that the license represents functional intellectual property, revenue is recognized at the point in time when control of the license is transferred. If it is determined that the license does not represent functional intellectual property, revenue is recognized over time using an appropriate method of measuring progress.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collaboration licenses: Collaboration agreements may include research licenses and research and development services to be performed by the Company. For research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payments. The Company evaluates the measure of proportional performance each reporting period and, if necessary, adjusts the measure of performance and related revenue recognition.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Milestone payments: At the inception of each arrangement that includes research, development, or regulatory milestone payments, the Company evaluates whether the milestones are considered probable of being reached and estimates the amount to be included in the transaction price. The Company uses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amount is included in the transaction price.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Sales-based milestones and royalties: For arrangements that include sales-based milestone or royalty payments based on the level of sales, and in which the license is deemed to be the predominant item to which the sales-based milestone or royalties relate to, the Company recognizes revenue in the period in which the sales-based milestone is achieved and in the period in which the sales associated with the royalty occur. To date, the Company has not recognized any sales-based milestone or royalty revenue resulting from its collaboration arrangements.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Customer options: Customer options, such as options granted to allow a licensee to extend a license or research term, to select additional research targets or to choose to research, develop and commercialize licensed compounds are evaluated at contract inception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As a practical alternative to estimating the standalone selling price of a material right when the underlying goods or services are both (i) similar to the original goods or services in the contract and (ii) provided in accordance with the terms of the original contract, the Company allocates the total amount of consideration expected to be received from the customer to the total goods or services expected to be provided to the customer. Amounts allocated to any material right are recognized as revenue when or as the related future goods or services are transferred or when the option expires.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revenue, which is a contract liability, represents net amounts received by the Company for which the related revenues have not been recognized because one or more of the revenue recognition criteria have not been met. The current portion of deferred revenue represents the amount to be recognized within one year from the condensed consolidated balance sheet date based on the estimated performance period of the underlying performance obligation. The non-current portion of deferred revenue represents amounts to be recognized after one year through the end of the performance period of the performance obligation.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Recently Adopted Accounting Pronouncements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recent accounting pronouncements, changes in accounting pronouncements or recently adopted accounting guidance during the six months ended May 31, 2023 that are of significance or potential significance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3. Collaboration Agreements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Gilead</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June 2019, the Company entered into a global strategic collaboration agreement with Gilead (as subsequently amended, the Gilead Agreement), to discover, develop and commercialize a pipeline of targeted protein degradation drugs for patients with cancer and other challenging diseases using the Company’s DELigase platform to identify novel agents that utilize E3 ligases to induce degradation of five specified drug targets. In August 2019 and September 2022, the Company entered into the First Amendment and the Second Amendment, respectively, to the Gilead Agreement to clarify certain language of the Gilead Agreement. These amendments had no impact on revenue recognition.</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Gilead Agreement, Gilead has the option to license drug candidates directed to up to five targets resulting from the collaboration and is responsible for the clinical development and commercialization of drug candidates resulting from the collaboration. The Company retains the option to co-develop and co-promote, under a profit share structure, up to two drug candidates in the United States, provided that the Company may only exercise such option once per licensed product and Gilead retains the right to veto the Company’s option selection for any one drug candidate of its choice.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 In March 2023, Gilead exercised the option, which did not represent a material right at contract inception, since it was not offered for free or at a discount, to exclusively license one target (Gilead License Option Exercise), the first development candidate resulting from the Gilead Agreement. Pursuant to the Gilead Agreement, the Company received a license option exercise payment of $20.0 million in April 2023 for the Gilead License Option Exercise. The license to the functional intellectual property and all goods and services related to the Gilead License Option Exercise were transferred during the second quarter of fiscal year 2023.</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Upon signing the Gilead Agreement, Gilead paid the Company an upfront payment of $45.0 million plus $3.0 million in additional fees. In addition, from the signing of the Gilead Agreement to May 31, 2023, the Company has received payments of $41.0 million for research milestones and additional payments. As of May 31, 2023, the Company is eligible to receive up to approximately $2.3 billion in total additional payments based on certain additional fees, payments and the successful completion of certain preclinical, clinical, development and sales milestones. In addition, the Company is eligible to receive tiered royalties from mid-single digit to low tens percentages on annual net sales from any commercial products directed to the optioned collaboration targets, subject to certain reductions and excluding sales in the United States of any products for which the Company exercises its option to co-develop and co-promote, for which the Company and Gilead share profits and losses evenly.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re-evaluates the transaction price in each reporting period and as uncertain events are resolved or other changes in circumstances occur. The Company determined that the transaction price at the inception of the Gilead Agreement consisted of the upfront payment of $45.0 million and $3.0 million in additional fees. Upon the achievement of research milestones and additional fees related to target reservations, $41.0 million in variable consideration was added to the transaction price, and a cumulative effect was recorded as revenue in the period the transaction price increased. The transaction price is recognized as collaboration revenue using the cost-based input method over the estimated contract term of five years.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May 31, 2023, the Company recognized collaboration revenue related to the Gilead Agreement of $5.7 million and $13.1 million, respectively, of which $5.7 million and $8.5 million, respectively, was included in deferred revenue as of November 30, 2022, and zero and $4.1 million, respectively, was related to activities satisfied in previous periods. The Company also recognized $20.0 million in license revenue received pursuant to the Gilead License Option Exercise during the three and six months ended May 31, 2023. For the three and six months ended May 31, 2022, the Company recognized collaboration revenue related to the Gilead Agreement of $6.1 million and $12.3 million, respectively, of which $5.3 million and $8.6 million, respectively, was included in deferred revenue as of November 30, 2021, and $0.6 million and $3.1 million, respectively, was related to activities satisfied in previous periods. As of May 31, 2023, deferred revenue related to the Gilead Agreement was $20.8 million, of which $20.4 million was included as deferred revenue, current. As of November 30, 2022, deferred revenue related to the Gilead Agreement was $27.4 million, of which $18.2 million was included as deferred revenue, current.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Sanofi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2019, the Company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the Company’s DELigase platform to identify small molecules designed to induce degradation of three specified initial drug targets. In January 2021, as part of the existing collaboration agreement, Sanofi paid the Company $22.0 million to exercise its option to expand the number of targets in the collaboration agreement from three to a total of five targets.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2021, the Company and Sanofi entered into the First Amendment to the Sanofi Agreement to modify the research term on all targets (the First Sanofi Amendment). Over time and subject to certain limitations, Sanofi may elect to replace the drug targets with other reserved targets. In December 2021, the Company and Sanofi entered into the Second Amendment to the Sanofi Agreement to extend the substitution deadline on certain targets. In July 2022, the Company entered into the Third Amendment to the Sanofi Agreement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the Company entered into the Fourth Amendment to the Sanofi Agreement to modify the research plan for a certain target, which had no impact on revenue recognition.</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Upon signing the Sanofi Agreement, Sanofi paid the Company an upfront payment of $55.0 million. Subsequently, in January 2021, Sanofi paid the Company an additional $22.0 million to exercise its option to expand the number of targets beyond the initial targets included in the collaboration. In addition, from the signing of the Sanofi Agreement to May 31, 2023, the Company has received payments of $5.0 million for research milestones. As of May 31, 2023, the Company is eligible to receive up to approximately $2.5 billion in total additional payments based on certain additional fees, payments and the successful completion of certain research development, regulatory and sales milestones, as well as tiered royalties ranging from mid-single digit to low teen percentages on annual net sales of any commercial products that may result from the collaboration, subject to certain reductions and excluding sales in the United States of any products for which the Company exercises its option to co-develop and co-promote, for which the parties share profits and losses evenly.</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re-evaluates the transaction price in each reporting period and as uncertain events are resolved or other changes in circumstances occur. At the inception of the Sanofi Agreement, the Company determined that the transaction price consisted of the upfront payment of $55.0 million for three initial drug targets and $22.0 million for two additional targets. Subsequently, upon the achievement of research milestones, $5.0 million in variable consideration was added to the transaction price and a cumulative effect was recorded as revenue in the period the transaction price increased. Revenue is recognized using the cost-based input method over the research term of 4.25 years, the revised research period that was agreed to in January 2021 in the First Sanofi Amendment for certain targets, and 5.25 years, the revised research period due to the target substitutions in July 2022, for certain other targets.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May 31, 2023, the Company recognized collaboration revenue related to the Sanofi Agreement of $5.0 million and $10.3 million, respectively, of which $5.0 million and $9.8 million, respectively, was included in deferred revenue as of November 30, 2022, and zero and $0.4 million, respectively, was related to activities satisfied in previous periods. For the three and six months ended May 31, 2022, the Company recognized collaboration revenue related to the Sanofi Agreement of $5.3 million and $8.7 million, respectively, of which $5.3 million and $8.2 million, respectively, was included in deferred revenue as of November 30, 2021 and zero and $0.5 million, respectively, was related to activities satisfied in previous periods. As of May 31, 2023, deferred revenue related to the Sanofi Agreement was $37.9 million, of which $23.7 million was included as deferred revenue, current. As of November 30, 2022, deferred revenue related to the Sanofi Agreement was $46.2 million, of which $19.4 million was included as deferred revenue, current, and includes $1.0 million in contract assets representing the unbilled amount related to the research milestone recognized in November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4. Condensed Consolidated Balance Sheet Components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Property and Equipment, Net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net, consisted of the following (in thousands): </w:t>
      </w:r>
    </w:p>
    <w:tbl>
      <w:tblPr>
        <w:tblW w:w="6692" w:type="dxa"/>
        <w:jc w:val="center"/>
        <w:tblInd w:w="0" w:type="dxa"/>
        <w:tblLayout w:type="fixed"/>
        <w:tblCellMar>
          <w:top w:w="28" w:type="dxa"/>
          <w:left w:w="28" w:type="dxa"/>
          <w:bottom w:w="28" w:type="dxa"/>
          <w:right w:w="28" w:type="dxa"/>
        </w:tblCellMar>
      </w:tblPr>
      <w:tblGrid>
        <w:gridCol w:w="1504"/>
        <w:gridCol w:w="1322"/>
        <w:gridCol w:w="1328"/>
        <w:gridCol w:w="211"/>
        <w:gridCol w:w="721"/>
        <w:gridCol w:w="109"/>
        <w:gridCol w:w="109"/>
        <w:gridCol w:w="109"/>
        <w:gridCol w:w="109"/>
        <w:gridCol w:w="227"/>
        <w:gridCol w:w="777"/>
        <w:gridCol w:w="166"/>
      </w:tblGrid>
      <w:tr>
        <w:trPr/>
        <w:tc>
          <w:tcPr>
            <w:tcW w:w="1504"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May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November 30,</w:t>
              <w:br/>
              <w:t>2022</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in 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gross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36,833 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17,163 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Accrued Expenses and Other Current Liabilities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expenses and other current liabilities consisted of the following (in thousands): </w:t>
      </w:r>
    </w:p>
    <w:tbl>
      <w:tblPr>
        <w:tblW w:w="6797" w:type="dxa"/>
        <w:jc w:val="center"/>
        <w:tblInd w:w="0" w:type="dxa"/>
        <w:tblLayout w:type="fixed"/>
        <w:tblCellMar>
          <w:top w:w="28" w:type="dxa"/>
          <w:left w:w="28" w:type="dxa"/>
          <w:bottom w:w="28" w:type="dxa"/>
          <w:right w:w="28" w:type="dxa"/>
        </w:tblCellMar>
      </w:tblPr>
      <w:tblGrid>
        <w:gridCol w:w="1543"/>
        <w:gridCol w:w="1353"/>
        <w:gridCol w:w="1363"/>
        <w:gridCol w:w="211"/>
        <w:gridCol w:w="721"/>
        <w:gridCol w:w="109"/>
        <w:gridCol w:w="109"/>
        <w:gridCol w:w="109"/>
        <w:gridCol w:w="109"/>
        <w:gridCol w:w="227"/>
        <w:gridCol w:w="777"/>
        <w:gridCol w:w="166"/>
      </w:tblGrid>
      <w:tr>
        <w:trPr/>
        <w:tc>
          <w:tcPr>
            <w:tcW w:w="154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May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November 30,</w:t>
              <w:br/>
              <w:t>2022</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contract research and lab supplies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 and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22,428 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5. Fair Value Measurements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authoritative guidance on fair value measurements and disclosures under U.S. GAAP, the Company discloses and recognizes the fair value of its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1—Inputs that reflect unadjusted quoted prices in active markets for identical assets or liabilities that the Company has the ability to access at the measurement date;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2—Inputs other than quoted prices included within Level 1 that are observable for the asset or liability either directly or indirectly, including inputs in markets that are not considered to be active; and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3—Inputs that are unobservable.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investments, which consist of cash equivalents and available-for-sale marketable securities, that are measured at fair value on a recurring basis as of May 31, 2023 and November 30, 2022 (in thousands):</w:t>
      </w:r>
    </w:p>
    <w:tbl>
      <w:tblPr>
        <w:tblW w:w="10205" w:type="dxa"/>
        <w:jc w:val="center"/>
        <w:tblInd w:w="0" w:type="dxa"/>
        <w:tblLayout w:type="fixed"/>
        <w:tblCellMar>
          <w:top w:w="28" w:type="dxa"/>
          <w:left w:w="28" w:type="dxa"/>
          <w:bottom w:w="28" w:type="dxa"/>
          <w:right w:w="28" w:type="dxa"/>
        </w:tblCellMar>
      </w:tblPr>
      <w:tblGrid>
        <w:gridCol w:w="1339"/>
        <w:gridCol w:w="1140"/>
        <w:gridCol w:w="1152"/>
        <w:gridCol w:w="109"/>
        <w:gridCol w:w="109"/>
        <w:gridCol w:w="109"/>
        <w:gridCol w:w="234"/>
        <w:gridCol w:w="234"/>
        <w:gridCol w:w="239"/>
        <w:gridCol w:w="109"/>
        <w:gridCol w:w="109"/>
        <w:gridCol w:w="109"/>
        <w:gridCol w:w="211"/>
        <w:gridCol w:w="826"/>
        <w:gridCol w:w="109"/>
        <w:gridCol w:w="109"/>
        <w:gridCol w:w="109"/>
        <w:gridCol w:w="109"/>
        <w:gridCol w:w="257"/>
        <w:gridCol w:w="495"/>
        <w:gridCol w:w="134"/>
        <w:gridCol w:w="109"/>
        <w:gridCol w:w="109"/>
        <w:gridCol w:w="109"/>
        <w:gridCol w:w="211"/>
        <w:gridCol w:w="686"/>
        <w:gridCol w:w="109"/>
        <w:gridCol w:w="109"/>
        <w:gridCol w:w="109"/>
        <w:gridCol w:w="109"/>
        <w:gridCol w:w="211"/>
        <w:gridCol w:w="826"/>
        <w:gridCol w:w="157"/>
      </w:tblGrid>
      <w:tr>
        <w:trPr/>
        <w:tc>
          <w:tcPr>
            <w:tcW w:w="133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May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r>
      <w:tr>
        <w:trPr/>
        <w:tc>
          <w:tcPr>
            <w:tcW w:w="3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55,019 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304,701 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55,019 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55,019 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marketable securities,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marketable securities,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325"/>
        <w:gridCol w:w="1147"/>
        <w:gridCol w:w="1159"/>
        <w:gridCol w:w="109"/>
        <w:gridCol w:w="109"/>
        <w:gridCol w:w="109"/>
        <w:gridCol w:w="234"/>
        <w:gridCol w:w="234"/>
        <w:gridCol w:w="239"/>
        <w:gridCol w:w="109"/>
        <w:gridCol w:w="109"/>
        <w:gridCol w:w="109"/>
        <w:gridCol w:w="211"/>
        <w:gridCol w:w="826"/>
        <w:gridCol w:w="109"/>
        <w:gridCol w:w="109"/>
        <w:gridCol w:w="109"/>
        <w:gridCol w:w="109"/>
        <w:gridCol w:w="257"/>
        <w:gridCol w:w="495"/>
        <w:gridCol w:w="134"/>
        <w:gridCol w:w="109"/>
        <w:gridCol w:w="109"/>
        <w:gridCol w:w="109"/>
        <w:gridCol w:w="211"/>
        <w:gridCol w:w="686"/>
        <w:gridCol w:w="109"/>
        <w:gridCol w:w="109"/>
        <w:gridCol w:w="109"/>
        <w:gridCol w:w="109"/>
        <w:gridCol w:w="211"/>
        <w:gridCol w:w="826"/>
        <w:gridCol w:w="157"/>
      </w:tblGrid>
      <w:tr>
        <w:trPr/>
        <w:tc>
          <w:tcPr>
            <w:tcW w:w="1325"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November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r>
      <w:tr>
        <w:trPr/>
        <w:tc>
          <w:tcPr>
            <w:tcW w:w="3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59,452 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367,998 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59,452 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59,452 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marketable securities,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marketable securities,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accrued interest receivable related to the Company’s marketable securities was $1.0 million and $1.1 million as of May 31, 2023 and November 30, 2022, respectively, and was included in prepaid expenses and other current assets on the condensed consolidated balance sheet. Long-term marketable securities held by the Company generally mature within two years from the balance sheet date.</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classifies its money market funds and U.S. treasury securities, which are valued based on quoted market prices in active markets with no valuation adjustment, as Level 1 assets within the fair value hierarchy.</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classifies its marketable securities in corporate debt securities, U.S. government agency securities, corporate commercial paper and foreign government securities as Level 2 assets within the fair value hierarchy. The fair values of these marketable securities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There were no transfers of financial instruments between valuation levels during the three and six months ended May 31,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May 31, 2023 and November 30, 2022, the unrealized losses for available-for-sale securities were non-credit related, and the Company does not intend to sell the securities that were in an unrealized loss position, nor will it be required to sell those securities before recovery of their amortized cost basis, which may be maturity. As of May 31, 2023 and November 30, 2022, no allowance for credit losses for the Company’s marketable securities was recorded. During the three and six months ended May 31, 2023 and 2022, the Company did not recognize any impairment losses related to marketable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6. Commitments and Contingencies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Legal Proceedings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be involved in legal proceedings in the ordinary course of business. The Company accrues a liability for such matters when it is probable that future expenditures will be made and that such expenditures can be reasonably estimated. Significant judgment is required to determine both probability and the estimated amount. Legal fees and other costs associated with such actions are expensed as incurred. As of May 31, 2023, the Company was not a party to any material legal proceedings.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Indemnifications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Company often includes standard indemnification provisions in its arrangements with its partners, suppliers and vendors, among others.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The Company has not incurred any material costs as a result of such indemnifications and has not accrued any liabilities related to such obligations in these condensed consolidated financial statements as management believes such liability is immaterial.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condensed consolidated financial statements. The maximum potential amount of future payments the Company could be required to make under these indemnification agreements is not specified in the agreements. However, the Company currently has directors’ and officers’ insurance that reduces its exposure and may enable the Company to recover a portion of any future amounts paid.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Leases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office and laboratory facilities totaling approximately 57,902 square feet within the same building in San Francisco, California under several lease agreements. The terms of these lease agreements expire on April 30, 2025.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the Company entered into a lease agreement for the lease of approximately 19,320 square feet of office space in San Francisco, California, for a research and development laboratory and related uses. The lease will expire on June 30, 2024, unless terminated earlier.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2022, the Company entered into a lease agreement for the lease of approximately 46,434 square feet of office space in The Woodlands, Texas, for a research and development laboratory and related uses. The Company obtained access to the premise on August 1, 2022 to commence construction of landlord-owned improvements. The lease is expected to commence in the second half of fiscal year 2023 when the underlying assets become available for use and the Company obtains control and will expire on March 1, 2035, unless terminated earlier. The Company has an option to renew for two additional terms of five years each, and it is not reasonably certain that the Company will exercise this option. The minimum rent payable by the Company under the lease will be approximately $205,000 per month, beginning on March 1, 2023, which amount will increase by 3% per year over the term of the lease; provided that, for the period between March 1, 2023 and February 29, 2024, the minimum rent payable by the Company under the lease will be approximately $154,000 per month. The Company will also be responsible for the payment of the tenant’s proportionate share of the operating expenses as defined in the lease agreement.</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expenses, excluding additional rent charges for utilities, maintenance and real estate taxes, were $1.5 million for each of the three months ended May 31, 2023 and 2022, and $3.0 million and $2.8 million for the six months ended May 31, 2023 and 2022, respectively. Short-term lease expense was not material for all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leases were as follows (in thousands):</w:t>
      </w:r>
    </w:p>
    <w:tbl>
      <w:tblPr>
        <w:tblW w:w="8259" w:type="dxa"/>
        <w:jc w:val="center"/>
        <w:tblInd w:w="0" w:type="dxa"/>
        <w:tblLayout w:type="fixed"/>
        <w:tblCellMar>
          <w:top w:w="28" w:type="dxa"/>
          <w:left w:w="28" w:type="dxa"/>
          <w:bottom w:w="28" w:type="dxa"/>
          <w:right w:w="28" w:type="dxa"/>
        </w:tblCellMar>
      </w:tblPr>
      <w:tblGrid>
        <w:gridCol w:w="2181"/>
        <w:gridCol w:w="1912"/>
        <w:gridCol w:w="1922"/>
        <w:gridCol w:w="211"/>
        <w:gridCol w:w="616"/>
        <w:gridCol w:w="109"/>
        <w:gridCol w:w="109"/>
        <w:gridCol w:w="109"/>
        <w:gridCol w:w="109"/>
        <w:gridCol w:w="211"/>
        <w:gridCol w:w="616"/>
        <w:gridCol w:w="154"/>
      </w:tblGrid>
      <w:tr>
        <w:trPr/>
        <w:tc>
          <w:tcPr>
            <w:tcW w:w="2181"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May 31,</w:t>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non-cash investing and financing activities: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recognized in exchange for lease obligations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7. Common Stock</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Restated Certificate of Incorporation authorizes the Company to issue up to 500,000,000 shares of common stock, $0.001 par value per share, as of May 31, 2023 and November 30, 2022. Holders of common stock are entitled to dividends when and if declared by the Company’s board of directors, subject to the prior rights of the holders of shares of preferred stock. The holder of each share of common stock is entitled to one vote. As of May 31, 2023, no dividends have been declared.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July 2022, the Company issued pre-funded warrants to purchase an aggregate of 6,814,920 shares of the Company’s common stock in RDOs at a price of $13.939 per pre-funded warrant. The pre-funded warrants were immediately exercisable, have an exercise price of $0.001 and may be exercised at any time after the date of issuance. A holder of pre-funded warrants may not exercise the warrant if the holder, together with its affiliates, would beneficially own more than 9.99% of the number of shares of the Company’s common stock outstanding immediately after giving effect to such exercise. A holder of the pre-funded warrants may increase or decrease this percentage not in excess of 19.99% by providing at least 61 days’ prior notice to the Company. As of May 31, 2023, there were pre-funded warrants to purchase an aggregate of 6,666,423 shares of the Company's common stock that remained available for exercise. In June 2023, pre-funded warrants to purchase a total of 568,863 shares of the Company’s common stock were exercised. As of June 30, 2023, pre-funded warrants to purchase a total of 6,097,560 shares of the Company’s common stock remained available for exercise.</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pre-funded warrants were classified as a component of permanent equity in the Company's condensed consolidated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the pre-funded warrants have been included in the weighted-average number of shares of common stock used to calculate net loss per share attributable to common stockholders because the shares may be issued for little or no consideration, are fully vested and are exercisable after the original issuance date of the pre-funded warrants.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reserved for future issuance, on an as-if converted basis, as of May 31, 2023 and November 30, 2022, consists of the following:</w:t>
      </w:r>
    </w:p>
    <w:tbl>
      <w:tblPr>
        <w:tblW w:w="7977" w:type="dxa"/>
        <w:jc w:val="center"/>
        <w:tblInd w:w="0" w:type="dxa"/>
        <w:tblLayout w:type="fixed"/>
        <w:tblCellMar>
          <w:top w:w="28" w:type="dxa"/>
          <w:left w:w="28" w:type="dxa"/>
          <w:bottom w:w="28" w:type="dxa"/>
          <w:right w:w="28" w:type="dxa"/>
        </w:tblCellMar>
      </w:tblPr>
      <w:tblGrid>
        <w:gridCol w:w="1972"/>
        <w:gridCol w:w="1734"/>
        <w:gridCol w:w="1738"/>
        <w:gridCol w:w="343"/>
        <w:gridCol w:w="343"/>
        <w:gridCol w:w="350"/>
        <w:gridCol w:w="109"/>
        <w:gridCol w:w="109"/>
        <w:gridCol w:w="109"/>
        <w:gridCol w:w="343"/>
        <w:gridCol w:w="343"/>
        <w:gridCol w:w="484"/>
      </w:tblGrid>
      <w:tr>
        <w:trPr/>
        <w:tc>
          <w:tcPr>
            <w:tcW w:w="1972"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May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November 30,</w:t>
              <w:br/>
              <w:t>2022</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 issued and outstanding</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8,949,950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8,256,957</w:t>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issued and outstanding</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1,489,429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784,824</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future equity grants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1,178,387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834,291</w:t>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issuance under employee stock purchase plan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1,325,523</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Pre-funded warrants issued and outstanding</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6,666,423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6,814,920</w:t>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common stock reserved for future issuance</w:t>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19,916,219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18,016,515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8. Stock-Based Compensation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2020 Equity Incentive Plan (the 2020 Plan) serves as the successor to the Company’s 2012 Equity Incentive Plan (together with the 2020 Plan, the Stock Plans) and provides for the granting of stock options, stock appreciation rights, restricted stock awards, restricted stock units (RSUs), performance awards and stock bonus awards to employees, directors, consultants, independent contractors and advisors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 activity under the Stock Plans is set forth below: </w:t>
      </w:r>
    </w:p>
    <w:tbl>
      <w:tblPr>
        <w:tblW w:w="5281" w:type="dxa"/>
        <w:jc w:val="center"/>
        <w:tblInd w:w="0" w:type="dxa"/>
        <w:tblLayout w:type="fixed"/>
        <w:tblCellMar>
          <w:top w:w="28" w:type="dxa"/>
          <w:left w:w="28" w:type="dxa"/>
          <w:bottom w:w="28" w:type="dxa"/>
          <w:right w:w="28" w:type="dxa"/>
        </w:tblCellMar>
      </w:tblPr>
      <w:tblGrid>
        <w:gridCol w:w="1059"/>
        <w:gridCol w:w="931"/>
        <w:gridCol w:w="934"/>
        <w:gridCol w:w="348"/>
        <w:gridCol w:w="348"/>
        <w:gridCol w:w="353"/>
        <w:gridCol w:w="109"/>
        <w:gridCol w:w="109"/>
        <w:gridCol w:w="109"/>
        <w:gridCol w:w="211"/>
        <w:gridCol w:w="61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options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as of November 30, 2022</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8,256,957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(1,036,542)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as of May 31, 2023</w:t>
            </w:r>
          </w:p>
        </w:tc>
        <w:tc>
          <w:tcPr>
            <w:tcW w:w="104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8,949,950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RSU activity under the Stock Plans is set forth below:</w:t>
      </w:r>
    </w:p>
    <w:tbl>
      <w:tblPr>
        <w:tblW w:w="7659" w:type="dxa"/>
        <w:jc w:val="center"/>
        <w:tblInd w:w="0" w:type="dxa"/>
        <w:tblLayout w:type="fixed"/>
        <w:tblCellMar>
          <w:top w:w="28" w:type="dxa"/>
          <w:left w:w="28" w:type="dxa"/>
          <w:bottom w:w="28" w:type="dxa"/>
          <w:right w:w="28" w:type="dxa"/>
        </w:tblCellMar>
      </w:tblPr>
      <w:tblGrid>
        <w:gridCol w:w="1059"/>
        <w:gridCol w:w="931"/>
        <w:gridCol w:w="934"/>
        <w:gridCol w:w="454"/>
        <w:gridCol w:w="454"/>
        <w:gridCol w:w="456"/>
        <w:gridCol w:w="109"/>
        <w:gridCol w:w="109"/>
        <w:gridCol w:w="109"/>
        <w:gridCol w:w="653"/>
        <w:gridCol w:w="1912"/>
        <w:gridCol w:w="479"/>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RSUs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as of November 30, 2022</w:t>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784,824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18.97 </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granted</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958,890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vested</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forfeited</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as of May 31, 2023</w:t>
            </w:r>
          </w:p>
        </w:tc>
        <w:tc>
          <w:tcPr>
            <w:tcW w:w="136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1,489,429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Company’s 2020 Employee Stock Purchase Plan (the ESPP), eligible employees are entitled to purchase shares of common stock with accumulated payroll deductions. During the six months ended May 31, 2023, the Company issued 165,215 shares of common stock pursuant to the ESPP at a weighted-average price of $8.80 per share.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related to the Stock Plans and the ESPP that is included in the Company’s condensed consolidated statements of operations is as follows (in thousands): </w:t>
      </w:r>
    </w:p>
    <w:tbl>
      <w:tblPr>
        <w:tblW w:w="7724" w:type="dxa"/>
        <w:jc w:val="center"/>
        <w:tblInd w:w="0" w:type="dxa"/>
        <w:tblLayout w:type="fixed"/>
        <w:tblCellMar>
          <w:top w:w="28" w:type="dxa"/>
          <w:left w:w="28" w:type="dxa"/>
          <w:bottom w:w="28" w:type="dxa"/>
          <w:right w:w="28" w:type="dxa"/>
        </w:tblCellMar>
      </w:tblPr>
      <w:tblGrid>
        <w:gridCol w:w="995"/>
        <w:gridCol w:w="872"/>
        <w:gridCol w:w="877"/>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May 31,</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May 31, 2023, the total compensation cost related to stock-based awards not yet recognized was $70.9 million, which is expected to be amortized on a straight-line basis over the weighted-average remaining vesting period of approximately 2.4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9. Defined Contribution Plan</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sponsors a defined-contribution savings plan under Section 401(k) of the Internal Revenue Code of 1986, as amended (the 401(k) Plan), which provides for the Company to make discretionary matching or discretionary annual contributions to the 401(k) Plan, for its employees. Substantially all of the Company’s employees are eligible to participate in the 401(k) Plan. Employees may contribute a percentage of their annual compensation to the plan, subject to statutory limitations. The Company has made contributions to the 401(k) Plan and recorded contribution expense of $0.2 million during each of the three months ended May 31, 2023 and 2022, and $0.8 million and $0.7 million during the six months ended May 31,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10. Income Taxes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May 31, 2023 and 2022, the Company did not record any current income tax expense or provision. Deferred income taxes reflect the net tax effects of loss and credit carryforwards and temporary differences between the carrying amounts of assets and liabilities for financial reporting purposes and the amounts used for income tax purposes. Realization of the deferred tax assets is dependent upon future taxable income, the amount, if any, and timing of which are uncertain. The Company has generated losses since inception and has established a valuation allowance to offset deferred tax assets as of May 31, 2023 and 2022 due to the uncertainty of realizing future tax benefits from its net operating loss carryforwards and other deferred tax assets.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an Organization for Economic Co-operation and Development Inclusive Framework, more than 140 countries agreed to enact a two-pillar solution to address the challenges arising from the digitalization of the world economy (Pillar Two). Pillar Two introduces a global minimum Effective Tax Rate (ETR) via a system where multinational groups with consolidated revenue over €750M are subject to a minimum ETR of 15% on income arising in low-tax jurisdictions. Rules under Pillar Two are expected to be enacted beginning January 1, 2024. The Company will continue to monitor the impact of Pillar Two; however, the Company has minimal international activity and is not expecting Pillar Two to have an impact on its condensed consolidated financial statements.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2019, the California Franchise Tax Board (FTB) initiated an examination of the Company’s California tax return for the tax years ending in 2015, 2016, 2017 and 2018. During the year ended November 30, 2021, the FTB issued proposed audit assessments related to revenue sourcing and R&amp;D credits. The Company does not agree with the FTB assessments and intends to challenge the assessments. Pursuant to a measurement analysis, the Company has not recorded an unrecognized tax benefit related to the FTB’s sourcing position. The Company maintains an unrecognized tax benefit related to its California R&amp;D credits for all years.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2017, the Tax Cuts and Jobs Act (TCJA) was signed into law, significantly reforming the Internal Revenue Code of 1986, as amended (IRC). The TCJA included a provision impacting Section 174 that requires taxpayers to capitalize and amortize, rather than deduct, research and experimental (R&amp;E) expenses for tax years beginning on or after January 1, 2022. For the year ending November 30, 2023, the Company anticipates capitalizing a significant portion of its total R&amp;E expenses. The Company does not expect a significant current income tax liability as a result of the enactment of IRC Section 174. The Company will continue to monitor IRS guidance on this provision.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11. Net Loss Per Share</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computation of the Company’s basic and diluted net loss per share attributable to common stockholders, which excludes shares which are legally outstanding but subject to repurchase by the Company (in thousands, except share and per share data): </w:t>
      </w:r>
    </w:p>
    <w:tbl>
      <w:tblPr>
        <w:tblW w:w="10205" w:type="dxa"/>
        <w:jc w:val="center"/>
        <w:tblInd w:w="0" w:type="dxa"/>
        <w:tblLayout w:type="fixed"/>
        <w:tblCellMar>
          <w:top w:w="28" w:type="dxa"/>
          <w:left w:w="28" w:type="dxa"/>
          <w:bottom w:w="28" w:type="dxa"/>
          <w:right w:w="28" w:type="dxa"/>
        </w:tblCellMar>
      </w:tblPr>
      <w:tblGrid>
        <w:gridCol w:w="1719"/>
        <w:gridCol w:w="1514"/>
        <w:gridCol w:w="1535"/>
        <w:gridCol w:w="211"/>
        <w:gridCol w:w="782"/>
        <w:gridCol w:w="109"/>
        <w:gridCol w:w="109"/>
        <w:gridCol w:w="109"/>
        <w:gridCol w:w="109"/>
        <w:gridCol w:w="211"/>
        <w:gridCol w:w="782"/>
        <w:gridCol w:w="109"/>
        <w:gridCol w:w="109"/>
        <w:gridCol w:w="109"/>
        <w:gridCol w:w="109"/>
        <w:gridCol w:w="211"/>
        <w:gridCol w:w="782"/>
        <w:gridCol w:w="109"/>
        <w:gridCol w:w="109"/>
        <w:gridCol w:w="109"/>
        <w:gridCol w:w="109"/>
        <w:gridCol w:w="211"/>
        <w:gridCol w:w="782"/>
        <w:gridCol w:w="157"/>
      </w:tblGrid>
      <w:tr>
        <w:trPr/>
        <w:tc>
          <w:tcPr>
            <w:tcW w:w="1719"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May 31,</w:t>
            </w:r>
          </w:p>
        </w:tc>
      </w:tr>
      <w:tr>
        <w:trPr/>
        <w:tc>
          <w:tcPr>
            <w:tcW w:w="4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(87,934)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Weighted-average number of shares outstanding, basic and diluted</w:t>
            </w:r>
            <w:r>
              <w:rPr>
                <w:rFonts w:ascii="Times New Roman;sans-serif" w:hAnsi="Times New Roman;sans-serif"/>
                <w:b w:val="false"/>
                <w:color w:val="000000"/>
                <w:sz w:val="13"/>
              </w:rPr>
              <w:t>(1)</w:t>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54,259,045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44,898,409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54,144,909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44,797,235</w:t>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shares underlying the pre-funded warrants to purchase shares of the Company’s common stock have been included in the calculation of the weighted-average number of shares outstanding, basic and diluted, for the three and six months ended May 31, 2023.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potentially dilutive securities were excluded from the computation of the diluted net loss per share of common stock for the periods presented because their effect would have been anti-dilutive:</w:t>
      </w:r>
    </w:p>
    <w:tbl>
      <w:tblPr>
        <w:tblW w:w="8083" w:type="dxa"/>
        <w:jc w:val="center"/>
        <w:tblInd w:w="0" w:type="dxa"/>
        <w:tblLayout w:type="fixed"/>
        <w:tblCellMar>
          <w:top w:w="28" w:type="dxa"/>
          <w:left w:w="28" w:type="dxa"/>
          <w:bottom w:w="28" w:type="dxa"/>
          <w:right w:w="28" w:type="dxa"/>
        </w:tblCellMar>
      </w:tblPr>
      <w:tblGrid>
        <w:gridCol w:w="2081"/>
        <w:gridCol w:w="1829"/>
        <w:gridCol w:w="1834"/>
        <w:gridCol w:w="343"/>
        <w:gridCol w:w="343"/>
        <w:gridCol w:w="350"/>
        <w:gridCol w:w="109"/>
        <w:gridCol w:w="109"/>
        <w:gridCol w:w="109"/>
        <w:gridCol w:w="284"/>
        <w:gridCol w:w="284"/>
        <w:gridCol w:w="408"/>
      </w:tblGrid>
      <w:tr>
        <w:trPr/>
        <w:tc>
          <w:tcPr>
            <w:tcW w:w="2081"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May 31,</w:t>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 issued and outstanding</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8,949,950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6,441,714</w:t>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early exercised subject to vesting</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33,300</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issued and outstanding</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1,489,429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678,837</w:t>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expected to be purchased under employee stock purchase plan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73,851</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10,553,778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7,227,702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12. Related Party Transactions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Chief Financial Officer is a trustee for the multiple employer welfare association that facilitates the acquisition and administration of the Company’s healthcare plans. Expenses related to the healthcare plan premiums were $1.1 million and $0.9 million for the three months ended May 31, 2023 and 2022, respectively, and $2.3 million and $1.9 million for the six months ended May 31, 2023 and 2022, respectively. As of May 31, 2023 and November 30, 2022, the amount recorded in accounts payable and accrued expenses and other current liabilities in connection with this healthcare plan provider was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13. Subsequent Events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7 for more information on the exercise of pre-funded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76" w:before="12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(1) the unaudited condensed consolidated financial statements and the related notes included in Part I, Item 1 of this Quarterly Report on Form 10</w:t>
        <w:noBreakHyphen/>
        <w:t>Q and (2) the audited consolidated financial statements and related notes and management’s discussion and analysis of financial condition and results of operations for the fiscal year ended November 30, 2022 included in our Annual Report on Form 10</w:t>
        <w:noBreakHyphen/>
        <w:t>K filed on February 9, 2023 (2022 Form 10</w:t>
        <w:noBreakHyphen/>
        <w:t>K).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w:t>
        <w:noBreakHyphen/>
        <w:t xml:space="preserve">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 clinical stage biopharmaceutical company focused on the discovery, development and commercialization of medicines based on the modulation of cellular protein levels as a novel treatment approach for cancer and other challenging diseases. Leveraging our extensive expertise in E3 ligases together with our proprietary DNA-encoded libraries, we have built DELigase, an integrated discovery platform to identify and advance novel drug candidates targeting E3 ligases, a broad class of enzymes that can modulate proteins within the cell. Our drug discovery approach is to either harness or inhibit the natural function of E3 ligases within the ubiquitin-proteasome system to selectively decrease or increase cellular protein levels. Our wholly owned, clinical stage pipeline includes targeted protein degraders of Bruton’s tyrosine kinase (BTK), a B-cell signaling protein, and inhibitors of Casitas B-lineage lymphoma proto-oncogene B (CBL-B), an E3 ligase that regulates activation of multiple immune cell types including T cells and NK cells. Our partnered drug discovery pipeline consists of ten programs under collaboration agreements with Sanofi S.A. (Sanofi) and Gilead Sciences, Inc. (Gilead), within which we retain options for co-development and co-commercialization rights in the United States for up to four drug candidates, two for each collaboration.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Targeted Protein Degradation</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portfolio of targeted protein degraders of BTK, a B</w:t>
        <w:noBreakHyphen/>
        <w:t>cell signaling protein, comprises NX</w:t>
        <w:noBreakHyphen/>
        <w:t>2127, an orally bioavailable BTK degrader for the treatment of relapsed or refractory B</w:t>
        <w:noBreakHyphen/>
        <w:t>cell malignancies, and NX</w:t>
        <w:noBreakHyphen/>
        <w:t>5948, an orally bioavailable BTK degrader for the treatment of relapsed or refractory B-cell malignancies and potentially autoimmune diseases.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NX</w:t>
        <w:noBreakHyphen/>
        <w:t>2127: We are currently enrolling patients in a Phase 1 trial for patients with relapsed or refractory B-cell malignancies which comprises a Phase 1a dose-escalation study and a Phase 1b cohort expansion study. We have initiated Phase 1b expansion cohorts for patients with relapsed chronic lymphocytic leukemia, diffuse large B-cell lymphoma and mantle cell lymphoma, and enrollment continues in the Phase 1a dose-escalation portion of the trial for patients with several types of non-Hodgkin lymphoma.</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NX-5948: We are currently enrolling patients in the Phase 1a portion of a Phase 1a/1b dose-escalation and cohort expansion study in patients with relapsed or refractory B-cell malignancies.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Targeted Protein Elevation</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portfolio of inhibitors of CBL-B, an E3 ligase that regulates the activation of multiple immune cell types including T cells and NK cells, comprises NX-1607, an orally bioavailable CBL-B inhibitor for immuno-oncology indications, and NX-0255, for ex vivo use to enhance adoptive T-cell therapy including our drug-enhanced tumor infiltrating lymphocyte (TIL) therapy, DeTIL-0255.</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NX-1607: We are currently enrolling patients in the Phase 1a portion of a Phase 1a/1b dose-escalation and cohort expansion study of NX-1607 in patients in a range of oncology indications. NX-1607 was awarded an Innovative Passport from the UK Medicines and Healthcare products Regulatory Agency to accelerate time to market and facilitate patient access to novel drugs to treat serious and life-threatening diseases.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DeTIL-0255: We completed the safety run-in portion of a Phase 1 trial in patients with advanced gynecologic malignancies, which included three patients with advanced epithelial ovarian cancer who have been dosed with DeTIL-0255 and have cleared the initial safety evaluation. Following a review of our portfolio we deprioritized the development of DeTIL-0255. Any expansion of the DeTIL-0255 Phase 1 trial will be established following a determination regarding the potential inclusion of NX-1607 in future cohorts.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Preclinical Programs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Beyond our clinical candidates, we are advancing additional wholly owned and partnered preclinical programs within our core therapeutic focus in cancer and selectively in non-oncology therapeutic areas. Our pipeline includes highly validated and classically undruggable targets across our proprietary efforts, academic collaborations and our established strategic collaborations with Sanofi and Gilead.</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we announced with Gilead that Gilead had exercised its option to exclusively license our investigational targeted protein degrader molecule NX-0479. This bivalent degrader, designated GS-6791, is the first development candidate resulting from the Gilead Agreement. Pursuant to the Gilead Agreement, we received a license option exercise payment of $20.0 million and potentially could receive up to an additional $425.0 million in clinical, regulatory, and commercial milestone payments, as well as up to low double-digit tiered royalties on product net sales.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Financial Overview</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Since the commencement of our operations, we have devoted substantially all of our resources to conducting research and development activities, establishing and maintaining our intellectual property portfolio, establishing our corporate infrastructure, raising capital and providing general and administrative support for these operations. We have funded our operations to date primarily from proceeds received under collaboration and license agreements with Sanofi, Gilead and Celgene Corporation and the issuance and sale of common stock, redeemable convertible preferred stock and pre-funded warrants. We do not expect to generate product revenue unless and until we successfully develop and obtain approval for the commercialization of a drug candidate, and we cannot assure you that we will ever generate significant revenue or profits.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Since inception, we have generally incurred significant losses and negative cash flows from operations. During the six months ended May 31, 2023 and 2022, we incurred net losses of $65.0 million and $87.9 million, respectively. As of May 31, 2023, we had an accumulated deficit of $466.3 million. These losses have resulted primarily from costs incurred in connection with research and development activities and general and administrative costs associated with our operations.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expect to generate any revenue from commercial product sales unless and until we successfully complete development and obtain regulatory approval for one or more of our drug candidates, which we expect will take a number of years, if ever. We expect our expenses will increase substantially as we advance our drug candidates through preclinical and clinical development; enter advanced clinical development and scale up external manufacturing capabilities to supply clinical trials; apply our DELigase platform to advance additional drug candidates and expand the capabilities of our platform; seek marketing approvals for any drug candidates that successfully complete clinical trials; ultimately establish a sales, marketing and distribution infrastructure and scale up external manufacturing capabilities to commercialize any products for which we may obtain marketing approval; expand, maintain and protect our intellectual property portfolio; and hire additional clinical, regulatory, manufacturing, quality assurance and scientific personnel. Furthermore, we expect to continue incurring costs associated with operating as a public company, including significant legal, accounting, insurance, investor relations and other administrative and professional services expenses.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net losses and cash flows may fluctuate significantly from period to period, depending on, among other things, variations in the level of expense related to the ongoing development of our drug candidates, our DELigase platform or future development programs; the delay, addition or termination of clinical trials; and the execution of any additional collaboration, licensing or similar arrangements, and the timing of payments we may make or receive under such arrangements.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May 31, 2023, we had $308.6 million in cash, cash equivalents and marketable securities. We expect that our existing cash, cash equivalents and marketable securities are sufficient to fund our operations for at least the next 12 months. See the section titled “—Liquidity and Capital Resources” for more information. To finance our operations beyond that point, we will need to raise substantial additional capital to complete the development and commercialization of our drug candidates. Until such time as we can generate significant revenue from product sales, if ever, we expect to finance our operations through a combination of public or private equity offerings, debt financings, collaborations, strategic alliances, licensing arrangements and other marketing and distribution arrangements. In addition, we may seek additional capital due to favorable market conditions or strategic considerations, even if we believe we have sufficient funds for our current or future operating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risks and uncertainties as a result of macroeconomic events and conditions, including inflation, increasing interest rates, increasing financial market volatility and uncertainty, the federal debt ceiling and budget, instability in the global banking system, the impact of war or military conflict, including the war in Ukraine, and public health pandemics. For example, the coronavirus (COVID-19) pandemic impacted worldwide economic activity and posed the risk that we or our employees, contractors, suppliers and other partners would be prevented from conducting business activities for an indefinite period of time, including due to shutdowns that were requested or mandated by governmental authorities. While the impact of the COVID</w:t>
        <w:noBreakHyphen/>
        <w:t xml:space="preserve">19 pandemic on our operations was minimal, the extent to which a future public health pandemic and other macroeconomic factors, including increasing financial market volatility and uncertainty, will impact our business, financial condition, liquidity, access to capital and results of operations in the future will depend on future developments that are highly uncertain and cannot be predicted at this time.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are exposed to credit risk on deposits in the event of default by the financial institutions to the extent account balances exceed the amount insured by the Federal Deposit Insurance Corporation (FDIC). We are closely monitoring ongoing events involving limited liquidity, defaults, non-performance or other adverse developments that affect financial institutions or other companies in the financial services industry or the financial services industry generally, including Silicon Valley Bank (SVB). On March 10, 2023, SVB, where we maintained an operating account with a cash balance of less than 1% of our total cash, cash equivalents and marketable securities, was closed by the California Department of Financial Protection and Innovation and the FDIC was appointed as receiver. On March 12, 2023, the U.S. Department of the Treasury, Federal Reserve Board, and FDIC released a joint statement announcing that the FDIC would complete its resolution of SVB in a manner that fully protected all depositors at SVB and that depositors would have access to all of their money starting March 13, 2023. On March 26, 2023, it was announced that First-Citizens Bank &amp; Trust Company would assume all of SVB's deposits and loans as of March 27, 2023. In light of the foregoing, we do not believe we have exposure to loss as a result of SVB’s receivership.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Collaborations and License Agreements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Sanofi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2019, we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our DELigase platform to identify small molecules designed to induce degradation of three specified initial drug targets. In January 2021, as part of the existing Sanofi Agreement, Sanofi paid us $22.0 million to exercise its option to expand the number of targets in the Sanofi Agreement from three to a total of five targets. Over time and subject to certain limitations, Sanofi may elect to replace the drug targets with other reserved targets.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2021, we entered into the First Amendment to the Sanofi Agreement to modify the research term on all targets. In December 2021, we entered into the Second Amendment to the Sanofi Agreement to extend the substitution deadline on certain targets. In July 2022, we entered into the Third Amendment to the Sanofi Agreement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we entered into the Fourth Amendment to the Sanofi Agreement to modify the research plan for a certain target, which had no impact on revenue recognition.</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Upon signing the Sanofi Agreement, Sanofi paid us an upfront payment of $55.0 million. Subsequently, in January 2021, Sanofi paid us an additional $22.0 million to exercise its option to expand the number of targets beyond the initial targets included in the collaboration. In addition, from the signing of the Sanofi Agreement to May 31, 2023, we received payments of $5.0 million for research milestones. As of May 31, 2023, we are eligible to receive up to approximately $2.5 billion in total payments based on certain additional fees, payments and the successful completion of certain research development, regulatory and sales milestones, as well as tiered royalties ranging from mid-single digit to low teen percentages on annual net sales of any commercial products that may result from the collaboration, subject to certain reductions and excluding sales in the United States of any products for which we exercise our option to co-develop and co-promote, for which we share profits and losses evenly.</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collaboration revenue from the Sanofi Agreement of $5.0 million and $10.3 million during the three and six months ended May 31, 2023, and $5.3 million and $8.7 million during the three and six months ended May 31, 2022, respectively. As of May 31, 2023 and November 30, 2022, there was $37.9 million and $46.2 million, respectively, of deferred revenue related to payments received by us under the Sanofi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Gilead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2019, we entered into a global strategic collaboration agreement with Gilead (as subsequently amended, the Gilead Agreement) to discover, develop and commercialize a pipeline of targeted protein degradation drugs for patients with cancer and other challenging diseases using our DELigase platform to identify novel agents that utilize E3 ligases to induce degradation of five specified drug targets. Under the Gilead Agreement, Gilead has the option to license drug candidates directed to up to five targets resulting from the collaboration and is responsible for the clinical development and commercialization of drug candidates resulting from the collaboration. We retain the option to co-develop and co-promote, under a profit share structure, up to two drug candidates in the United States under certain conditions. The collaboration excludes our current internal protein degradation programs for which we retain all rights, and also excludes our future internal programs, provided that we have distinguished future programs as excluded from the scope of the collaboration. In August 2019 and September 2022, we entered into the First and Second Amendment, respectively, to the Gilead Agreement to clarify certain language of the Gilead Agreement. These amendments had no impact on revenue recognition. In March 2023, Gilead exercised the option to exclusively license one target (Gilead License Option Exercise), the first development candidate resulting from the Gilead Agreement. Pursuant to the Gilead Agreement, we received a license option exercise payment of $20.0 million in April 2023 for the Gilead License Option Exercise.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Upon signing the Gilead Agreement, Gilead paid us an upfront payment of $45.0 million, plus $3.0 million in additional fees. In addition, from the signing of the Gilead Agreement to May 31, 2023, we received payments of $41.0 million for research milestones and additional payments. As of May 31, 2023, we are eligible to receive up to approximately $2.3 billion in total additional payments based on certain additional fees, payments and the successful completion of certain preclinical, clinical, development and sales milestones. In addition, we are eligible to receive tiered royalties from mid-single digit to low tens percentages on annual net sales from any commercial products directed to the optioned collaboration targets, subject to certain reductions and excluding sales in the United States of any products for which we exercise our option to co-develop and co-promote, for which we share profits and losses evenly.</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collaboration revenue from the Gilead Agreement of $5.7 million and $13.1 million during the three and six months ended May 31, 2023, and $6.1 million and $12.3 million during the three and six months ended May 31, 2022, respectively. We also recognized $20.0 million in license revenue received pursuant to the Gilead License Option Exercise during the three and six months ended May 31, 2023. As of May 31, 2023 and November 30, 2022, there was $20.8 million and $27.4 million, respectively, of deferred revenue related to payments received by us under the Gilead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Collaboration Revenue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no products approved for commercial sale and to date have not generated any revenue from the sale of products and do not expect to generate any revenue from the sale of products in the near future.</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to date has been generated from payments received pursuant to collaboration and license arrangements with strategic partners. Collaboration revenue consists of revenue received from upfront, milestone and contingent payments received from our collaborators. We recognize revenue from upfront payments over the contract term using the cost-based input method. The material right to the two additional targets under the Sanofi Agreement was accounted for using the practical alternative and the expected consideration to be received on the options was included for revenue allocation. We expect to continue recognizing revenue from upfront payments related to our collaboration agreements using the cost-based input method in the foreseeable future.</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receiving upfront payments, we may also be entitled to milestones and other contingent payments upon achieving predefined objectives. If a milestone is considered probable of being reached, and if it is probable that a significant revenue reversal would not occur, the associated milestone amount would also be included in the transaction price.</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any collaboration revenue we generate from our current collaboration and license agreements, and from any future collaboration partners, will fluctuate in the future as a result of the timing and amount of upfront, milestones and other collaboration agreement payments and other factors.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License Revenue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license revenue consists of a payment received from the Gilead License Option Exercise.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Expenses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primarily of costs incurred for the discovery and development of our drug candidates. We expense both internal and external research and development expenses to operations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as services are performed. We track the external research and development costs incurred for each of our drug candidates.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Internal research and development costs include: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payroll and personnel expenses, including benefits, stock-based compensation and travel expenses, for our research and development functions; and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depreciation of research and development equipment, allocated overhead and facilities-related expenses.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External research and development expenses consist primarily of costs incurred for the development of our drug candidates and may include: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fees paid to third parties such as consultants, contractors and contract research organizations to conduct our clinical trials, discovery programs and preclinical studies;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costs to acquire, develop and manufacture supplies for clinical trials and preclinical studies, including fees paid to third parties such as contract manufacturing organizations; and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expenses related to laboratory supplies and services.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research and development expenses to increase substantially for the foreseeable future as we conduct clinical trials for our drug candidates, continue to invest in research and development activities for discovery programs and preclinical studies, pursue regulatory approval of our drug candidates and expand our drug candidate pipeline. The process of conducting the necessary preclinical and clinical research to obtain regulatory approval is costly and time-consuming. To the extent that our drug candidates advance to and continue to advance through clinical trials, our expenses will continue increasing substantially and may become more variable. The actual probability of success for our drug candidates may be affected by a variety of factors, including the safety and efficacy of our drug candidates, investment in our clinical programs, the ability of collaborators to successfully develop our licensed drug candidates, manufacturing capability, competition with other products and commercial viability. As a result of these variables, we are unable to determine when and to what extent we will generate revenue from the commercialization and sale of our drug candidates. We may never succeed in achieving regulatory approval for any of our drug candidates.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General and Administrative Expenses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primarily of payroll and personnel expenses, including benefits and stock-based compensation, facilities-related expenses and professional fees for legal, consulting and audit and tax services. We expect our general and administrative expenses to increase for the foreseeable future as we continue to improve our infrastructure and operate as a public company. This may include expenses related to compliance with the rules and regulations of the Securities and Exchange Commission (SEC) and listing standards applicable to companies listed on a national securities exchange, additional insurance, investor relations activities and other administrative and professional services. We also expect our intellectual property expenses to increase as we expand our intellectual property portfolio.</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and Other Income, Net</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other income, net primarily consists of interest earned on our cash, cash equivalents and marketable securities. We expect interest income to vary each reporting period depending on our average bank deposit, money market fund and marketable securities balances during the period and market interest rates.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primarily consists of reserves for unrecognized tax benefits and state taxes. We have generated NOLs since inception and have established a full valuation allowance against our deferred tax assets due to the uncertainty surrounding the realization of such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Estimates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management’s discussion and analysis of our financial condition and results of operations is based on our condensed consolidated financial statements, which have been prepared in accordance with U.S. generally accepted accounting principles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other relevant assumptions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critical accounting policies and more significant areas involving management’s judgments and estimates used in preparation of our financial statements are discussed in the section titled “Management’s Discussion and Analysis of Financial Condition and Results of Operations” in our 2022 Form 10-K. Other than the updated policy on revenue recognition disclosed in Note 2, “Summary of Significant Accounting Policies—Revenue Recognition,” to our condensed consolidated financial statements included elsewhere in this Quarterly Report on Form 10-Q, there have been no significant changes to these policies for the three and six months ended May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Recent Accounting Pronouncements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2, “Summary of Significant Accounting Policies—Recently Adopted Accounting Pronouncements” to our condensed consolidated financial statements included elsewhere in this Quarterly Report on Form 10-Q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three and six months ended May 31, 2023 and 2022</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for the three and six months ended May 31, 2023 and 2022 are summarized as follows (in thousands):</w:t>
      </w:r>
    </w:p>
    <w:tbl>
      <w:tblPr>
        <w:tblW w:w="10205" w:type="dxa"/>
        <w:jc w:val="center"/>
        <w:tblInd w:w="0" w:type="dxa"/>
        <w:tblLayout w:type="fixed"/>
        <w:tblCellMar>
          <w:top w:w="28" w:type="dxa"/>
          <w:left w:w="28" w:type="dxa"/>
          <w:bottom w:w="28" w:type="dxa"/>
          <w:right w:w="28" w:type="dxa"/>
        </w:tblCellMar>
      </w:tblPr>
      <w:tblGrid>
        <w:gridCol w:w="752"/>
        <w:gridCol w:w="654"/>
        <w:gridCol w:w="660"/>
        <w:gridCol w:w="211"/>
        <w:gridCol w:w="773"/>
        <w:gridCol w:w="109"/>
        <w:gridCol w:w="109"/>
        <w:gridCol w:w="109"/>
        <w:gridCol w:w="109"/>
        <w:gridCol w:w="211"/>
        <w:gridCol w:w="773"/>
        <w:gridCol w:w="109"/>
        <w:gridCol w:w="109"/>
        <w:gridCol w:w="109"/>
        <w:gridCol w:w="109"/>
        <w:gridCol w:w="211"/>
        <w:gridCol w:w="721"/>
        <w:gridCol w:w="109"/>
        <w:gridCol w:w="109"/>
        <w:gridCol w:w="109"/>
        <w:gridCol w:w="109"/>
        <w:gridCol w:w="211"/>
        <w:gridCol w:w="773"/>
        <w:gridCol w:w="109"/>
        <w:gridCol w:w="109"/>
        <w:gridCol w:w="109"/>
        <w:gridCol w:w="109"/>
        <w:gridCol w:w="211"/>
        <w:gridCol w:w="773"/>
        <w:gridCol w:w="109"/>
        <w:gridCol w:w="109"/>
        <w:gridCol w:w="109"/>
        <w:gridCol w:w="109"/>
        <w:gridCol w:w="211"/>
        <w:gridCol w:w="721"/>
        <w:gridCol w:w="159"/>
      </w:tblGrid>
      <w:tr>
        <w:trPr/>
        <w:tc>
          <w:tcPr>
            <w:tcW w:w="75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 revenue</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net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Collaboration Revenue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collaboration revenue for the three and six months ended May 31, 2023 and 2022 is summarized as follows (in thousands):</w:t>
      </w:r>
    </w:p>
    <w:tbl>
      <w:tblPr>
        <w:tblW w:w="10026" w:type="dxa"/>
        <w:jc w:val="center"/>
        <w:tblInd w:w="0" w:type="dxa"/>
        <w:tblLayout w:type="fixed"/>
        <w:tblCellMar>
          <w:top w:w="28" w:type="dxa"/>
          <w:left w:w="28" w:type="dxa"/>
          <w:bottom w:w="28" w:type="dxa"/>
          <w:right w:w="28" w:type="dxa"/>
        </w:tblCellMar>
      </w:tblPr>
      <w:tblGrid>
        <w:gridCol w:w="861"/>
        <w:gridCol w:w="757"/>
        <w:gridCol w:w="767"/>
        <w:gridCol w:w="211"/>
        <w:gridCol w:w="721"/>
        <w:gridCol w:w="109"/>
        <w:gridCol w:w="109"/>
        <w:gridCol w:w="109"/>
        <w:gridCol w:w="109"/>
        <w:gridCol w:w="211"/>
        <w:gridCol w:w="721"/>
        <w:gridCol w:w="109"/>
        <w:gridCol w:w="109"/>
        <w:gridCol w:w="109"/>
        <w:gridCol w:w="109"/>
        <w:gridCol w:w="211"/>
        <w:gridCol w:w="54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54"/>
      </w:tblGrid>
      <w:tr>
        <w:trPr/>
        <w:tc>
          <w:tcPr>
            <w:tcW w:w="86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Gilead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Sanofi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collaboration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collaboration revenue decreased by $0.8 million during the three months ended May 31, 2023 compared to the three months ended May 31, 2022 primarily due to increased forecasted expenditure and less milestone payments achieved. Our collaboration revenue increased by $2.3 million during the six months ended May 31, 2023 compared to the six months ended May 31, 2022, primarily due to increased effort resulting in a higher percentage of completion of performance obligations under our collaborations with Gilead and Sanofi in the current period.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License Revenue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license revenue was $20.0 million for the three and six months ended May 31, 2023 and is related to the Gilead License Option Exercise. There was no license revenue for the three and six months ended May 31, 2022.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expenses for the three and six months ended May 31, 2023 and 2022 are summarized as follows (in thousands):</w:t>
      </w:r>
    </w:p>
    <w:tbl>
      <w:tblPr>
        <w:tblW w:w="10205" w:type="dxa"/>
        <w:jc w:val="center"/>
        <w:tblInd w:w="0" w:type="dxa"/>
        <w:tblLayout w:type="fixed"/>
        <w:tblCellMar>
          <w:top w:w="28" w:type="dxa"/>
          <w:left w:w="28" w:type="dxa"/>
          <w:bottom w:w="28" w:type="dxa"/>
          <w:right w:w="28" w:type="dxa"/>
        </w:tblCellMar>
      </w:tblPr>
      <w:tblGrid>
        <w:gridCol w:w="885"/>
        <w:gridCol w:w="778"/>
        <w:gridCol w:w="780"/>
        <w:gridCol w:w="211"/>
        <w:gridCol w:w="721"/>
        <w:gridCol w:w="109"/>
        <w:gridCol w:w="109"/>
        <w:gridCol w:w="109"/>
        <w:gridCol w:w="109"/>
        <w:gridCol w:w="211"/>
        <w:gridCol w:w="721"/>
        <w:gridCol w:w="109"/>
        <w:gridCol w:w="109"/>
        <w:gridCol w:w="109"/>
        <w:gridCol w:w="109"/>
        <w:gridCol w:w="211"/>
        <w:gridCol w:w="66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55"/>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related personnel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Supplies and contract research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Preclinical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manufacturing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Facility and other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expenses decreased by $1.7 million during the three months ended May 31, 2023 compared to the three months ended May 31, 2022. There was a decrease in research related costs, as we concluded certain studies and sponsored research agreements and a decrease in contract manufacturing as we stabilize the supply needed for our clinical trials, offset by an increase in compensation and related personnel costs and in non-cash stock-based compensation expense that were primarily attributable to higher headcount and the issuance of restricted stock units (RSUs) and incentive stock options. There was also an increase in facility and other costs primarily driven by additional investments in information technology and expenses related to our leases of office and laboratory space.</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expenses increased by $0.9 million during the six months ended May 31, 2023 compared to the six months ended May 31, 2022. There was a increase in compensation and related personnel costs and in non-cash stock-based compensation expense that were primarily attributable to higher headcount and issuance of RSUs and incentive stock options. There was also an increase in clinical costs as we continued our clinical trial programs and ongoing patient enrollment, offset by a decrease in research related costs as we concluded certain studies and sponsored research agreements and a decrease in contract manufacturing as we stabilized the supply needed for our clinical trials. There was also an increase in facility and other costs primarily driven by additional investments in information technology, depreciation from equipment placed into service during the prior fiscal year, and expenses related to our leases of office and laboratory space.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General and Administrative Expenses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expenses increased by $2.0 million during the three months ended May 31, 2023 compared to the three months ended May 31, 2022. There was an increase in non-cash stock-based compensation expense resulting from the increased issuance of RSUs and incentive stock options and an increase in outside consulting and professional service costs.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expenses increased by $2.6 million during the six months ended May 31, 2023 compared to the six months ended May 31, 2022. There was an increase in compensation related expenses and non-cash stock-based compensation expense primarily driven by higher headcount and the issuance of RSUs and incentive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Sources of Liquidity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2020, we closed our initial public offering (IPO) and issued 12,550,000 shares of our common stock (including the exercise by the underwriters of their option to purchase an additional 1,550,000 shares of common stock in August 2020) at a price to the public of $19.00 per share for net proceeds of $218.1 million, after deducting underwriting discounts and commissions of $16.7 million and expenses of $3.6 million.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2021, we completed a follow-on offering and issued 5,175,000 shares of our common stock (including the exercise by the underwriters of their option to purchase an additional 675,000 shares of common stock) at a price to the public of $31.00 per share for net proceeds of $150.2 million, after deducting underwriting discounts and commissions of $9.6 million and expenses of $0.6 million.</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2021, we entered into an Equity Distribution Agreement with Piper Sandler &amp; Co. (Piper Sandler) pursuant to which, from time to time, we may offer and sell through Piper Sandler up to $150.0 million of the common stock registered under our shelf registration statement on Form S-3 pursuant to one or more “at the market” offerings. We are not required to sell any shares at any time during the term of the Equity Distribution Agreement. We agreed to pay Piper Sandler a commission of 3% of the gross sales price of any shares sold pursuant to the Equity Distribution Agreement. In June 2022, we issued and sold 2,000,000 shares of common stock under the Equity Distribution Agreement at a price of $10.0001 per share of common stock for net proceeds of approximately $19.3 million after deducting offering commissions and expenses paid by us (the June 2022 ATM Offering). As of May 31, 2023, we had $130.0 million of common stock remaining available for sale under the Equity Distribution Agreement.</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July 2022, we entered into separate securities purchase agreements with certain purchasers to issue and sell pre</w:t>
        <w:noBreakHyphen/>
        <w:t>funded warrants to purchase an aggregate of 6,814,920 shares of our common stock in registered direct offerings (RDOs) at a price of $13.939 per pre-funded warrant. Net proceeds from the RDOs were approximately $94.8 million, after deducting offering expenses of $0.2 million. The pre-funded warrants were immediately exercisable, have an exercise price of $0.001 and may be exercised at any time after the date of issuance. A holder of the pre-funded warrants may not exercise the warrant if the holder, together with its affiliates, would beneficially own more than 9.99% of the number of shares of our common stock outstanding immediately after giving effect to such exercise. A holder of the pre-funded warrants may increase or decrease this percentage not in excess of 19.99% by providing us at least 61 days’ prior notice. As of May 31, 2023, a total of 6,666,423 pre-funded warrants remained available for exercise. In June 2023, pre-funded warrants to purchase a total of 568,863 shares of our common stock were exercised and as of June 30, 2023, pre-funded warrants to purchase a total of 6,097,560 shares of our common stock remained available for exercise.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Funding Requirements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May 31, 2023, our operations have primarily been funded through the net proceeds from equity offerings of $650.5 million and proceeds from collaboration agreements of $341.0 million. We do not have any products approved for sale, and we have not generated any revenue from product sales. As of May 31, 2023, we had $308.6 million in cash, cash equivalents and marketable securities.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our existing cash, cash equivalents and marketable securities are sufficient to meet our cash requirements and continue operating activities, including the clinical trials of our drug candidates NX</w:t>
        <w:noBreakHyphen/>
        <w:t>2127, NX</w:t>
        <w:noBreakHyphen/>
        <w:t>1607 and NX</w:t>
        <w:noBreakHyphen/>
        <w:t>5948 and the expansion of our intellectual property portfolio and infrastructure, for at least the next 12 months. We will need substantial additional funding to support our continuing operations and pursue our long-term business plan. We may seek to raise any necessary additional capital through a combination of public or private equity offerings, debt financings, collaborations, strategic alliances, licensing arrangements and other marketing and distribution arrangements. Because of the numerous risks and uncertainties associated with the development and commercialization of our drug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pre-clinical studies and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long term, our ability to support our working capital and capital expenditure requirements will depend on many factors, including the following:</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progress, costs and results of our ongoing Phase 1 clinical trials for our lead drug candidates NX-2127, NX-1607 and NX</w:t>
        <w:noBreakHyphen/>
        <w:t>5948, and any future clinical development of such drug candidates;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scope, progress, costs and results of preclinical and clinical development for our other drug candidates and development programs;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number and development requirements of other drug candidates that we pursue;</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scope of, and costs associated with, future advancements to our DELigase platform;</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success of our collaborations with Sanofi, Gilead and any other collaborations we may establish;</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costs, timing and outcome of regulatory review of our drug candidates;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costs and timing of future commercialization activities, including product manufacturing, marketing, sales and distribution, for any of our drug candidates for which we receive marketing approval;</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revenue, if any, received from commercial sales of our drug candidates for which we receive marketing approval;</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costs and timing of preparing, filing and prosecuting patent applications, maintaining and enforcing our intellectual property rights and defending any intellectual property-related claims; and</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our ability to establish additional collaboration arrangements with other biotechnology or pharmaceutical companies on favorable terms, if at all, for the development or commercialization of our drug candidates.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adequate funds are not available at favorable terms, we may be required to reduce operating expenses, delay or reduce the scope of our product development and commercial expansion programs, obtain funds through arrangements with others that may require us to relinquish rights to certain of our technologies or products that we would otherwise seek to develop or commercialize ourselves, or cease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w:t>
      </w:r>
    </w:p>
    <w:p>
      <w:pPr>
        <w:pStyle w:val="TextBody"/>
        <w:bidi w:val="0"/>
        <w:spacing w:lineRule="auto" w:line="276" w:before="120" w:after="283"/>
        <w:ind w:left="0" w:right="0" w:firstLine="720"/>
        <w:jc w:val="left"/>
        <w:rPr/>
      </w:pPr>
      <w:r>
        <w:rPr>
          <w:rFonts w:ascii="Times New Roman;sans-serif" w:hAnsi="Times New Roman;sans-serif"/>
          <w:b w:val="false"/>
          <w:color w:val="000000"/>
          <w:sz w:val="20"/>
          <w:shd w:fill="FFFFFF" w:val="clear"/>
        </w:rPr>
        <w:t xml:space="preserve">Our contractual obligations mostly consist of our operating lease obligations for facilities in San Francisco, California and The Woodlands, Texas. </w:t>
      </w:r>
      <w:r>
        <w:rPr>
          <w:rFonts w:ascii="Times New Roman;sans-serif" w:hAnsi="Times New Roman;sans-serif"/>
          <w:b w:val="false"/>
          <w:color w:val="000000"/>
          <w:sz w:val="20"/>
        </w:rPr>
        <w:t>Our total operating lease commitments as of May 31, 2023, were approximately $43.5 million, of which $7.7 million is expected to be paid within the next twelve months. In addition, we enter into agreements in the normal course of business with contract research organizations for clinical trials and with vendors for preclinical studies and other services and products for operating purposes, which are generally cancelable upon written notice.</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did not have during the periods presented, and we do not currently have, any commitments or obligations, including contingent obligations, arising from arrangements with unconsolidated entities or persons that have or are reasonably likely to have a material current or future effect on our financial condition, changes in financial condition, revenues or expenses, results of operations, liquidity, cash requirements or capital resources.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Cash flows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flows for the six months ended May 31, 2023 and 2022 are summarized as follows (in thousands): </w:t>
      </w:r>
    </w:p>
    <w:tbl>
      <w:tblPr>
        <w:tblW w:w="7344" w:type="dxa"/>
        <w:jc w:val="center"/>
        <w:tblInd w:w="0" w:type="dxa"/>
        <w:tblLayout w:type="fixed"/>
        <w:tblCellMar>
          <w:top w:w="28" w:type="dxa"/>
          <w:left w:w="28" w:type="dxa"/>
          <w:bottom w:w="28" w:type="dxa"/>
          <w:right w:w="28" w:type="dxa"/>
        </w:tblCellMar>
      </w:tblPr>
      <w:tblGrid>
        <w:gridCol w:w="1716"/>
        <w:gridCol w:w="1510"/>
        <w:gridCol w:w="1514"/>
        <w:gridCol w:w="211"/>
        <w:gridCol w:w="796"/>
        <w:gridCol w:w="109"/>
        <w:gridCol w:w="109"/>
        <w:gridCol w:w="109"/>
        <w:gridCol w:w="109"/>
        <w:gridCol w:w="211"/>
        <w:gridCol w:w="796"/>
        <w:gridCol w:w="154"/>
      </w:tblGrid>
      <w:tr>
        <w:trPr/>
        <w:tc>
          <w:tcPr>
            <w:tcW w:w="1716"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May 31,</w:t>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$66.9 million for the six months ended May 31, 2023 and consisted of a net loss of $65.0 million and an increase in net assets of $23.9 million, offset by non-cash adjustments of $22.0 million. The increase in net assets consisted of a decrease in deferred revenue of $14.9 million as we increased effort in our programs and recognized revenue, a decrease in accrued expenses and other liabilities of $4.6 million primarily related to the payment of annual incentive compensation in the first quarter of fiscal year 2023, a decrease in operating lease liabilities of $3.1 million due to lease payments made during the period and a decrease in accounts payable of $1.8 million from payments to vendors. Non-cash adjustments primarily consisted of stock-based compensation expenses of $17.2 million, depreciation and amortization expenses of $3.6 million and amortization of operating lease right-of-use assets of $2.9 million.</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$75.5 million for the six months ended May 31, 2022 and consisted of a net loss of $87.9 million and an increase in net assets of $6.5 million, offset by non-cash adjustments of $18.9 million. The increase in net assets consisted of a decrease in deferred revenue of $13.1 million as we increased effort in our programs and recognized revenue, a decrease in operating lease liabilities of $2.5 million and an increase in prepaid expenses and other assets of $1.5 million primarily related to increased prepaid clinical and contract manufacturing costs and software license costs, offset by a decrease in accounts receivable of $6.0 million related to payments received under the Gilead Agreement, an increase in accrued expenses and other liabilities of $2.8 million primarily related to equipment purchases and the accrual of incentive compensation and an increase in accounts payable of $1.7 million from payments to vendors. Non-cash adjustments primarily consisted of stock-based compensation expenses of $12.8 million, amortization of operating lease right-of-use assets of $2.6 million and depreciation and amortization expenses of $2.3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was $59.9 million for the six months ended May 31, 2023 and consisted of the maturity of marketable securities of $146.6 million, offset by the purchase of marketable securities of $83.4 million and the purchase of property and equipment of $3.4 million.</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was $35.3 million for the six months ended May 31, 2022 and consisted of the maturity of investments of $121.6 million, offset by the purchase of investments of $80.0 million and the purchase of property and equipment of $6.3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Financing activities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$1.5 million for the six months ended May 31, 2023 and consisted primarily of proceeds from the issuance of common stock under our Employee Stock Purchase Plan (ESPP).</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$1.9 million for the six months ended May 31, 2022 and consisted primarily of proceeds from the issuance of common stock under our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76" w:before="120" w:after="283"/>
        <w:ind w:left="0" w:right="0" w:firstLine="720"/>
        <w:jc w:val="left"/>
        <w:rPr/>
      </w:pPr>
      <w:r>
        <w:rPr>
          <w:rFonts w:ascii="Times New Roman;sans-serif" w:hAnsi="Times New Roman;sans-serif"/>
          <w:b w:val="false"/>
          <w:color w:val="000000"/>
          <w:sz w:val="20"/>
          <w:shd w:fill="FFFFFF" w:val="clear"/>
        </w:rPr>
        <w:t>As a “smaller reporting company” as defined by Item 10 of Regulation S-K, we are not required to provide this information</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President and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May 31, 2023.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President and Chief Executive Officer and our Chief Financial Officer, to allow timely decisions regarding required disclosure. Based on their evaluation, the Chief Executive Officer and Chief Financial Officer have concluded that our disclosure controls and procedures were effective as of May 31,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identified in connection with the evaluation required by Rule 13a-15(d) and 15d-15(d) of the Exchange Act that occurred during the three months ended May 31,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 involved in legal proceedings arising in the ordinary course of our business. We are not presently a party to any legal proceedings that, in the opinion of management, would have a material adverse effect on our business or condensed consolidated financial statements. Regardless of outcome, litigation can have an adverse impact on us due to defense and settlement costs, diversion of management resources, negative publicity and reputational harm and other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76" w:before="12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in our common stock involves a high degree of risk. Before making your decision to invest in shares of our common stock, you should carefully consider the risks and uncertainties described below, together with all of the other information contained in this Quarterly Report on Form 10-Q, including our condensed consolidated financial statements and related notes and the section titled “Management’s Discussion and Analysis of Financial Condition and Results of Operations.” We cannot assure you that any of the events described below will not occur.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operating results, and future prospects could be materially and adversely affected. In that event, the trading price of our common stock could decline, and you could lose all or part of your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Financial Position and Need for Additional Capital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have incurred significant losses since our inception. We expect to incur losses over at least the next several years and may never achieve or maintain profitability. </w:t>
      </w:r>
    </w:p>
    <w:p>
      <w:pPr>
        <w:pStyle w:val="TextBody"/>
        <w:bidi w:val="0"/>
        <w:spacing w:lineRule="auto" w:line="276" w:before="120" w:after="283"/>
        <w:ind w:left="0" w:right="0" w:firstLine="720"/>
        <w:jc w:val="left"/>
        <w:rPr/>
      </w:pPr>
      <w:r>
        <w:rPr>
          <w:rFonts w:ascii="Times New Roman;sans-serif" w:hAnsi="Times New Roman;sans-serif"/>
          <w:b w:val="false"/>
          <w:color w:val="000000"/>
          <w:sz w:val="20"/>
        </w:rPr>
        <w:t>Our net loss was $</w:t>
      </w:r>
      <w:r>
        <w:rPr>
          <w:rFonts w:ascii="Times New Roman;sans-serif" w:hAnsi="Times New Roman;sans-serif"/>
          <w:b w:val="false"/>
          <w:color w:val="000000"/>
          <w:sz w:val="20"/>
          <w:shd w:fill="FFFFFF" w:val="clear"/>
        </w:rPr>
        <w:t>180.4</w:t>
      </w:r>
      <w:r>
        <w:rPr>
          <w:color w:val="000000"/>
        </w:rPr>
        <w:t xml:space="preserve"> </w:t>
      </w:r>
      <w:r>
        <w:rPr>
          <w:rFonts w:ascii="Times New Roman;sans-serif" w:hAnsi="Times New Roman;sans-serif"/>
          <w:b w:val="false"/>
          <w:color w:val="000000"/>
          <w:sz w:val="20"/>
        </w:rPr>
        <w:t>million for the fiscal year ended November 30, 2022, and $65.0 million for the six months ended May 31, 2023. As of May 31, 2023, we had an accumulated deficit of $466.3 million. To date, we have not generated any revenue from product sales and have financed our operations primarily through our collaborations and sales of our equity interests. We are in the early stages of development of our drug candidates. Our lead drug candidates, NX-2127, NX-1607 and NX-5948, are in the early stages of clinical development. We expect to continue to incur significant expenses and increasing operating losses for at least the next several years. We anticipate that our operating expenses and capital expenditure requirements will increase substantially if and as we:</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increase enrollment in and further development of our Phase 1 clinical trials of our drug candidates NX-2127, NX-1607 and NX-5948;</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submit investigational new drug applications (INDs) and initiate clinical trials of our other drug candidates;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enter advanced clinical development and scale up external manufacturing capabilities to supply clinical trials;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expand the capabilities of our DELigase platform and apply our DELigase platform to advance additional drug candidates into preclinical and clinical development;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conduct process development for manufacturing of our products;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seek marketing approvals for any drug candidates that successfully complete clinical trials;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prepare for negotiations with the pricing authorities and submission to the health technology appraisal (HTA) bodies;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ultimately establish a sales, marketing and distribution infrastructure and scale up external manufacturing capabilities to commercialize any products for which we may obtain marketing approval;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expand, maintain and protect our intellectual property portfolio;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hire additional clinical, regulatory, manufacturing, quality assurance and scientific personnel; and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add operational, financial and management information systems and personnel to support our research, product development and future commercialization efforts and support our operations as a public company.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expenses could increase beyond our expectations if we are required by the FDA, the European Medicines Agency (EMA) or other regulatory authorities to perform trials in addition to those we currently expect, or if there are any delays in establishing appropriate manufacturing arrangements for or in completing our planned clinical trials or the development of any of our drug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have never generated revenue from product sales and may never be profitable.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recently commenced clinical development of our drug candidates NX-2127, NX-1607 and NX-5948. We expect that it will be many years, if ever, before we have a drug candidate ready for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completing preclinical testing and clinical trials of our drug candidates, discovering additional drug candidates, establishing and maintaining arrangements with third parties for the manufacture of clinical supplies of our drug candidates, obtaining marketing approval for our drug candidates and manufacturing, marketing, selling and obtaining reimbursement for any products for which we may obtain marketing approval.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one or more of the drug candidates that we develop is approved for commercial sale, we anticipate incurring significant costs associated with commercializing any approved drug candidate. Even if we are able to generate revenues from the sale of any approved products, we may not become profitable and may need to obtain additional funding to continue operations.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will need substantial additional funding. If we are unable to raise capital when needed, we may be required to delay, limit, reduce or terminate our research or product development programs or future commercialization efforts.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expenses to increase substantially in connection with our ongoing activities, particularly as we conduct our Phase 1 clinical trials of NX-2127, NX-1607 and NX-5948, grow our pipeline of drug candidates, expand the breadth of our DELigase platform, continue research and development and initiate additional clinical trials of and potentially seek marketing approval for our lead programs and other drug candidates. In addition, if we obtain marketing approval for any of our drug candidates, we expect to incur significant commercialization expenses related to product manufacturing, marketing, reimbursement and sales and distribution. Furthermore, we expect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drug candidates that we otherwise would prefer to develop and market ourselves.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had cash, cash equivalents and marketable securities of $308.6 million as of May 31, 2023. We believe that our existing cash, cash equivalents and marketable securities will be sufficient to fund our operating expenses and capital expenditure requirements through at least the next 12 months. However, our future capital requirements and the period for which we expect our existing resources to support our operations may vary significantly from what we expect, and we may need to seek additional funds sooner than planned. In addition, we may seek additional capital due to favorable market conditions or strategic considerations, even if we believe we have sufficient funds for our current or future operating plans. Our future capital requirements will depend on many factors, including: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progress, costs and results of our Phase 1 clinical trials for NX-2127, NX-1607 and NX-5948 and any future clinical development of such drug candidates;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scope, progress, costs and results of preclinical and clinical development for our other drug candidates and development programs;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number and development requirements of other drug candidates that we pursue;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scope of, and costs associated with, future advancements to our DELigase platform;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success of our collaborations with Sanofi, Gilead and any other collaborations we may establish;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costs, timing and outcome of regulatory review of our drug candidates;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costs and timing of future commercialization activities, including product manufacturing, marketing, sales and distribution, for any of our drug candidates for which we receive marketing 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revenue, if any, received from commercial sales of our drug candidates for which we receive marketing approval;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costs and timing of preparing, filing and prosecuting patent applications, maintaining and enforcing our intellectual property rights and defending any intellectual property-related claims; and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our ability to establish additional collaboration arrangements with other biotechnology or pharmaceutical companies on favorable terms, if at all, for the development or commercialization of our drug candidates.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need to raise substantial additional capital to complete the development and commercialization of our drug candidates. In addition, our drug candidates, if approved, may not achieve commercial success. Our commercial revenues, if any, will be derived from sales of products that we do not expect to be commercially available for many years, if at all. Accordingly, we will need to obtain substantial additional funds to achieve our business objectives. Adequate additional funds may not be available to us on acceptable terms, or at all.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Raising additional capital may cause dilution to our stockholders, restrict our operations or require us to relinquish rights to our technologies or drug candidates.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milestone payments under our collaborations with Sanofi and Gilead,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raise additional funds through collaborations, strategic alliances or marketing, distribution or licensing arrangements with third parties, we may have to relinquish valuable rights to our intellectual property, technologies, future revenue streams, research programs or drug candidates or grant licenses on terms that may not be favorable to us.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limited operating history may make it difficult to evaluate the success of our business to date and to assess our future viability.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commenced operations in 2009, and our operations to date have been limited to organizing and staffing our company, business planning, raising capital, conducting discovery and research activities, filing patent applications, identifying potential drug candidates, undertaking preclinical studies, establishing arrangements with third parties for the manufacture of initial quantities of our drug candidates and conducting early-stage clinical trials. Our lead drug candidates are in the early stages of clinical development and their risk of failure is high. We have not yet demonstrated our ability to successfully: complete any clinical trials, including large-scale, pivotal clinical trials; obtain marketing approvals; manufacture a commercial-scale product or arrange for a third party to do so on our behalf; or conduct market access, sales, marketing and distribution activities necessary for successful product commercialization. Consequently, any predictions you make about our future success or viability may not be as accurate as they could be if we had a longer operating history.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as an early-stage business,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the Discovery and Development of Our Drug Candidates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are early in our development efforts. Our lead drug candidates, NX-2127, NX-1607 and NX-5948, are in the early stages of clinical development. If we are unable to advance our drug candidates through clinical development, develop, obtain regulatory approval for and commercialize our drug candidates or experience significant delays in doing so, our business may be materially harmed.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early in our development efforts. Our lead drug candidates, NX-2127, NX-1607 and NX-5948, recently entered clinical development and their risk of failure is high. We have invested substantially all of our efforts and financial resources in building our DELigase platform, in the identification and preclinical development of our current drug candidates and in the preparation for and initiation of Phase 1 clinical trials for our lead drug candidates. Our ability to generate revenue from product sales, which we do not expect will occur for many years, if ever, will depend heavily on the successful development and eventual commercialization of one or more of our drug candidates. The success of our drug candidates will depend on several factors, including the following: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sufficiency of our financial and other resources;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successful completion of preclinical studies;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successful submission of INDs or Clinical Trial Applications and initiation of clinical trials;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successful patient enrollment in, and completion of, clinical trials;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receipt and related terms of marketing approvals from applicable regulatory authorities;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obtaining and maintaining patent and trade secret protection and regulatory exclusivity for our drug candidates as well as obtaining relevant exclusivity extensions (due to the conduct of pediatric studies);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making arrangements with third-party manufacturers, or establishing manufacturing capabilities, for both clinical and commercial supplies of our drug candidates;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achieving desirable therapeutic properties for our drug candidates’ intended indications;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establishing sales, marketing and distribution capabilities and launching commercial sales of our products, if and when approved, whether alone or in collaboration with others;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acceptance of our products, if and when approved, by patients, the medical community and third-party payors;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obtaining and maintaining third-party coverage and adequate reimbursement;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establishing a continued acceptable safety profile of the products and maintaining such a profile following approval; and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effectively competing with other therapies.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do not successfully achieve one or more of these factors in a timely manner, or at all, we could experience significant delays or an inability to successfully commercialize our drug candidates, which could materially harm our business. Moreover, if we do not receive regulatory approvals, we may not be able to continue our operations.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filed for and received an Innovation Passport designation for NX-1607 in the United Kingdom (UK) in February 2022. The Innovation Passport is the mandated entry point to the Innovative Licensing and Access Pathway (ILAP) in the UK to facilitate approval of and market access to an innovative medicine. Grant of the Innovation Passport paves the way for enhanced engagement with key stakeholders such as the Medicines and Healthcare products Regulatory Agency (MHRA), health technology agencies in the UK such as the National Institute for Health and Care Excellence (NICE) or the Scottish Medicines Consortium (SMC) and NHS England. However, although the goal of ILAP and the Innovation Passport is to reduce the time to market and enable earlier patient access, it does not accelerate conduct of clinical trials or mean that the regulatory requirements are less stringent, nor does it ensure that any NX-1607 marketing authorization application (MAA) will be approved or that any approval will be granted within any particular timeframe. Despite receiving an Innovation Passport designation, we may decide to delay or forego the commercialization of NX-1607 in the UK or the development may otherwise not proceed.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One of our approaches to the discovery and development of drug candidates based on our targeted protein degradation platform is unproven, which makes it difficult to predict the time, cost of development and likelihood of successfully developing any products.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Treating diseases using targeted protein degradation is a new treatment modality. Our future success depends on the successful development of this novel therapeutic approach. Very few small molecule drug candidates designed to control cellular protein levels, such as our BTK degraders, have been tested in humans, none have been approved in the United States or Europe, and the data underlying the feasibility of developing these therapeutic products is both preliminary and limited. Discovery and development of targeted protein degraders that harness ligases to degrade protein targets have been impeded largely by the complexities and limited understanding of the functions, biochemistry and structural biology of E3 ligases as well as by challenges of engineering compounds that promote protein-protein interactions.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targeted protein degrader drug candidates may offer an improved therapeutic approach by removing the disease-causing proteins instead of simply inhibiting their activities. However, the scientific research that forms the basis of our efforts to develop our targeted protein degrader drug candidates is ongoing and the scientific evidence to support the feasibility of developing targeted protein degrader-based therapeutic treatments is both preliminary and limited. Further, certain patients have shown inherent primary resistance to approved BTK inhibitors and other patients have developed acquired secondary resistance to these inhibitors. Both NX-2127 and NX-5948 degrade BTK with mutations that confer resistance to currently marketed BTK inhibitors, and we believe that preliminary data from our ongoing Phase 1 trial of NX-2127 may provide evidence of clinical benefit to patients with such resistance mutations. However, any inherent primary or acquired secondary resistance to our BTK degraders in patients would prevent or diminish their clinical benefit.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recently initiated clinical development of NX-2127 and NX-5948 and currently we have limited safety data of NX-2127 and NX</w:t>
        <w:noBreakHyphen/>
        <w:t>5948 in humans. Although some of our drug candidates have produced observable results in animal studies, these drug candidates may not demonstrate the same chemical and pharmacological properties in humans, and may interact with human biological systems in unforeseen, ineffective or harmful ways. As such, there may be adverse effects from treatment with any of our current or future drug candidates that we cannot predict at this time.</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regulatory approval process for novel drug candidates such as ours can be more expensive and take longer than for other, better-known or extensively-studied drug candidates. Although other companies are also developing therapeutics based on targeted protein degradation, no regulatory authority has granted approval for any such therapeutic. As a result of these factors, it is more difficult for us to predict the time and cost of targeted protein degrader drug candidate development, and we cannot predict whether targeted protein degradation will result in the development and marketing approval of any products. Any development problems we experience in the future related to any of our targeted protein degrader research programs may cause significant delays or unanticipated costs or may prevent the development of a commercially viable product. Advancing our targeted protein degrader products creates significant challenges for us, including:</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educating medical personnel regarding the potential efficacy and safety benefits, as well as the challenges, of incorporating our drug candidates, if approved, into treatment regimens; and</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establishing the sales and marketing capabilities to gain market acceptance, if approved.</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of these factors may prevent us from completing our preclinical studies or any clinical trials that we may initiate, or from commercializing any targeted protein degrader drug candidates we may develop on a timely or profitable basis, if at all.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Drug development is a lengthy and expensive process, with an uncertain outcome. We may incur unexpected costs or experience delays in completing, or ultimately be unable to complete, the development and commercialization of our drug candidates.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lead drug candidates are in the early stages of clinical development and their risk of failure is high. We are unable to predict when or if any of our drug candidates will prove effective or safe in humans or will receive marketing approval. Before obtaining marketing approval from regulatory authorities for the sale of any drug candidate, we must conduct extensive clinical trials to demonstrate the safety and efficacy of our drug candidates in humans. Before we can commence clinical trials for a drug candidate, we must complete extensive preclinical testing and studies that support our planned INDs in the United States or similar applications in other jurisdictions. We cannot be certain of the timely completion or outcome of our preclinical testing and studies and cannot predict if the FDA or similar regulatory authorities outside the United States will accept our proposed clinical programs or if the outcome of our preclinical testing and studies ultimately will support the further development of our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Clinical testing is expensive, difficult to design and implement, can take many years to complete and is uncertain as to the outcome. A failure of one or more clinical trials can occur at any stage of testing. Clinical trials may produce negative or inconclusive results, and we or any future collaborators may decide, or regulators may require us, to conduct additional clinical trials or preclinical studies. We will be required to demonstrate with substantial evidence through adequate and well-controlled clinical trials that our drug candidates are safe and effective for use in treating specific conditions in order to obtain marketing approvals for their commercial sale. Success in preclinical studies and early-stage clinical trials does not mean that any future larger registration clinical trials will be successful because drug candidates in later-stage clinical trials may fail to demonstrate safety and efficacy to the satisfaction of the FDA and non-U.S. regulatory authorities despite having progressed through preclinical studies and early-stage clinical trials. Drug candidates that have shown promising results in preclinical studies and early-stage clinical trials may still suffer significant setbacks in subsequent registration clinical trials. Additionally, the outcome of preclinical studies and early-stage clinical trials may not be predictive of the success of later-stage clinical trials.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experience numerous unforeseen events during, or as a result of, clinical trials, that could delay or prevent our ability to receive marketing approval or commercialize our drug candidates, including: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we may experience delays in reaching, or may fail to reach, a consensus with regulators on trial design;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supply or quality of our drug candidates or other materials necessary to conduct clinical trials of our drug candidates may be insufficient or inadequate, including as a result of delays in the testing, validation, manufacturing and delivery of drug candidates to the clinical sites by us or by third parties with whom we have contracted to perform certain of those functions;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we may experience delays in reaching, or may fail to reach, agreement on acceptable clinical trial contracts or clinical trial protocols with prospective trial sites;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regulators or institutional review boards (IRBs) may not authorize us or our investigators to commence a clinical trial or conduct a clinical trial at a prospective trial site;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we may receive feedback from regulatory authorities that requires us to modify the design of our clinical trials;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we may face delays under human tissue act legislation and restrictions across various jurisdictions;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we may experience difficulty in designing clinical trials and in selecting endpoints for diseases that have not been well-studied and for which the natural history and course of the disease is poorly understood;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selection of certain clinical endpoints may require prolonged periods of clinical observation or analysis of the resulting data;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number of patients required for clinical trials of our drug candidates may be larger than we anticipate, enrollment in these clinical trials may be slower than we anticipate or participants may drop out of these clinical trials at a higher rate than we anticipate;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our drug candidates may have undesirable side effects or other unexpected characteristics, causing us or our investigators, regulators or IRBs to suspend or terminate the trials;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we may have to suspend or terminate clinical trials of our drug candidates for various reasons, including a partial or full clinical hold based on a finding that our drug candidates have undesirable side effects or other unexpected characteristics, or that the participants are being exposed to unacceptable health risks;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our third-party contractors may fail to comply with regulatory requirements or meet their contractual obligations to us in a timely manner, or at all;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regulators or IRBs may require that we or our investigators suspend or terminate clinical trials for various reasons, including noncompliance with regulatory requirements;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clinical trials of our drug candidates may produce negative or inconclusive results, and we may decide, or regulators may require us, to conduct additional clinical trials or abandon product development programs;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cost of clinical trials of our drug candidates may be greater than we anticipate;</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supply or quality of our drug candidates or other materials necessary to conduct clinical trials of our drug candidates may be insufficient or inadequate;</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regulators may revise the requirements for approving our drug candidates, or such requirements may not be as we anticipate;</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any future collaborators that conduct clinical trials may face any of the above issues and may also conduct clinical trials in ways they view as advantageous to them but that are suboptimal for us;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disruptions caused by macroeconomic, political and market conditions, including supply chain disruptions, may increase the likelihood that we encounter such difficulties or delays in initiating, enrolling, conducting or completing our planned and ongoing clinical trials.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some instances, there can be significant variability in safety and efficacy results between different clinical trials of the same drug candidate due to numerous factors, including changes in trial protocols, differences in size and type of the patient populations, differences in and adherence to the dosing regimen and other trial protocols and the rate of dropout among clinical trial participants. We do not know whether any clinical trials we may conduct will demonstrate consistent or adequate safety and efficacy sufficient to obtain marketing approval to market our drug candidates.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be delayed in obtaining marketing approval for our drug candidates;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not obtain marketing approval at all;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obtain approval for indications or patient populations that are not as broad as intended or desired;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obtain approval with labeling that includes significant use or distribution restrictions or safety warnings;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be subject to additional post-marketing testing requirements or changes in the way the product is administered; or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have the product removed from the market after obtaining marketing approval.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 development costs also will increase if we experience delays in preclinical studies or clinical trials or in obtaining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could allow our competitors to bring products to market before we do and impair our ability to successfully commercialize our drug candidates, which may harm our business, results of operations, financial condition and prospects.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cancer therapies sometimes are characterized as first-line, second-line or third-line, and the FDA often approves new therapies initially only for third-line or later use, meaning for use after two or more other treatments have failed. When cancer is detected early enough, first-line therapy, usually chemotherapy, hormone therapy, immunotherapy, radiation therapy, surgery, targeted therapy or a combination of these, is sometimes adequate to cure the cancer or prolong life without a cure. Second- and third-line therapies are administered to patients when prior therapy is not effective. Our current and planned clinical trials for our drug candidates NX-2127, NX-1607 and NX-5948 are and will be with patients who have received one or more prior treatments. Subsequently, for those products that prove to be sufficiently beneficial, if any, we may seek approval potentially as a first-line therapy, but any drug candidates we develop, even if approved, may not be approved for first-line therapy, and, prior to any such approvals, we may have to conduct additional clinical trials.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serious adverse events, undesirable side effects or unexpected characteristics are identified during the development of any drug candidates we may develop, we may need to abandon or limit our further clinical development of those drug candidates.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recently begun to evaluate our lead drug candidates in human clinical trials, and there have been very few clinical trials to date involving small molecule drug candidates designed to control cellular protein levels through targeted protein degradation. It is impossible to predict when or if any drug candidates we may develop will prove safe in humans. There is a limited safety data set for the effects of NX-2127, NX-1607 and NX-5948 in animals and we only recently have begun to test the safety of our drug candidates in humans. There can be no assurance that our current drug candidates or any future drug candidate will not cause undesirable side effects. Unforeseen side effects from our drug candidates could arise at any time during preclinical or clinical development.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potential risk in any protein modulation product is that healthy proteins or proteins not targeted for modulation will be modulated or that the modulation of the targeted protein in itself could cause adverse events, undesirable side effects or unexpected characteristics. It is possible that healthy proteins or proteins not targeted for modulation could be modulated by our drug candidates in any of our current or future preclinical studies or clinical trials. There also is the potential risk of delayed adverse events following treatment with our drug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2"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any drug candidates we develop are associated with serious adverse events, or undesirable side effects, or have characteristics that are unexpected, including in preclinical studies, we may need to abandon their development or limit development to certain uses or subpopulations in which the adverse events, undesirable side effects or other characteristics are less prevalent, less severe or more acceptable from a risk-benefit perspective, any of which would have a material adverse effect on our business, financial condition, results of operations and prospects. For example, increased bleeding risk and cardiac arrhythmia such as atrial fibrillation have been reported side effects of approved BTK inhibitors. Furthermore, NX-1607 could activate the immune response to unsafe levels and may have the potential to induce hypercytokinemia, or cytokine storm, which is the overstimulation of immune cells and subsequent overproduction of their activating compounds. Many drug candidates that initially showed promise in early-stage testing for treating cancer or other diseases later have been found to cause side effects that prevented further clinical development of the drug candidates or limited their competitiveness in the market.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The results of preclinical studies and early-stage clinical trials may not be predictive of future results. Initial success in clinical trials may not be indicative of results obtained when these trials are completed or in later-stage trials.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preclinical studies may not be predictive of the results of clinical trials, and the results of any early-stage clinical trials we commence may not be predictive of the results of the later-stage clinical trials. In addition, initial success in clinical trials may not be indicative of results obtained when such trials are completed. In particular, the small number of patients in our planned early clinical trials may make the results of these trials less predictive of the outcomes of later clinical trials. For example, even if successful, the results of our initial clinical trials for NX-2127, NX-1607 and NX-5948 may not be predictive of the results of further clinical trials of these drug candidates or any of our other drug candidates. Moreover, preclinical and clinical data often are susceptible to varying interpretations and analyses, and many companies that have believed their drug candidates performed satisfactorily in preclinical studies and clinical trials nonetheless have failed to obtain marketing approval of their products. Our future clinical trials may not ultimately be successful or support further clinical development of any of our drug candidates. There is a high failure rate for drug candidates proceeding through clinical trials. A number of companies in the pharmaceutical and biotechnology industries have suffered significant setbacks in clinical development even after achieving encouraging results in earlier studies and trials. Any such setbacks in our clinical development could materially harm our business, results of operations, financial condition and prospects.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Interim top-line and preliminary data from our planned clinical trials that we announce or publish from time to time may change as more patient data become available and are subject to audit and verification procedures that could result in material changes in the final data.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publish interim top-line or preliminary data from our planned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business, results of operations, financial condition and prospects.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we experience delays or difficulties in enrolling patients in clinical trials, our receipt of necessary marketing approvals could be delayed or prevented.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not be able to initiate or continue clinical trials for our drug candidates if we are unable to locate and enroll a sufficient number of eligible patients to participate in these trials as required by the FDA or similar regulatory authorities outside of the United States. In particular, we are currently conducting Phase 1 clinical trials for each of our lead drug candidates: NX-2127, NX-1607 and NX</w:t>
        <w:noBreakHyphen/>
        <w:t xml:space="preserve">5948. We cannot predict how difficult it will be to enroll patients for these trials. Therefore, our ability to identify and enroll eligible patients for our NX-2127, NX-1607 and NX-5948 clinical trials may be limited or may result in slower enrollment than we anticipate. In addition, some of our competitors have ongoing clinical trials for drug candidates that treat the same indications as our drug candidates, and patients who otherwise would be eligible for our planned clinical trials instead may enroll in clinical trials of our competitors’ drug candidates. Moreover, the size of the relevant patient populations for the diseases that our lead drug candidates target is small, and as more companies begin to focus attention and resources on drug candidates to treat the same indications as our drug candidates, we may experience delays or be unable to successfully recruit and enroll a sufficient number of eligible patients in our clinical trials. Patient enrollment is affected by other factors including: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severity of the disease under investigation;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size of the patient population and process for identifying patients;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availability and efficacy of approved medications for the disease under investigation;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3"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eligibility criteria for the trial in question;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perceived risks and benefits of the drug candidates under study;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efforts to facilitate timely enrollment in clinical trials;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physicians’ attitudes and practices with respect to clinical trial enrollment;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burden on patients due to inconvenient procedures;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ability to monitor patients adequately during and after treatment; and</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proximity and availability of clinical trial sites for prospective patients.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inability to enroll a sufficient number of patients for our current or planned clinical trials would result in significant delays and could require us to abandon one or more clinical trials altogether. Enrollment delays in our current or planned clinical trials may result in increased development costs for our drug candidates, which would cause the value of our company to decline and limit our ability to obtain additional financing.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may expend our limited resources to pursue a particular drug candidate or indication and fail to capitalize on drug candidates or indications that may be more profitable or for which there is a greater likelihood of success.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The manufacture of drugs is complex and we and our third-party manufacturers are early in our manufacturing efforts.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established manufacturing relationships with a limited number of suppliers to manufacture raw materials and the drug substance of any drug candidate for which we are currently pursuing, or may in the future pursue, preclinical or clinical development. Our systems for complying with current good manufacturing practices (cGMPs), manufacturing process development with our third-party manufacturers and scale-up are at an early stage. The actual cost to manufacture and process our drug candidates could be greater than we expect and could materially and adversely affect the commercial viability of our drug candidates. Our third-party manufacturers may encounter difficulties in production, including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any of our third-party manufacturers encounter such difficulties, our ability to provide supply of our current or future drug candidates for clinical trials, our ability to obtain marketing approval or our ability to provide supply of our drug candidates for patients, if approved, could be delayed or stopped.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may not be successful in our efforts to identify or discover additional potential drug candidates.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key element of our strategy is to apply our DELigase platform to address a broad array of targets and new therapeutic areas. The therapeutic discovery activities we are conducting may not be successful in identifying drug candidates that are useful in treating hematologic cancers, immune-mediated diseases or any other diseases. Our research programs initially may show promise in identifying potential drug candidates, yet fail to yield drug candidates for clinical development for a number of reasons, including: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research methodology used may not be successful in identifying potential drug candidates;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potential drug candidates may, on further study, be shown to have harmful side effects or other characteristics that indicate that they are unlikely to be drugs that will receive marketing approval or achieve market acceptance; or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potential drug candidates may not be effective in treating their targeted diseases.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4"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programs to identify new drug candidates require substantial technical, financial and human resources. We may choose to focus our efforts and resources on a potential drug candidate that ultimately proves to be unsuccessful. If we are unable to identify suitable drug candidates for preclinical and clinical development, we will not be able to obtain revenues from the sale of products in future periods, which likely would result in significant harm to our financial position and adversely impact our stock price.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may not be successful in our efforts to expand the breadth of our DELigase platform.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key element of our strategy is to expand the capabilities of our DELigase platform and leverage our platform to discover, develop and potentially commercialize additional drug candidates beyond our current portfolio to target diseases in a wide range of organ systems and tissues and treat various disease states. These enhancements require substantial technical, financial and human resources, and may not result in the discovery or development of additional drug candidates or therapies. We may pursue what we believe is a promising opportunity to leverage our platform only to discover that certain of our risk or resource allocation decisions were incorrect or insufficient, or that individual products or our science in general has technology or biology risks that were previously unknown or underappreciated. Our strategy of pursuing the value of our DELigase platform over a long time horizon and across a broad array of human diseases may not be effective. In the event material decisions in any of these areas turn out to be incorrect or sub-optimal, we may experience a material adverse impact on our business and ability to fund our operations and we may never realize what we believe is the potential of our DELigase platform.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face substantial competition in an environment of rapid technological change, which may result in others discovering, developing or commercializing products before or more successfully than we do.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development and commercialization of new drug products is highly competitive. Moreover, the biotechnology and pharmaceutical industries are characterized by rapidly advancing technologies, intense competition and a strong emphasis on proprietary products. We face and will continue to face competition from third parties that use protein modulation, antibody therapy, ACT, inhibitory nucleic acid, gene editing or gene therapy development platforms and from companies focused on more traditional therapeutic modalities, such as small molecule inhibitors. The competition is likely to come from multiple sources, including major pharmaceutical, specialty pharmaceutical and biotechnology companies, academic institutions, government agencies and other public and private research institutions that conduct research, seek patent protection and establish collaborative arrangements for research, development, manufacturing and commercialization.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aware of several biotechnology companies focused on developing small molecules that degrade target proteins or inhibit E3 ligases, including, but not limited to, Accutar Biotechnology Inc., Arvinas, Inc., BeiGene, Ltd., BioTheryX, Inc., C4 Therapeutics, Inc., Cullgen Inc., Foghorn Therapeutics Inc., HotSpot Therapeutics, Inc., Kymera Therapeutics, Inc. and Monte Rosa Therapeutics, all of which currently are in preclinical or clinical development. In addition, several large pharmaceutical companies have disclosed investments in this field, including AbbVie Inc., Amgen Inc., AstraZeneca plc, Bayer AG, Bristol-Myers Squibb Company, Genentech, Inc., GlaxoSmithKline plc and Novartis International AG.</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Further, mergers and acquisitions in the pharmaceutical and biotechnology industries may result in even more resources being concentrated among a smaller number of our competitors. Smaller or early-stage companies also may prove to be significant competitors, particularly through collaborative arrangements with large and established companies. All of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we may develop. Our competitors also may obtain FDA or other regulatory approval for their products more rapidly than we may obtain approval for ours, which could prevent us from obtaining the orphan designation in the European Union (EU) and/or in the UK and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drug candidates are approved, we expect that they will be priced at a significant premium over competitive generic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5"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we do not achieve our projected development goals in the time frames we expect and announce, the commercialization of our products may be delayed and, as a result, our stock price may decline.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and may be associated with payments from third-party collaborators such as Sanofi or Gilead.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the commercialization of our products may be delayed or never achieved and, as a result, our stock price may decline.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estimated market opportunities for our drug candidates are subject to numerous uncertainties and may prove to be inaccurate. If we have overestimated the size of our market opportunities, our future growth may be limited.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estimated addressable markets and market opportunities for our drug candidates are based on a variety of inputs, including data published by third parties, our own market insights and internal market intelligence and internally generated data and assumptions. We have not independently verified any third-party information and cannot be assured of its accuracy or completeness. Market opportunity estimates, whether obtained or derived from third-party sources or developed internally, are subject to significant uncertainty and are based on assumptions and estimates that may prove not to be accurate. Although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report. If this third-party or internally generated data prove to be inaccurate or if we make errors in our assumptions based on that data, our actual market may be more limited than we estimate it to be. In addition, these inaccuracies or errors may cause us to misallocate capital and other critical business resources, which could harm our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Dependence on Third Parties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sought third-party collaborators for the research, development and commercialization of some of our targeted protein degrader programs. For example, in June 2019 we entered into a collaboration with Gilead and in December 2019 we entered into a collaboration with Sanofi, which was subsequently expanded and amended in January 2021. Both collaborations require us to conduct certain research activities. Our likely collaborators for any other collaboration arrangements include large and mid-size pharmaceutical companies, biotechnology companies and universities. These and any future arrangements with third parties limit our control over the amount and timing of resources that our collaborators dedicate to the development or commercialization of any drug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Collaborations involving our research programs or any drug candidates we may develop, including our collaborations with Sanofi and Gilead, pose risks to us, including: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Collaborators have significant discretion in determining the efforts and resources that they will apply to collaborations with us.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Collaborators may not pursue development and commercialization of any drug candidates we may develop or may elect not to continue or renew development or commercialization programs based on clinical trial results, changes in the collaborator’s strategic focus or available funding or external factors such as an acquisition or business combination that diverts resources or creates competing priorities.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Sanofi and Gilead have broad option rights to select up to five targets each for exclusive targeted protein degrader development, so long as not excluded by us under the terms of each collaboration, and may select targets we are considering but have not taken sufficient action to exclude under each collaboration.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Collaborators may delay clinical trials, provide insufficient funding for a clinical trial program, stop a clinical trial or abandon a drug candidate, repeat or conduct new clinical trials or require a new formulation of a drug candidate for clinical testing.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6"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Collaborators could develop independently, or develop with third parties, products that compete directly or indirectly with our products or drug candidates if the collaborators believe that competitive products are more likely to be successfully developed or can be commercialized under terms that are more economically attractive than ours.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Collaborators with marketing and distribution rights to one or more products may not commit sufficient resources to the marketing and distribution of such product or products.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Collaborators may not properly obtain, maintain, enforce or defend our intellectual property or proprietary rights or may use our proprietary information in such a way that could jeopardize or invalidate our proprietary information or expose us to potential litigation. For example, Sanofi and Gilead have the first right to enforce or defend certain intellectual property rights under the applicable collaboration arrangement with respect to particular licensed programs, and although we may have the right to assume the enforcement and defense of such intellectual property rights if the collaborator does not, our ability to do so may be compromised by their actions.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Disputes may arise between the collaborators and us that result in the delay or termination of the research, development or commercialization of our products or drug candidates or that result in costly litigation or arbitration that diverts management attention and resources.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We may lose certain valuable rights under circumstances identified in our collaborations, including if we undergo a change of control. For example, Sanofi may terminate its agreement with us if we undergo a change of control.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Collaborations may be terminated and, if terminated, may result in a need for additional capital to pursue further development or commercialization of the applicable drug candidates. For example, each of Sanofi and Gilead can terminate its agreement with us in its entirety or with respect to a specific target for convenience upon written notice or in connection with a material breach of the agreement by us that remains uncured for a specified period of time.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Collaboration agreements may not lead to development or commercialization of drug candidates in the most efficient manner, or at all. For instance, if a present or future collaborator of ours were to be involved in a business combination, the continued pursuit and emphasis on our product development or commercialization program under such collaboration could be delayed, diminished or terminated.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our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drug candidates could be delayed, and we may need additional resources to develop drug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marketing approval and commercialization described in this report apply to the activities of our collaborators.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in the future decide to collaborate with pharmaceutical and biotechnology companies for the development and potential commercialization of any drug candidates we may develop. These relationships may require us to incur non-recurring and other charges, increase our near- and long-term expenditures, issue securities that dilute the ownership interest of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upon, among other things, our assessment of the proposed collaborator’s resources and expertise, the terms and conditions of the proposed collaboration and the proposed collaborator’s evaluation of several factors. If we license rights to any drug candidates we or our collaborators may develop, we may not be able to realize the benefit of such transactions if we are unable to successfully integrate them with our existing operations and company culture.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7"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may seek to establish additional collaborations. If we are not able to establish collaborations on commercially reasonable terms, we may have to alter our development and commercialization plans.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continue to selectively pursue collaborations with leading biopharmaceutical companies with development and commercial expertise and capabilities. We face significant competition in attracting appropriate collaborators to advance the development of any drug candidates for which we may seek a collaboration. Whether we reach a definitive agreement for a collaboration will depend upon, among other things, our assessment of the collaborator’s resources and expertise, the terms and conditions of the proposed collaboration and the proposed collaborator’s evaluation of a number of factors. Those factors may include the design or results of preclinical studies and clinical trials, the likelihood of approval by the FDA or other regulatory authorities, the potential market for the subject drug candidate, the costs and complexities of manufacturing and delivering such drug candidate to patients, the potential of competing products, uncertainty with respect to our ownership of technology (which can exist if there is a challenge to such ownership without regard to the merits of the challenge), the terms of any existing collaboration agreements and industry and market conditions generally. The collaborator also may have the opportunity to collaborate on other drug candidates or technologies for similar indications and will have to evaluate whether such a collaboration could be more attractive than one with us.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Collaborations are complex and time-consuming to negotiate, document and execute. In addition, consolidation among large pharmaceutical companies has reduced the number of potential future collaborators, and we may not be able to locate a suitable collaborator. Any collaboration we enter into may limit our ability to enter into future agreements on particular terms or covering similar target indications with other potential collaborators.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revenue from product sales, which could have an adverse effect on our business, financial condition, results of operations and prospects.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rely on third parties to conduct our clinical trials, and those third parties may not perform satisfactorily, including failing to meet deadlines for completing such trials.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third-party contract research organizations (CROs) to conduct our Phase 1 clinical trial programs for NX-2127, NX-1607 and NX-5948 and we will rely on third-party CROs to conduct any clinical trials for other drug candidates. Agreements with these CROs might terminate for a variety of reasons, including for such CRO’s failure to perform. Entry into alternative arrangements, if necessary, could significantly delay our product development activities.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reliance on these CROs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in the applicable IND. Moreover, the FDA and other foreign regulators such as the EMA and the MHRA require compliance with standards, commonly referred to as GCPs, for conducting, recording and reporting the results of clinical trials to assure that data and reported results are credible and accurate and that the rights, integrity and confidentiality of trial participants are protected.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these CROs do not successfully carry out their contractual duties, meet expected deadlines or conduct our clinical trials in accordance with regulatory requirements or our stated protocols, we will not be able to obtain, or may be delayed in obtaining, marketing approvals for our drug candidates and will not be able to, or may be delayed in our efforts to, successfully commercialize our drug candidates.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own or operate, and currently have no plans to establish, any manufacturing facilities. We rely on and expect to continue to rely on third-party contract manufacturing organizations (CMOs) for both drug substance and finished drug product, and ACT product. This reliance on CMOs, particularly where one CMO is the sole source of the drug substance or finished drug product, or ACT product, may increase the risk that we will not have sufficient quantities of our drug candidates or products or such quantities at an acceptable cost or quality, which could delay, prevent or impair our development or commercialization efforts.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8"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unable to establish agreements with CMOs or to do so on acceptable terms. Even if we are able to establish agreements with CMOs, reliance on them entails additional risks, including: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reliance on the CMO for regulatory, compliance and quality assurance;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possible breach of the manufacturing agreement by the CMO;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possible misappropriation of our proprietary information, including our trade secrets and know-how; and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possible termination or nonrenewal of the agreement by the CMO at a time that is costly or inconvenient for us.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only limited technology transfer agreements in place with respect to our drug candidates, and these arrangements do not extend to commercial supply. We acquire many key materials on a purchase order basis. As a result, we do not have long-term committed arrangements with respect to our drug candidates and other materials. If we receive marketing approval for any of our drug candidates, we will need to establish an agreement for commercial manufacture with a third party.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CMOs we retain may not be able to comply with cGMP regulations or similar regulatory requirements outside of the United States. Our failure, or the failure of our CMOs, to comply with applicable regulations could result in sanctions or other adverse regulatory actions, including untitled or warning letters, clinical holds, fines, injunctions, civil penalties, delays, suspension or withdrawal of approvals, failure to approve pending applications, license revocation, seizures or recalls of drug candidates or products, operating restrictions and criminal prosecutions, any of which could significantly and adversely affect supplies of our products.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facilities used by our contract manufacturers to manufacture our drug candidates must be approved by the FDA or the EMA or other national or international regulatory agencies pursuant to inspections that will be conducted after we submit our NDA to the FDA or our MAA to the EMA or other regulatory authority. 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the EMA or comparable foreign regulatory bodies, they will not be able to secure and/or maintain approval for their manufacturing facilities. In addition, we do not have complete control over the ability of our contract manufacturers to maintain adequate quality control, quality assurance and qualified personnel. If the FDA, the EMA or a comparable foreign regulatory authority does not approve these facilities for the manufacture of our drug candidates or if such regulatory authority withdraws any such approval in the future, we may need to find alternative manufacturing facilities, which would significantly impact our ability to develop, obtain marketing approval for or market our drug candidates, if approved.</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drug candidates and any products that we may develop may compete with other drug candidates and products for access to suitable manufacturing facilities. As a result, we may not obtain access to these facilities on a priority basis or at all. There are a limited number of manufacturers that operate under cGMP regulations and that might be capable of manufacturing for us.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performance failure on the part of our existing or future manufacturers could delay clinical development or marketing approval or could result in withdrawal of marketing approval. We do not currently have arrangements in place for redundant supply or a second source for bulk drug substance. If our current CMOs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 manufacturer or may not be able to reach agreement with any alternative manufacturer.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and anticipated future dependence upon others for the manufacture of our drug candidates or products may adversely affect our future profit margins and our ability to commercialize any products that receive marketing approval on a timely and competitive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9"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Some of our suppliers may experience disruption to their respective supply chain due to the effects of macroeconomic conditions, which could delay, prevent or impair our development or commercialization efforts.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obtain certain chemical or biological intermediates in the synthesis of our drug candidates and NHPs for toxicology testing in countries affected by macroeconomic events and conditions, including inflation, increasing interest rates, increasing financial market volatility and uncertainty, the impact of war or military conflict, including the ongoing war in Ukraine, and public health pandemics. If we are unable to obtain these chemical or biological intermediates or NHPs in sufficient quantity and in a timely manner due to disruptions in the global supply chain caused by macroeconomic events and conditions, the development, testing and clinical trials of that drug candidate may be delayed or infeasible, and regulatory approval or commercial launch of any resulting product may be delayed or not obtained, which could significantly harm our business.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CMOs may be unable to successfully scale-up manufacturing of our drug candidates in sufficient quality and quantity, which would delay or prevent us from developing our drug candidates and commercializing approved products, if any.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conduct clinical trials of our drug candidates, we will need to manufacture our drug candidates in large quantities. Quality issues may arise during scale-up activities. Our reliance on a limited number of CMOs, the complexity of drug manufacturing and the difficulty of scaling up a manufacturing process could cause the delay of clinical trials, regulatory submissions, required approvals or commercialization of our drug candidates, cause us to incur higher costs and prevent us from commercializing our drug candidates successfully. Furthermore, if our CMOs fail to deliver the required commercial quality and quantities of materials on a timely basis and at commercially reasonable prices, and we are unable to secure one or more replacement CMOs capable of production in a timely manner at a substantially equivalent cost, then testing and clinical trials of that drug candidate may be delayed or infeasible, and regulatory approval or commercial launch of any resulting product may be delayed or not obtained, which could significantly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the Commercialization of Our Drug Candidates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Even if any of our drug candidates receive marketing approval, a drug candidate may fail to achieve the degree of market acceptance by physicians, patients, third-party payors and others in the medical community necessary for commercial success.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any of our drug candidates receive marketing approval, they may nonetheless fail to gain sufficient market acceptance by physicians, patients, third-party payors and others in the medical community. For example, ibrutinib is a well-established current treatment for CLL and other B-cell malignancies, and doctors may continue to rely on this and other treatments. If our drug candidates do not achieve an adequate level of acceptance, we may not generate sufficient revenue from product sales and we may not become profitable. The degree of market acceptance of our drug candidates, if approved for commercial sale, will depend on a number of factors, including: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efficacy and potential advantages compared to alternative treatments;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prevalence and severity of any side effects, in particular compared to alternative treatments;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our ability to offer our products for sale at competitive prices;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convenience and ease of administration compared to alternative treatments;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willingness of the target patient population to try new therapies and of physicians to prescribe these therapies;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strength of our marketing, sales and distribution support;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availability of third-party payor coverage and adequate reimbursement;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ability to secure a positive HTA recommendation for the product to be prescribed and reimbursed under the national health system;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timing of any marketing approval in relation to other product approvals; and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any restrictions on the use of our products together with other medications.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50"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we are unable to establish sales and marketing capabilities, we may not be successful in commercializing our drug candidates if and when they are approved.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have a sales or marketing infrastructure and have no experience in the sale, marketing or distribution of biopharmaceutical products. To achieve commercial success for any product for which we obtain marketing approval, we will need to establish sales, marketing and distribution capabilities, either by ourselves or through collaboration or other arrangements with third parties.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expect that we may build our own focused, specialized sales and marketing organization to support the commercialization in the United States of drug candidates for which we receive marketing approval and which can be commercialized with such capabilities. There are risks involved with establishing our own sales and marketing capabilities. For example, recruiting and training a sales force is expensive and time-consuming and could delay any product launch. If the commercial launch of a drug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Factors that may inhibit our efforts to commercialize our products on our own include: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our inability to recruit, train and retain adequate numbers of effective sales, marketing, reimbursement, customer service, medical affairs and other support personnel;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lack of complementary products to be offered by sales personnel, which may put us at a competitive disadvantage relative to companies with more extensive product lines; and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unforeseen costs and expenses associated with creating an independent sales and marketing organization.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unable to establish our own sales and marketing capabilities or enter into arrangements with third parties to perform these services, our revenue from product sales and our profitability, if any, are likely to be lower than if we ourselves were to market and sell any products that we develop. In addition, we may not be successful in entering into arrangements with third parties to market and sell our drug candidates or may be unable to do so on terms that are acceptable to us.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our drug candidates.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Even if we are able to commercialize any drug candidates, the products may become subject to unfavorable pricing regulations, third-party reimbursement practices or healthcare reform initiatives, which would harm our business.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drug candidate to other available therapies.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drug candidates, even if our drug candidates obtain marketing 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51" name="Frame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commercialize any drug candidates successfully also will depend in part on the extent to which coverage and adequate reimbursement for these products and related treatments will be available from government healthcare programs, private health insurers, national health technology assessment authorities in Europe and other organizations, and if reimbursement and coverage is available, the level of reimbursement and coverage. Government authorities and third-party payors, such as private health insurers and health maintenance organizations, decide which medications they will pay for and establish reimbursement levels. A key focus in the U.S. healthcare industry and elsewhere is cost containment. Government authorities and third-party payors have attempted to control costs by limiting coverage and the amount of reimbursement for particular medications.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sufficient to cover our costs. Reimbursement may affect the demand for, or the price of, any drug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drug candidate for which we obtain marketing approval.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across the entire eligible patient population, as a first-line treatment or at a rate that covers our costs, including research, development, intellectual property, manufacture, sale and distribution expenses. Interim reimbursement levels for new drugs, if applicable, also may not be sufficient to cover our costs and may not be made permanent. Reimbursement rates may vary according to the use of the drug and the clinical setting in which it is used, may be based on reimbursement levels already set for lower cost drugs, may take into account comparative cost-effectiveness, in particular in European jurisdictions,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Product liability lawsuits against us could cause us to incur substantial liabilities and to limit commercialization of any products that we may develop.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an inherent risk of product liability exposure related to the testing of our drug candidates in human clinical trials and will face an even greater risk if we commercially sell any products that we may develop. If we cannot successfully defend ourselves against claims that our drug candidates or products caused injuries, we will incur substantial liabilities. Regardless of merit or eventual outcome, liability claims may result in: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decreased demand for any drug candidates or products that we may develop;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termination of clinical trials;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withdrawal of marketing approval, recall, restriction on the approval or a “black box” warning or contraindication for an approved drug;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withdrawal of clinical trial participants;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significant costs to defend the related litigation;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substantial monetary awards to trial participants or patients;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loss of revenue;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injury to our reputation and significant negative media attention;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reduced resources of our management to pursue our business strategy; and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inability to commercialize any products that we may develop.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52" name="Frame5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maintain product liability insurance coverage, it may not be adequate to cover all liabilities that we may incur. We anticipate that we will need to increase our product liability insurance coverage as we initiate our clinical trials, as we expand our clinical trials and if we commence commercialization of our drug candidates. Insurance coverage is increasingly expensive. We may not be able to maintain or increase our insurance coverage at a reasonable cost or in an amount adequate to satisfy any liability that may arise.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Intellectual Property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success depends, in large part, on our ability to obtain and maintain patent and other intellectual property and proprietary protection in the United States and other countries with respect to our drug candidates and proprietary technology. We seek to protect our proprietary position by filing patent applications in the United States and abroad related to our novel technologies and drug candidates. If we are unable to obtain or maintain patent protection with respect to our proprietary drug candidates and technology or do not otherwise adequately protect our intellectual property, competitors and other third parties may be able to use our drug candidates and technologies and erode or negate any competitive advantage that we may have, which could have a material adverse effect on our business. Any disclosure to or misappropriation by third parties of our confidential proprietary information could enable competitors and other third parties to quickly duplicate or surpass our technological achievements, thus eroding our competitive position in our market. Moreover, the patent applications we own, co-own or license may fail to result in issued patents that cover our current and future drug candidates in the United States or in other foreign countries. Our patent applications cannot be enforced against third parties practicing the technology claimed in such applications unless, and until, a patent issues from such applications, and then only to the extent the issued claims cover the technology. If the patent applications we hold with respect to our development programs and drug candidates fail to issue, if their breadth or strength of protection is threatened or if they fail to provide meaningful exclusivity for our current and future drug candidates, it could have a material adverse effect on our ability to commercialize our drug candidates and our business.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protect our proprietary positions, we file patent applications in the United States and other countries related to our novel technologies and drug candidates that are important to our business. The patent application and prosecution process is expensive, complex and time-consuming, and we may not be able to file and prosecute all necessary or desirable patent applications in all potential jurisdictions at a reasonable cost or in a timely manner. It is also possible that we will fail to identify patentable aspects of our research and development output before it is too late to obtain patent protection. We may not be able to obtain or maintain patent applications and patents due to the subject matter claimed in such patent applications and patents being in the public domain. It is possible that defects of form in the preparation or filing of our patents or patent applications may exist, or may arise in the future, such as with respect to proper priority claims, inventorship, claim scope or patent term adjustments, and it is possible that we may be unable to correct such defects.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and other third parties may independently develop equivalent knowledge, methods and know-how, or design around our claimed subject matter. Any of these outcomes could impair our ability to prevent competition from third parties.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patent position of biotechnology and pharmaceutical companies generally is highly uncertain, involves complex legal and factual questions and has in recent years been the subject of much litigation. In addition, the protections offered by laws of different countries vary and the laws of foreign countries may not protect our rights to the same extent as the laws of the United States. For example, European patent law and jurisprudence restricts the patentability of methods of treatment of the human body more than United States law does.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have in recent years been the subject of much litigation. As a result, the issuance, scope, validity, enforceability and commercial value of our patent rights, whether owned or in-licensed, are highly uncertain.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53" name="Frame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pPr>
      <w:r>
        <w:rPr>
          <w:rFonts w:ascii="Times New Roman;sans-serif" w:hAnsi="Times New Roman;sans-serif"/>
          <w:b w:val="false"/>
          <w:color w:val="000000"/>
          <w:sz w:val="20"/>
        </w:rPr>
        <w:t xml:space="preserve">We may not be aware of all third-party intellectual property rights potentially relating to our current and future drug candidates. Publications of discoveries in the scientific literature often lag behind the actual discoveries, and patent applications in the United States and other jurisdictions typically are not published until 18 months after filing, or in some cases not at all. Therefore, we cannot know with certainty whether we were the first to make the inventions claimed in our patents or pending patent applications, or that we or our licensors were the first inventors to file for patent protection of such inventions. As a result, the issuance, scope, validity, enforceability and commercial value of our patent rights are highly uncertain. Our pending and future patent applications, whether owned or in-licensed, may not result in patents being issued that protect our technology or drug candidates, in whole or in part, or that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Moreover, we may be subject to a third-party submission of prior art to the USPTO challenging the validity of one or more claims of our owned or licensed pending patent applications, precluding the granting of a patent based on one of our owned or licensed pending patent applications. We may become involved in opposition, derivation, reexamination, </w:t>
      </w:r>
      <w:r>
        <w:rPr>
          <w:rFonts w:ascii="Times New Roman;sans-serif" w:hAnsi="Times New Roman;sans-serif"/>
          <w:b w:val="false"/>
          <w:i/>
          <w:color w:val="000000"/>
          <w:sz w:val="20"/>
        </w:rPr>
        <w:t xml:space="preserve">inter partes </w:t>
      </w:r>
      <w:r>
        <w:rPr>
          <w:rFonts w:ascii="Times New Roman;sans-serif" w:hAnsi="Times New Roman;sans-serif"/>
          <w:b w:val="false"/>
          <w:color w:val="000000"/>
          <w:sz w:val="20"/>
        </w:rPr>
        <w:t xml:space="preserve">review, post-grant review or other post-grant proceedings, in the United States or elsewhere, challenging our or our licensors’ patent rights or the patent rights of others. An adverse determination in any such submission, proceeding or litigation could reduce the scope of, or invalidate, our patent rights, allow third parties to commercialize our technology or drug candidates and compete directly with us, without payment to us, or result in our inability to manufacture or commercialize products without infringing third-party patent rights, which could significantly harm our business and results of operations. Such challenges may result in loss of patent rights, exclusivity or freedom to operate, or in patent claims being narrowed, invalidated or held unenforceable, in whole or in part, which could limit our ability to stop others from using or commercializing similar or identical technology and drug candidates, or limit the duration of the patent protection of our technology and drug candidates. Such proceedings also may result in substantial cost and require significant time from our scientific personnel and management, even if the eventual outcome is favorable to us. In addition, any threat to the breadth or strength of protection provided by our patents and patent applications could dissuade companies from collaborating with us to license, develop or commercialize current or future drug candidates.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our patent applications issue as patents and are unchallenged, they may not issue in a form that will provide us with any meaningful protection against competing products or processes sufficient to achieve our business objectives, prevent competitors and other third parties from competing with us or otherwise provide us with any competitive advantage. Our competitors and other third parties may be able to design around or circumvent our patents, should they issue, by developing similar or alternative technologies or products in a non-infringing manner. Our competitors and other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 If the patent protection provided by the patents and patent applications we own or license is not sufficiently broad to impede such competition, our ability to successfully commercialize our drug candidates could be negatively affected, which could have a material adverse effect on our business, financial condition, results of operations and prospects.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issuance of a patent creates a presumption of validity of the patent, it is not conclusive as to its inventorship, scope, validity or enforceability, and our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similar or identical to ours. Any of the foregoing could have a material adverse effect on our business.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Changes in patent law in the United States and in non-U.S. jurisdictions could diminish the value of patents in general, thereby impairing our ability to protect our drug candidates.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is the case with other biopharmaceutical companies, our success is heavily dependent on intellectual property, particularly patents. Obtaining and enforcing patents in the biopharmaceutical industry involves both technological and legal complexity, and therefore is costly, time-consuming and inherently uncertain. Past or future patent reform legislation in the United States and other countries could increase the uncertainties and costs surrounding the prosecution of patent applications and the enforcement or defense of issued patents, may diminish the value of our patents or narrow the scope of our patent protection and may affect the scope, strength and enforceability of our patent rights or the nature of proceedings that may be brought by or against us related to our patent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54" name="Frame5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and the USPTO, the laws and regulations governing patents could change in unpredictable ways that would weaken our ability to obtain new patents or to enforce our existing patents and patents that we might obtain in the future. Any of the foregoing, including any similar adverse changes in the patent laws of other jurisdictions, could also have a material adverse effect on our business, financial condition, results of operations and prospects.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Even if we are able to obtain patent protection for our drug candidates, the life of such protection is limited, and third parties could develop and commercialize products and technologies similar or identical to ours and compete directly against us after the expiration of our patent rights and our ability to successfully commercialize any product or technology would be materially adversely affected.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life of a patent and the protection it affords is limited. For example, in the United States, if all maintenance fees are timely paid, the natural expiration of a patent is generally 20 years from its earliest U.S. non provisional filing date. Even if we successfully obtain patent protection for an approved drug candidate, it may face competition from generic or biosimilar medications. Manufacturers of generic or biosimilar drugs may challenge the scope, validity or enforceability of our patents in court or before a patent office, and we may not be successful in enforcing or defending those intellectual property rights and, as a result, may not be able to develop or market the relevant product exclusively, which would materially adversely affect any potential sales of that product.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Given the amount of time required for the development, testing and regulatory review of new drug candidates, patents protecting such drug candidates might expire before or shortly after such drug candidates are commercialized. As a result, our patents and patent applications may not provide us with sufficient rights to exclude others from commercializing products similar or identical to ours. Even if we believe we are eligible for certain patent term extensions, there can be no assurance that the applicable authorities, including the FDA and the USPTO in the United States and national patent offices in Europe, and any equivalent regulatory authority in other countries, will agree with our assessment of whether such extensions are available, and such authorities may refuse to grant extensions to our patents, or may grant more limited extensions than we request. Upon the expiration of patents that may issue from our pending patent applications, we will not be able to assert such patent rights against potential competitors and other third parties, which would materially adversely affect our business, financial condition, results of operations and prospects.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may need to license intellectual property from third parties, and such licenses may not be available or may not be available on commercially reasonable terms.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A license to such intellectual property may not be available or may not be available on commercially reasonable terms, which could have a material adverse effect on our business, financial condition, results of operations and prospects.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licensing and acquisition of third-party intellectual property rights is a competitive practice, and companies that may be more established, or have greater resources than we do, also may be pursuing strategies to license or acquire third-party intellectual property rights that we may consider necessary or attractive in order to commercialize our drug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drug candidates we may seek to acquire.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Third parties may initiate legal proceedings alleging that we are infringing, misappropriating or otherwise violating their intellectual property rights, the outcome of which would be uncertain and could have a material adverse effect on our business.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success depends, in part, upon our ability, and the ability of our collaborators to develop, manufacture, market and sell our drug candidates and future drug candidates and use our proprietary technologies without infringing, misappropriating or otherwise violating the intellectual property and other proprietary rights of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55" name="Frame5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pPr>
      <w:r>
        <w:rPr>
          <w:rFonts w:ascii="Times New Roman;sans-serif" w:hAnsi="Times New Roman;sans-serif"/>
          <w:b w:val="false"/>
          <w:color w:val="000000"/>
          <w:sz w:val="20"/>
        </w:rPr>
        <w:t xml:space="preserve">Numerous third-party U.S. and non-U.S. issued patents exist in the area of biotechnology, including in the area of targeted protein degraders and including patents owned or controlled by our competitors. There is considerable and complex intellectual property litigation in the biotechnology and pharmaceutical industries, as well as administrative proceedings for challenging patents, including interference, reexamination and </w:t>
      </w:r>
      <w:r>
        <w:rPr>
          <w:rFonts w:ascii="Times New Roman;sans-serif" w:hAnsi="Times New Roman;sans-serif"/>
          <w:b w:val="false"/>
          <w:i/>
          <w:color w:val="000000"/>
          <w:sz w:val="20"/>
        </w:rPr>
        <w:t xml:space="preserve">inter partes </w:t>
      </w:r>
      <w:r>
        <w:rPr>
          <w:rFonts w:ascii="Times New Roman;sans-serif" w:hAnsi="Times New Roman;sans-serif"/>
          <w:b w:val="false"/>
          <w:color w:val="000000"/>
          <w:sz w:val="20"/>
        </w:rPr>
        <w:t xml:space="preserve">review proceedings before the USPTO and oppositions and other comparable proceedings in foreign jurisdictions. We may in the future become party to, or be threatened with, adversarial proceedings or litigation regarding intellectual property rights with respect to our drug candidates, future drug candidates and technology, including interference, derivation, reexamination or </w:t>
      </w:r>
      <w:r>
        <w:rPr>
          <w:rFonts w:ascii="Times New Roman;sans-serif" w:hAnsi="Times New Roman;sans-serif"/>
          <w:b w:val="false"/>
          <w:i/>
          <w:color w:val="000000"/>
          <w:sz w:val="20"/>
        </w:rPr>
        <w:t xml:space="preserve">inter partes </w:t>
      </w:r>
      <w:r>
        <w:rPr>
          <w:rFonts w:ascii="Times New Roman;sans-serif" w:hAnsi="Times New Roman;sans-serif"/>
          <w:b w:val="false"/>
          <w:color w:val="000000"/>
          <w:sz w:val="20"/>
        </w:rPr>
        <w:t xml:space="preserve">review proceedings before the USPTO. Our competitors or other third parties may assert infringement claims against us based on existing patents or patents that may be granted in the future and claims may also come from competitors or other third parties against whom our own patent portfolio may have no deterrent effect. The outcome of intellectual property litigation is subject to uncertainties that cannot be adequately quantified in advance. Other parties may allege that our drug candidates or the use of our technologies infringe patent claims or other intellectual property rights held by them or that we are employing their proprietary technology without authorization.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we continue to develop and, if approved, commercialize our current and future drug candidates, competitors or other third parties may claim that our technology infringes, misappropriates or otherwise violates their intellectual property rights. There are and may in the future be additional U.S. and foreign-issued patents and pending patent applications owned by third parties in the fields in which we are pursuing drug candidates. For example, we are aware of a patent owned by a third party with a claim that covers many potential targeted protein degraders. This patent may be alleged to cover one or more of our targeted protein degrader drug candidates, including our NX-2127 and NX-5948 drug candidates. While we believe that we have valid defenses against any assertion of such patent against us, such defenses may be unsuccessful. If we are unsuccessful and any of our targeted protein degrader drug candidates is found to infringe this patent, we could be required to obtain a license to such patent or forced to permanently cease developing, manufacturing, marketing and commercializing the infringing targeted protein degrader drug candidate. We may not be able to obtain any required license on commercially reasonable terms or at all, and even if we were able to obtain a license, it could be non-exclusive, thereby giving the licensor and other third parties the right to use the same technologies licensed to us, and it could require us to make substantial licensing, royalty and other payments. We also could be forced, including by court order, to permanently cease developing, manufacturing, marketing and commercializing the drug candidate. In addition, we could be found liable for significant monetary damages, including treble damages and attorneys’ fees, if we are found to have willingly infringed any such patent. Even if we were ultimately to prevail, any litigation could require us to divert substantial financial and management resources that we would otherwise be able to devote to our business.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as the biotechnology and pharmaceutical industries expand and more patents are issued, the risk increases that our drug candidates may give rise to claims of infringement of the patent rights of others. There may be third-party patents of which we are currently unaware with claims to materials, formulations, methods of manufacture or methods for treatment related to the use or manufacture of our drug candidates or we may incorrectly conclude that a third-party patent is invalid, unenforceable or not infringed by our activities. Because patent applications can take many years to issue, there may be currently pending patent applications that may later result in issued patents that our drug candidates may infringe. In addition, third parties may obtain patents in the future and claim that use of our technologies infringes upon these patents.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Patent and other types of the intellectual property litigation can involve complex factual and legal questions, and their outcome is uncertain. If we are found, or believe there is a risk we may be found, by a court of competent jurisdiction to infringe, misappropriate or otherwise violate a third party’s intellectual property rights, we could be required or may choose to obtain a license from such third party to continue developing and marketing our products and technology. However, we may not be able to obtain any such license on commercially reasonable terms or at all. Even if we were able to obtain a license, it could be non-exclusive, thereby giving our competitors and other third parties access to the same technologies licensed to us, and it could require us to make substantial licensing, royalty or other payments. Without such a license, we could be forced, including by court order, to cease using, producing or commercializing the infringing technology or drug candidate. In addition, we could be found liable for monetary damages, which could be significant, including treble damages and attorneys’ fees if we are found to have willfully infringed a patent or other intellectual property right. A finding of infringement could prevent us from producing or commercializing our drug candidates or future drug candidates or force us to cease some of our business operations, which could materially harm our business. Alternatively, we may need to redesign our infringing products, which may be impossible or require substantial time and monetary expenditure, including due to any additional or separate regulatory approval to which the redesigned products may be subject by regulatory authorities. If we lose a foreign patent lawsuit alleging our infringement of a competitor’s patents, we could be prevented from marketing our therapeutics in one or more foreign countries and/or be required to pay monetary damages for infringement or royalties in order to continue marketing. Claims that we have misappropriated the confidential information, trade secrets or other intellectual property of third parties could have a similar negative impact on our business. Any of these outcomes would have a material adverse effect on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885"/>
                <wp:effectExtent l="0" t="0" r="0" b="0"/>
                <wp:wrapNone/>
                <wp:docPr id="56" name="Frame5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we do not know which processes we will use for commercial manufacture of our future products, or which technologies owned or controlled by third parties may prove important or essential to those processes. Many companies have filed, and continue to file, patent applications related to novel protein modulation therapies that target disease-causing proteins and many companies have filed and continue to file patent applications related to ACT. Some of these patent applications have already been allowed or issued and others may issue in the future. Because this area is competitive and of strong interest to pharmaceutical and biotechnology companies, there likely will be additional patent applications filed and additional patents granted in the future, as well as additional research and development programs expected in the future. Furthermore, because patent applications can take many years to issue, may be confidential for 18 months or more after filing and can be revised before issuance, there may be applications now pending that we are not aware of that may later result in issued patents that may be infringed by the manufacture, use, sale or importation of our drug candidates or future products. If a patent holder believes the manufacture, use, sale, offer for sale or importation of one of our drug candidates or future products infringes its patent, the patent holder may sue us even if we have licensed other patent protection for our technology. Moreover, we may face patent infringement claims from non-practicing entities that have no relevant product revenue and against whom our licensed patent portfolio may therefore have no deterrent effect.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 is also possible that we have failed to identify all relevant third-party patents or applications.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importation or use of a current or future drug candidate, or we may incorrectly conclude that a third-party patent is invalid, unenforceable or not infringed by our activities. Additionally, pending patent applications that have been published can, subject to certain limitations, later be amended in a manner that could cover our technologies, our future products or the manufacture or use of our future products.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drug candidates or future drug candidates or manufacture or methods of use, we would need to overcome a statutory presumption of validity that attaches to every U.S. patent. This burden is a high one and in order to prevail, we would have to present clear and convincing evidence as to the invalidity of the patent’s claims. Even if we believe third-party intellectual property claims are without merit, there is no assurance that a court would find in our favor on questions of infringement, validity or enforceability by invalidating the claims of any such U.S. patent or finding that our drug candidates or technology did not infringe any such claims.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resolved in our favor, litigation or other legal proceedings relating to intellectual property claims may be time-consuming, cause us to incur significant expenses and could distract our technical and management personnel from their normal responsibilities and ongoing business operations. If we are unable to avoid infringing the patent rights of others, we may be required to seek a license, defend an infringement action or challenge the validity of the patents in court, or redesign our future products or processes.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Unlike some of our larger competitors and other third parties, we may not have sufficient financial or other resources to conduct such litigation or proceedings adequately. Furthermore, because of the substantial amount of discovery required in connection with intellectual property litigation or administrative proceedings, there is a risk that some of our confidential information could be compromised by disclosure. Uncertainties resulting from the litigation of patent litigation and other proceedings could delay our research and development efforts, adversely affect our ability to raise additional funds and could limit our ability to continue our operations. Any of the foregoing could have a material adverse effect on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885"/>
                <wp:effectExtent l="0" t="0" r="0" b="0"/>
                <wp:wrapNone/>
                <wp:docPr id="57" name="Frame5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may be subject to claims by third parties asserting that we or our employees, consultants, contractors or advisors have misappropriated, wrongfully used or disclosed alleged trade secrets or other intellectual property, or claiming ownership of what we regard as our own intellectual property.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employ individuals who were previously employed at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consultants and advisors do not improperly use the proprietary information or know-how of others in their work for us, we may be subject to claims that these individuals or we have inadvertently or otherwise improperly used or disclosed intellectual property, including trade secrets or other proprietary information, of any such individual’s former employer. We also may in the future be subject to claims that we have caused such individual to breach the terms of his or her non-competition or non-solicitation agreement or from former employers or other third parties claiming to have an ownership interest in our patents or other intellectual property.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drug candidates, which would have a material adverse effect on our business, results of operations, financial condition and prospects. Even if we are successful, litigation could result in substantial cost and reputational loss and be a distraction to our management and other employees.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although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Moreover, even when we obtain agreements assigning intellectual property to us, such assignment agreements may not be self-executing or may be breached, and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In addition, we or our licensors may in the future be subject to claims by former employees, consultants or other third parties asserting an ownership right in our owned or licensed patents or patent applications. An adverse determination in any such litigation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drug candidates. Such challenges may also result in our inability to develop, manufacture or commercialize our drug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drug candidates. Any of the foregoing could have a material adverse effect on our business, financial condition, results of operations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885"/>
                <wp:effectExtent l="0" t="0" r="0" b="0"/>
                <wp:wrapNone/>
                <wp:docPr id="58" name="Frame5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may become involved in lawsuits to protect or enforce our patents, the patents of our licensors, or other intellectual property, which could be expensive, time-consuming and unsuccessful. </w:t>
      </w:r>
    </w:p>
    <w:p>
      <w:pPr>
        <w:pStyle w:val="TextBody"/>
        <w:bidi w:val="0"/>
        <w:spacing w:lineRule="auto" w:line="276" w:before="120" w:after="283"/>
        <w:ind w:left="0" w:right="0" w:firstLine="720"/>
        <w:jc w:val="left"/>
        <w:rPr/>
      </w:pPr>
      <w:r>
        <w:rPr>
          <w:rFonts w:ascii="Times New Roman;sans-serif" w:hAnsi="Times New Roman;sans-serif"/>
          <w:b w:val="false"/>
          <w:color w:val="000000"/>
          <w:sz w:val="20"/>
        </w:rPr>
        <w:t xml:space="preserve">Competitors or other third parties may infringe our patents, the patents of our licensors or other intellectual property. To counter infringement or unauthorized use, we may be required to file infringement claims, which, regardless of merit, can be expensive, time-consuming, unpredictable and divert the time and attention of our management and scientific personnel. Any claims we assert against perceived infringers could provoke those parties to assert counterclaims against us alleging that we infringe their patents or other intellectual property. In addition, in a patent infringement proceeding, a court may decide that a patent of ours or our licensors is invalid or unenforceable, in whole or in part, construe the patent’s claims narrowly or refuse to stop the other party from using the technology at issue on the grounds that our patents do not cover the technology in question.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Times New Roman;sans-serif" w:hAnsi="Times New Roman;sans-serif"/>
          <w:b w:val="false"/>
          <w:i/>
          <w:color w:val="000000"/>
          <w:sz w:val="20"/>
        </w:rPr>
        <w:t xml:space="preserve">inter partes </w:t>
      </w:r>
      <w:r>
        <w:rPr>
          <w:rFonts w:ascii="Times New Roman;sans-serif" w:hAnsi="Times New Roman;sans-serif"/>
          <w:b w:val="false"/>
          <w:color w:val="000000"/>
          <w:sz w:val="20"/>
        </w:rPr>
        <w:t xml:space="preserve">review, interference proceedings, derivation proceedings and equivalent proceedings in foreign jurisdictions. Such proceedings could result in the revocation or cancellation of or amendment to our patents in such a way that they no longer cover our drug candidates or prevent third parties from competing with our drug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 protection on our drug candidates. An adverse result in any litigation or proceeding involving our patents or patent applications may put one or more of our patents at risk of being invalidated, held unenforceable or interpreted narrowly.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we successfully assert our patents or other intellectual property rights, a court may not award remedies that sufficiently compensate us for our losses. The impact of public announcements of the results of hearings related to such awards on the price of our common stock may be uncertain. If securities analysts or investors perceive such results to be negative, it could have a substantial adverse effect on the price of our common stock. Moreover, there can be no assurance that we will have sufficient financial or other resources to file and pursue such infringement claims, which typically last for years before they are concluded. Some of our competitors or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for significant periods of time during such litigation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material adverse effect on our business, financial condition, results of operations and prospects.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may not be able to pursue or guarantee protection of our intellectual property rights in jurisdictions outside the United States.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Filing, prosecuting and defending patents on drug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and drug candidates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 Competitors or other third parties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drug candidates and our patents or other intellectual property rights may not be effective or sufficient to prevent them from competing.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885"/>
                <wp:effectExtent l="0" t="0" r="0" b="0"/>
                <wp:wrapNone/>
                <wp:docPr id="59" name="Frame5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companies have encountered significant problems in protecting and defending intellectual property rights in foreign jurisdictions. The legal systems of certain countries, particularly certain developing countries, may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Obtaining and maintaining our patent protection depends on compliance with various procedural, documentary, fee payment and other requirements imposed by governmental patent offices, and our patent protection could be reduced or eliminated for non-compliance with these requirements.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Periodic maintenance, renewal and annuity fees and various other government fees on any issued patent are due to be paid to the USPTO and patent offices in foreign countries in several stages over the lifetime of the patent. The USPTO and patent offices in various foreign countries require compliance with a number of procedural, documentary, fee payment and other similar requirements during the patent application process and throughout the life of a granted patent.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or other third parties might be able to enter the market, which would have a material adverse effect on our business.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we are unable to protect the confidentiality of our trade secrets, our business and competitive position would be harmed.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seeking patents for some of our technology and drug candidates, we also rely on trade secrets, including unpatented know-how, technology and other proprietary information, and confidentiality agreements to maintain our competitive position. However, trade secrets can be difficult to protect. We seek to protect our trade secrets, proprietary technology and processes,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Monitoring unauthorized uses and disclosures of our intellectual property is difficult, and we do not know whether the steps we have taken to protect our intellectual property will be effective.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expensive, time-consuming and difficult to prove and the outcome is unpredictable. In addition, some courts inside and outside of the United States may be less willing or unwilling to protect trade secrets. As a result, we could lose our trade secrets and third parties could use our trade secrets to compete with our drug candidates and technology.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guarantee that we have entered into such agreements with each party that may have or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885"/>
                <wp:effectExtent l="0" t="0" r="0" b="0"/>
                <wp:wrapNone/>
                <wp:docPr id="60" name="Frame6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our competitors or other third parties may independently develop knowledge, methods and know-how equivalent to our trade secrets. If any of our trade secrets were to be lawfully obtained or independently developed by a competitor or other third parties, we would have no right to prevent them, or those to whom they communicate it, from using that technology or information to compete with us. If any of our trade secrets were to be disclosed to or independently developed by a competitor or other third parties, our competitive position would be harmed.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Intellectual property rights do not necessarily address all potential threats.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others may be able to make products that are similar to any drug candidates we may develop or utilize similar technology but that are not covered by the claims of the patents that we own or license now or in the future, or may develop drug candidates for the diseases our drug candidates seek to treat that do not infringe on our intellectual property rights, but which perform better or are more successful than our drug candidates;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drug candidates utilizing issued patents and other intellectual property that we hold may prove to be ineffective for their intended treatment or we may not obtain regulatory approval for such drug candidates;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we, or our current or future license partners or collaborators, might not have been the first to make the inventions covered by the issued patent or pending patent application that we own or license now or in the future;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we, or our current or future license partners or collaborators, might not have been the first to file patent applications covering certain of our or their inventions;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others may independently develop similar or alternative technologies or duplicate any of our technologies without infringing our owned or licensed intellectual property rights;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it is possible that our pending owned patent applications or those that we may own or license in the future will not lead to issued patents;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issued patents that we may hold rights to in the future may be held invalid or unenforceable, including as a result of legal challenges by our competitors;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we may not develop additional proprietary technologies that are patentable; and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we may choose not to file a patent in order to maintain certain trade secrets or know-how, and a third party may subsequently file a patent covering such intellectual property.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Should any of these events occur, they could have a material adverse effect on our business, financial condition,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Regulatory Approval and Marketing of Our Drug Candidates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The regulatory approval process of the FDA and other national or European regulators is lengthy, time-consuming and inherently unpredictable, and if we are ultimately unable to obtain marketing approval for our drug candidates, our business will be substantially harmed.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time required to obtain approval by the FDA and other national or European regulators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among jurisdictions. We have not obtained marketing approval for any drug candidate and it is possible that none of our existing drug candidates, or any drug candidates we may seek to develop in the future, will ever obtain marketing approval.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drug candidates could be delayed or fail to receive marketing approval for many reasons, including the following: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FDA may disagree with our interpretation of data from preclinical studies or clinical trials;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FDA may disagree with the design or implementation of our planned clinical trials;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885"/>
                <wp:effectExtent l="0" t="0" r="0" b="0"/>
                <wp:wrapNone/>
                <wp:docPr id="61" name="Frame6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data collected from clinical trials of our drug candidates may not be sufficient to support the submission of an NDA to the FDA or other submissions necessary to obtain marketing approval in the United States;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we may be unable to demonstrate to the satisfaction of the FDA that a drug candidate is safe and effective for its proposed indication;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results of clinical trials may not meet the level of statistical significance required by the FDA for approval;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we may be unable to demonstrate that our drug candidates’ clinical and other benefits outweigh their safety risks;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FDA may find deficiencies with or fail to approve the manufacturing processes or facilities of third-party manufacturers with which we contract for clinical and commercial supplies; and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approval policies or regulations of the FDA may significantly change in a manner rendering our clinical data insufficient for approval.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lengthy approval process, as well as the unpredictability of future clinical trial results, may result in our failing to obtain regulatory approval to market any of our drug candidates, which would significantly harm our business, results of operations, financial condition and prospects. The FDA has substantial discretion in the approval process, and in determining when or whether regulatory approval will be obtained for any of our drug candidates. Even if we believe the data collected from clinical trials of our drug candidates are promising, such data may not be sufficient to support approval by the FDA.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even if we were to obtain approval, regulatory authorities may approve any of our drug candidates for fewer or more limited indications than we request, or they may impose significant limitations in the form of narrow indications, warnings or a risk evaluation and mitigation strategy (REMS). In addition, regulatory authorities may not approve the price we intend to charge for our products, may require precautions or contra-indications with respect to conditions of use,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submit an NDA for our drug candidates under the Accelerated Approval pathway. If we are unable to obtain approval of our drug candidates through the Accelerated Approval Program in the United States, we may be required to conduct additional nonclinical and clinical studies and trials beyond those that we currently contemplate, which could increase the expense of obtaining, reduce the likelihood of obtaining and/or delay the timing of obtaining, necessary marketing approval. Even if we receive approval from the FDA through the Accelerated Approval Program, if our confirmatory postmarketing trial does not verify clinical benefit, or if we do not comply with rigorous postmarketing requirements, the FDA may seek to withdraw the approval.</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submit an NDA for one or more of our drug candidates seeking approval through the Accelerated Approval Pathway. For any approval to market a drug product, we must provide the FDA and foreign regulatory agencies with clinical data that adequately demonstrate the safety and efficacy of the product for the indication applied for in the NDA or other respective regulatory filings. The Accelerated Approval Program is one of several approaches used by the FDA to make prescription drugs more rapidly available for the treatment of serious or life-threatening diseases. Section 506(c) of the Federal Food, Drug and Cosmetic Act (FDCA) provides that the FDA may grant Accelerated Approval to “a product for a serious or life-threatening condition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Approval through the Accelerated Approval Program is subject, however, to the requirement that the applicant conduct additional postmarketing clinical trials to verify and describe the drug’s clinical benefit, where there is uncertainty as to the relationship of the surrogate endpoint to the clinical benefit, or of the observed clinical endpoint to ultimate outcome. Typically, clinical benefit is verified when postmarketing clinical trials show that the drug provides a clinically meaningful positive therapeutic effect, that is, an effect on how a patient feels, functions, or survives. The FDA may require that these studies be underway prior to Accelerated Approval pursuant to the Food and Drug Omnibus Reform Act of 2022. If such confirmatory trials fail to confirm the drug’s clinical profile or risks and benefits, the FDA may withdraw its approval of the drug.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885"/>
                <wp:effectExtent l="0" t="0" r="0" b="0"/>
                <wp:wrapNone/>
                <wp:docPr id="62" name="Frame6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FDA has broad discretion with regard to approval through the Accelerated Approval Program, and even if we believe that the Accelerated Approval Program is appropriate for one of our drug candidates, we cannot assure you that the FDA will ultimately agree. The FDA may also change its policies with respect to Accelerated Approval over time. For example, in March 2023, the FDA announced the availability of draft guidance on “Clinical Trial Considerations to Support Accelerated Approval of Oncology Therapeutics,” in which the agency outlined, and invited public comment on, its “preferred approach” of randomized controlled trials, including those that provide for longer term follow-up that could fulfill a postmarketing requirement to verify clinical benefit. In that draft guidance, the FDA acknowledged that historically, single-arm trial designs and response endpoints have most commonly been used in oncology, but noted that such trials have limitations. Furthermore, even if we do obtain approval through the Accelerated Approval Program, we may not experience a faster development process, review or approval compared to conventional FDA procedures.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Even if the FDA reviews an NDA seeking Accelerated Approval, there can be no assurance that approval will be granted on a timely basis, or at all. The FDA may disagree that the design of, or results from, our studies support Accelerated Approval. Additionally, the FDA could require us to conduct further studies or trials prior to granting approval of any type, including by determining that approval through the Accelerated Approval Program is not appropriate and that our clinical trials may not be used to support approval through the conventional pathway. We might not be able to fulfill the FDA’s requirements in a timely manner, which would cause delays, or approval might not be granted because our submission is deemed incomplete by the FDA. There also can be no assurance that after subsequent FDA feedback we will continue to pursue approval through the Accelerated Approval Program. A failure to obtain approval through the Accelerated Approval Program could result in a longer time period to obtain approval of our drug candidates, could increase the cost of their development, could delay our ability to commercialize our products and could significantly harm our financial position and competitive position in the marketplace.</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Even if we receive approval for one or more of our drug candidates through the Accelerated Approval Program, we will be subject to rigorous postmarketing requirements, including the completion of one or more confirmatory postmarketing trials as the FDA may require, to verify the clinical benefit of the product, and submission to the FDA of all promotional materials prior to their dissemination. The FDA could seek to withdraw the approval for multiple reasons, including if we fail to conduct any required confirmatory postmarketing trial with due diligence, our confirmatory postmarketing trial does not confirm the predicted clinical benefit, other evidence shows that the product is not safe or effective under the conditions of use, or we disseminate promotional materials that are found by the FDA to be false and misleading.</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Moreover, Congress is considering potential changes to the Accelerated Approval Program that could impact our ability to obtain Accelerated Approval, or increase the burdens associated with postmarketing requirements in the event we do obtain Accelerated Approval. In particular, the FDA must specify certain conditions for required postapproval studies for products that receive Accelerated Approval, which may include enrollment targets and milestones, including the target date for study completion, by the time the drug is approved. The FDA may also require postapproval studies to be underway at the time of Accelerated Approval or within a specified time period following Accelerated Approval for such drugs, and must explain any instances where it does not require such studies.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delay in obtaining, or inability to obtain, approval through the Accelerated Approval Program, or any issues in maintaining approval granted under the Accelerated Approval Program, would delay or prevent commercialization of our products, and would materially adversely affect our business, financial condition, results of operations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as a company, have limited experience in filing for and obtaining regulatory approval to initiate a clinical trial and we do not have experience completing any clinical trials, including large-scale, pivotal clinical trials or in manufacturing or in quality assurance in order to market a new drug in the United States or in any other jurisdiction.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company, we have limited experience in filing for or obtaining regulatory approval to initiate clinical trials, we do not have experience completing any clinical trials, including large-scale, pivotal clinical trials and we rely on third parties to conduct our clinical trials. We also do not have experience in manufacturing or in quality assurance in order to market a new drug and expect to rely on CROs or other third-party consultants or vendors to assist us in this process. Our inexperience may result in failure to or delays in obtaining the required regulatory approvals to initiate clinical trials, to successfully complete clinical trials and to obtain marketing approval for our drug candidates. If we are unable to obtain regulatory and marketing approval for our drug candidates or experience significant delays in our efforts to do so, our business could be substantially harmed.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885"/>
                <wp:effectExtent l="0" t="0" r="0" b="0"/>
                <wp:wrapNone/>
                <wp:docPr id="63" name="Frame6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Failure to obtain marketing approval in foreign jurisdictions would prevent our drug candidates from being marketed abroad and may limit our ability to generate revenue from product sales.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market and sell our drug candidates in jurisdictions outside the United States, we must obtain separate marketing approvals and comply with numerous and varying regulatory requirements. The approval procedure varies among countries and can involve additional testing. The time required to obtain approvals from foreign regulatory authorities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on a timely basis or non-compliance with foreign regulatory requirements could result in significant delays, difficulties and costs for us and could delay or prevent the introduction of our drug candidates in certain countries.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jurisdiction, which would materially impair our ability to generate revenue. </w:t>
      </w:r>
    </w:p>
    <w:p>
      <w:pPr>
        <w:pStyle w:val="TextBody"/>
        <w:bidi w:val="0"/>
        <w:spacing w:lineRule="auto" w:line="276" w:before="120" w:after="283"/>
        <w:ind w:left="0" w:right="0" w:firstLine="720"/>
        <w:jc w:val="left"/>
        <w:rPr/>
      </w:pPr>
      <w:r>
        <w:rPr>
          <w:rFonts w:ascii="Times New Roman;sans-serif" w:hAnsi="Times New Roman;sans-serif"/>
          <w:b w:val="false"/>
          <w:color w:val="000000"/>
          <w:sz w:val="20"/>
        </w:rPr>
        <w:t xml:space="preserve">The UK’s exit from the EU continues to create political and economic uncertainty, particularly in the UK and the EU. The UK is now being treated as a ‘third country’ by the EU. Although UK legislation has retained existing EU law, new UK legislation is being drafted and the UK has not retained new EU law, including the Clinical Trials Regulation (EU) No 536/2014. This means that some regulatory activities, such as batch testing and Qualified Person certification, conducted in Great Britain are no longer recognized in the EU; although the UK accepts the batch testing data carried out in many third countries with recognized equivalent high standards to avoid delays and supply disruption due to re-testing. However, the UK and EU have concluded a Trade and Cooperation Agreement (TCA), which has been approved by the UK Parliament, European Council and European Parliament and has limited the disruption to the supply of medicines, particularly by enabling tariff and quota-free trade between the UK and the EU (provided that the rules of origin requirements are met), and has streamlined some issues, for example by enabling mutual recognition of cGMP inspections and certificates. The regulatory framework for medicines that existed before the end of the transition period has also effectively been preserved in UK domestic legislation as ‘retained EU law.’ By retaining a snapshot of EU legislation at its core, the UK has prevented substantial divergence in the regulation of medicines (although divergence has appeared in some areas). However, some changes to the UK legislation have been immediately necessary, including the implementation of the Northern Ireland Protocol (NIP), pursuant to which, the EU pharmaceutical legal framework acquis continues to apply in Northern Ireland (subject to periodic consent of the Northern Ireland Legislative Assembly), and only products compliant with EU law can be placed in the Northern Ireland market—adding an extra layer of regulatory complexity. As a result, companies now need to comply with a separate UK regulatory legal framework in order to commercialize medicinal products in Great Britain (namely, England, Wales and Scotland, as EU law continues to apply in Northern Ireland). The UK government has attempted to renegotiate fundamental aspects of the NIP so this is an unpredictable area for companies in the near future. Failed attempts to renegotiate the NIP have led to media reports of the UK potentially triggering Article 16 of the NIP, a safeguarding measure, that may be engaged unilaterally if the application of the NIP leads to serious economic, societal or environmental difficulties that are liable to persist, or to diversion of trade. The UK government has introduced the Northern Ireland Protocol Bill which, if enacted into law, would enable the government to unilaterally disapply parts of the NIP which may lead to changes to the regulatory environment in Northern Ireland, and may trigger retaliatory measures against the UK by the EU. The UK government recently reached a new agreement in principle with the EU, the “Windsor Framework” which aims to replace the Northern Ireland protocol. If the Windsor Framework becomes law, the same medicines, in the same packs, with the same labels, will be available across the UK. Medicinal products placed on the market in Northern Ireland will be authorized by the MHRA (the UK regulatory authority) and would not need to be compliant with EU law any longer. </w:t>
      </w:r>
      <w:r>
        <w:rPr>
          <w:rFonts w:ascii="Times New Roman;sans-serif" w:hAnsi="Times New Roman;sans-serif"/>
          <w:b w:val="false"/>
          <w:color w:val="000000"/>
          <w:sz w:val="20"/>
          <w:shd w:fill="FFFFFF" w:val="clear"/>
        </w:rPr>
        <w:t xml:space="preserve">The TCA allows for future deviation from the current regulatory framework and it is not known if and/or when any deviations may occur, which may have an impact on development, manufacture, </w:t>
      </w:r>
      <w:r>
        <w:rPr>
          <w:rFonts w:ascii="Times New Roman;sans-serif" w:hAnsi="Times New Roman;sans-serif"/>
          <w:b w:val="false"/>
          <w:color w:val="000000"/>
          <w:sz w:val="20"/>
        </w:rPr>
        <w:t xml:space="preserve">marketing authorization, commercial sales and distribution of pharmaceutical products. It is also important to note that obtaining a marketing authorization is not sufficient to gain effective access to the market in the EU and in the UK; companies still need to agree to a reimbursement price for the products and in some jurisdictions, such as the UK and Germany, a further positive recommendation from health technology on cost-effectiveness is required for the products to be actually prescribed and reimbursed by the respective national health systems (see “—Governments outside of the United States tend to impose strict price controls, which may adversely affect our revenues from the sales of drugs,” below). If we fail to comply with the regulatory requirements in international markets and thus do not receive applicable marketing approvals, our target market will be reduced, our ability to realize the full market potential of our drug candidates will be harmed and our business will be adversely affected. We may not obtain foreign regulatory approvals on a timely basis, or at all. Our failure to obtain approval of any of our drug candidates by regulatory authorities in another country may significantly diminish the commercial prospects of that drug candidate and our business prospects could decline.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885"/>
                <wp:effectExtent l="0" t="0" r="0" b="0"/>
                <wp:wrapNone/>
                <wp:docPr id="64" name="Frame6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Even if we, or any collaborators, obtain marketing approvals for our drug candidates, the terms of approvals and ongoing regulation of our products may limit how we, or they, manufacture and market our products, which could materially impair our ability to generate revenue.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Once marketing approval has been granted, an approved product and its manufacturer and marketer are subject to ongoing review and extensive regulation. We, and any collaborators, must therefore comply with requirements concerning advertising and promotion for any of our drug candidates for which we or they obtain marketing approval. Promotional communications with respect to prescription drugs are subject to a variety of legal and regulatory restrictions and must be consistent with the information in the product’s approved labeling. Thus, we, and any collaborators, will not be able to promote any products we develop for indications or uses for which they are not approved.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manufacturers of approved products and those manufacturers’ facilities are required to comply with extensive FDA, EMA, MHRA and other regulatory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third-party manufacturers, and any collaborators and their third-party manufacturers could be subject to periodic unannounced inspections by the FDA and other regulatory agencies to monitor and ensure compliance with cGMPs.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assuming we, or any collaborators, receive marketing approval for one or more of our drug candidates, we, any collaborators, and our respective third-party manufacturers will continue to expend time, money and effort in all areas of regulatory compliance, including manufacturing, production, product surveillance and quality control.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and any collaborators, are not able to comply with post-approval regulatory requirements, we, and any collaborators, could have the marketing approvals for our products withdrawn by regulatory authorities and our, or any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Any drug candidate for which we, or any collaborators, obtain marketing approval could be subject to post-marketing restrictions or withdrawal from the market and we, or any collaborators, may be subject to substantial penalties if we, or they, fail to comply with regulatory requirements or if we, or they, experience unanticipated problems with our products when and if any of them are approved.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drug candidate for which we, or any collaborators, obtain marketing approval, as well as the manufacturing processes, post-approval clinical data, labeling, advertising and promotional activities for such product, will be subject to continual requirements of and review by the FDA, EMA, the MHRA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tracking and tracing, serialization, postmarket adverse event reporting and recordkeeping. Even if marketing approval of a drug candidate is granted, the approval may be subject to limitations on the indicated uses for which the product may be marketed or to the conditions of approval, including the requirement to implement REMS. New cancer drugs frequently are indicated only for patient populations that have not responded to an existing therapy or have relapsed. If any of our drug candidates receive marketing approval, the accompanying label may limit the approved use of our drug in this way, which could limit sales of the product.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 of our drug candidates must be conducted in carefully defined subsets of patients who have agreed to enter into clinical trials. Consequently, it is possible that our clinical trials, or those of any future collaborator, may indicate an apparent positive effect of a drug candidate that is greater than the actual positive effect, if any, or alternatively fail to identify undesirable side effects. If one or more of our drug candidates receives marketing approval and we, or others, discover that the drug is less effective than previously believed or causes undesirable side effects that were not previously identified, a number of potentially significant negative consequences could result, including:</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regulatory authorities may withdraw their approval of the drug or seize the drug;</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we, or any future collaborators, may be required to recall the drug, change the way the drug is administered or conduct additional clinical trials;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additional restrictions may be imposed on the marketing of, or the manufacturing processes for, the particular drug;</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we may be subject to fines, injunctions or the imposition of civil or criminal penalties;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regulatory authorities may require the addition of labeling statements, such as a “black box” warning or a contraindication;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885"/>
                <wp:effectExtent l="0" t="0" r="0" b="0"/>
                <wp:wrapNone/>
                <wp:docPr id="65" name="Frame6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we, or any future collaborators, may be required to create a Medication Guide outlining the risks of the previously unidentified side effects for distribution to patients;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we, or any future collaborators, could be sued and held liable for harm caused to patients;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drug may become less competitive in the marketplace; and</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our reputation may suffer.</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events could have a material and adverse effect on our operations and business and could adversely impact our stock price.</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FDA also may impose requirements for costly post-marketing studies or clinical trials and surveillance to monitor the safety or efficacy of the product, including the adoption and implementation of REMS. The FDA and other agencies, including the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only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 Other jurisdictions, including European countries, have similar provisions which may lead to investigations and enforcement actions by national authorities.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later discovery of previously unknown side effects or other problems with our products or their manufacturers or manufacturing processes, or failure to comply with regulatory requirements, may yield various results, including: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restrictions on such products, manufacturers or manufacturing processes;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restrictions and warnings on the labeling or marketing of a product;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restrictions on product distribution or use;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requirements to conduct post-marketing studies or clinical trials;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warning letters or untitled letters;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withdrawal of the products from the market;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refusal to approve pending applications or supplements to approved applications that we submit;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recall of products;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fines, restitution or disgorgement of profits or revenues;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suspension or withdrawal of marketing approvals;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suspension of any ongoing clinical trials;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damage to relationships with any potential collaborators;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unfavorable press coverage and damage to our reputation;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refusal to permit the import or export of our products;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product seizure;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injunctions or the imposition of civil or criminal penalties; or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litigation involving patients using our products.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Non-compliance with EU and UK requirements regarding safety monitoring or pharmacovigilance, and with requirements related to the development of products for the pediatric population (as explained further under “—If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 below), also can result in significant financial penalties, and non-compliance with pediatric requirements may prevent regulatory approvals from being granted. Similarly, failure to comply with the EU and UK’s requirements regarding the protection of personal information can lead to significant penalties and sanctions.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885"/>
                <wp:effectExtent l="0" t="0" r="0" b="0"/>
                <wp:wrapNone/>
                <wp:docPr id="66" name="Frame6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manufacturers of approved products and those manufacturers’ facilities are required to comply with extensive FDA requirements, including ensuring that quality control and manufacturing procedures conform to cGMPs applicable to drug manufacturers which include requirements relating to quality control and quality assurance, as well as the corresponding maintenance of records and documentation and reporting requirements. We, any contract manufacturers we may engage in the future, our collaborators and their contract manufacturers also will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decide to seek Orphan Drug Designation or other designations from regulators for any of our current or future drug candidates, we may be unsuccessful or may be unable to maintain the benefits associated with these designations, including the potential for supplemental market exclusivity associated with an Orphan Drug Designation.</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seek Orphan Drug Designation or other designations from regulators for one or more of our current or future drug candidates. Regulatory authorities in some jurisdictions, including the United States, EU and European Economic Area (EEA), Switzerland and the UK, may designate drugs or biological products for relatively small patient populations as orphan drugs. Under the Orphan Drug Act, the FDA may grant orphan designation to a drug or biological product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or biological product. In the United States, Orphan Drug Designation entitles a party to financial incentives such as opportunities for grant funding towards clinical trial costs, tax advantages and user-fee waivers. After the FDA grants Orphan Drug Designation, the identity of the drug or biological product and its potential orphan use are disclosed publicly by the FDA. Orphan Drug Designation does not convey any advantage in, or shorten the duration of, the regulatory review process.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 product that has Orphan Drug Designation subsequently receives the first FDA approval for the disease for which it has such designation, the product is entitled to orphan product exclusivity, which means that the FDA may not approve any other applications, including an NDA or BLA, to market the same drug or biological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biological product was designated. As a result, even if one of our drug candidates receives orphan exclusivity, the FDA can still approve or license other drugs or biological products for use in treating the same indication or disease. Further, the FDA can waive orphan exclusivity if we are unable to manufacture sufficient supply of our product.</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Congress is considering updates to the orphan drug provisions of the FDCA in response to a recent decision by the U.S. Court of Appeals for the Eleventh Circuit. Any changes to the orphan drug provisions could change our opportunities for, or likelihood of success in obtaining, orphan drug exclusivity and would materially adversely affect our business, results of operations, financial condition and prospects.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seek Orphan Drug Designation for our drug candidates in additional orphan indications in which there is a medically plausible basis for the use of these drug candidates. Even when we obtain Orphan Drug Designation, exclusive marketing rights in the United States may be limited if we seek licensure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may seek Orphan Drug Designation for other drug candidates, we may never receive these designations.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obtain orphan designation in the EEA, the product must fulfill certain criteria. Under Article 3 of Regulation (EC) 141/2000, a medicinal product may be designated as an orphan medicinal product if it meets the following criteria: (1) it is intended for the diagnosis, prevention or treatment of a life-threatening or chronically debilitating condition;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885"/>
                <wp:effectExtent l="0" t="0" r="0" b="0"/>
                <wp:wrapNone/>
                <wp:docPr id="67" name="Frame6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Products receiving orphan designation in the EU may receive 10 years of orphan market exclusivity (which can be further extended by two years if pediatric studies have been conducted in accordance with an agreed pediatric investigational plan). Applications must first satisfy the orphan designation criteria and apply for orphan designation before making the application for marketing authorization. The applicant must then successfully maintain the orphan designation at the time of the MAA in order to qualify for 10 years of orphan market exclusivity. During this 10-year period, the competent authorities of the EU Member States and European Commission may not accept applications or grant marketing authorization for other similar medicinal products for the same orphan therapeutic indication. The protection afforded by orphan market exclusivity in the EU may, in some circumstances, be circumvented by competitor products which are demonstrated not to be ‘similar’ or which are authorized for different therapeutic indications. There may be a risk that products may be prescribed ‘off-label’ for the orphan therapeutic indication by healthcare professions in some EU Member States.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also three exceptions to the orphan market exclusivity principle. Marketing authorization may be granted to a similar medicinal product for the same orphan therapeutic indication if: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second applicant can establish in its application that its medicinal product, although similar to the orphan medicinal product already authorized, is safer, more effective or otherwise clinically superior;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holder of the marketing authorization for the original orphan medicinal product consents to a second orphan medicinal product application; or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holder of the marketing authorization for the original orphan medicinal product cannot supply sufficient quantities of orphan medicinal product.</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 orphan product can also obtain an additional two years of orphan market exclusivity in the EU if the MAA contains the results of all pediatric studies conducted in accordance with and agreed pediatric investigation plan. 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UK’s regulatory legal framework provides for similar periods of protection (namely regulatory data protection, marketing protection and market exclusivity).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It is important to note that the regulatory protection afforded to medicinal products such as data exclusivity, marketing protection, market exclusivity for orphan indications and pediatric extension are currently under review at the EU level. It is expected that the protection currently afforded in the EU will be reduced in the years to come. On April 26, 2023, the European Commission adopted a proposal for a new Directive and a new Regulation. If enacted into law, this proposal will revise and replace the existing general pharmaceutical legislation and will affect the existing period of regulatory protections afforded to medicinal products.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the FDA or comparable foreign regulatory authorities approve generic versions of any of our drug candidates that receive marketing approval, or such authorities do not grant our drug candidates appropriate periods of data or market exclusivity before approving generic versions of our drug candidates, the sales of our drug candidates could be adversely affected.</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(ANDAs) in the United States. In support of an ANDA, a generic manufacturer need not conduct clinical trials demonstrating safety and efficacy. Rather, the applicant generally must show that its drug is pharmaceutically equivalent to the reference listed drug, in that it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drugs may be significantly less 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885"/>
                <wp:effectExtent l="0" t="0" r="0" b="0"/>
                <wp:wrapNone/>
                <wp:docPr id="68" name="Frame6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FDA may not approve an ANDA for a generic drug until any applicable period of non-patent exclusivity for the reference-listed drug has expired. The FDCA provides a period of five years of non-patent exclusivity for a new drug containing a new chemical entity. During the exclusivity period, the FDA may not accept for review an ANDA or a 505(b)(2) NDA submitted by another company for another version of such drug candidate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drug candidate. This three-year exclusivity covers only the conditions associated with the new clinical investigations and does not prohibit the FDA from approving ANDAs for drug candidates containing the original active agent for other conditions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these generic drugs following the expiration of the marketing exclusivity period, even if we still have patent protection for our drug.</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Competition that our drug candidates may face from generic versions of our drug candidates could materially and adversely impact our future revenue, profitability and cash flows and substantially limit our ability to obtain a return on the investments we have made in those drug candidates. Our future revenues, profitability and cash flows could also be materially and adversely affected and our ability to obtain a return on the investments we have made in those drug candidates may be substantially limited if our drug candidates, if and when approved, are not afforded the appropriate periods of non-patent exclusivity.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Where an applicant for a marketing authorization submits a full dossier containing its own pharmaceutical, preclinical tests and clinical trials data, and where the application does not fall within the ‘global marketing authorization’ of an existing medicinal product, the applicant is entitled to eight years of regulatory data protection upon grant of the marketing authorization (the period starts to run from the first marketing authorization in the EU and EEA). During this period, applicants for approval of generics or biosimilars cannot rely on data contained in the marketing authorization dossier submitted for the already authorized, or reference, medicinal product to support their application. After the expiration of the eight-year period of regulatory data protection, the reference medicinal product benefits from a further two-year period of marketing protection. During these two years of marketing protection, no generic or biosimilar medicinal product that relies upon the reference medicinal product’s dossier may be placed on the EU market, but a generic or biosimilar MAA can be submitted to the competent regulatory authorities in the EU Member States during this time. The two-year period of marketing protection can further be extended by one year if, during the first eight years of the grant of the first marketing authorization, the marketing authorization holder obtains an authorization for one or more new therapeutic indications which, during the scientific evaluation prior to their authorization, are held to bring a significant clinical benefit in comparison with existing therapies. However, even if a compound is considered to be a new active substance and the innovator is able to gain the period of regulatory data protection and marketing protection, provided that no other IP or regulatory exclusivities applied, another unrelated company could also apply for a marketing authorization and market another competing medicinal product for the same therapeutic indication if such company obtained its own marketing authorization based on a separate MAA based on a full self-standing scientific data package supporting the application. The period of regulatory data protection and marketing protection applies in the UK (running from the date of the first authorization in Great Britain).</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EU, pursuant to Regulation 1901/2006, and in the UK pursuant to the Human Medicines Regulations 2012 (as amended), MAAs must include pediatric data based on pediatric investigation plans agreed with the EMA if the MAA concerns (i) a new active substance, or (ii) a new indication, pharmacological form, or route of administration (where the product is protected by a supplementary protection certificate or a patent qualifying for a supplementary certificate). Applicants may obtain waivers or deferrals to these requirements in certain circumstances (for example a waiver may be obtained if the condition only occurs in adult populations). Where required, pediatric studies must cover all sub-sets of the pediatric population for both existing and new indications, pharmacological forms and route of administrations. Limited further exclusions apply, including in relation to generic or biosimilar applications. Certain rewards may be available for completion of pediatric studies. For example, where MAAs include the results of all studies conducted in compliance with an agreed pediatric investigation plan, the holder of the patent or supplementary protection certificate may be entitled to a six-month extension to the supplementary protection certificate. Additionally, the European Commission’s new proposed legislation, if implemented, will also affect the current EU legal framework of pediatric medicines.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22885"/>
                <wp:effectExtent l="0" t="0" r="0" b="0"/>
                <wp:wrapNone/>
                <wp:docPr id="69" name="Frame6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operations and relationships with actual and potential customers, providers and third-party payors will be subject to applicable anti-kickback, fraud and abuse and other healthcare laws and regulations, which could expose us to penalties including criminal sanctions, civil penalties, exclusions from government programs, contractual damages and reputational harm, and could diminish our future profits and earnings.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arrangements with third-party payors, physicians, and other potential customers will subject us to broadly applicable fraud and abuse and other healthcare laws and regulations that may constrain the business or financial arrangements and relationships through which we market, sell and distribute any drug candidates for which we obtain marketing approval.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Applicable U.S. federal and state and non-U.S. healthcare laws and regulations include the following: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federal Anti-Kickback Statute, a criminal law, which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 order of any good or service for which payment may be made, in whole or in part, under federal healthcare programs such as Medicare and Medicaid. A person or entity does not need to have actual knowledge of the statute or specific intent to violate it in order to have committed a violation. Violations of the federal Anti-Kickback Statute can result in significant civil monetary penalties and criminal fines, as well as imprisonment and exclusion from participation in federal healthcare programs;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federal civil False Claims Act, which may be enforced through civil whistleblower or qui tam actions and imposes significant civil penalties, treble damages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There is also the federal Criminal False Claims Act, which is similar to the federal Civil False Claims Act and imposes criminal liability on those that make or present a false, fictitious or fraudulent claim to the federal government;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the federal Civil Monetary Penalties Law, which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federal criminal statutes created by the Health Insurance Portability and Accountability Act (HIPAA), which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HIPAA, as amended by HITECH, and its implementing regulations, which also imposes obligations, including mandatory contractual terms, on certain types of people and entities with respect to safeguarding the privacy, security and transmission of individually identifiable health information;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federal Food, Drug, and Cosmetic Act and Public Health Service Act which among other things, strictly regulates drug marketing, prohibits manufacturers from marketing such products for off-label use or misbranding or adulterating their products, and regulates the distribution of samples;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federal and state laws that require pharmaceutical manufacturers to report certain calculated product pricing metrics to the government or provide certain discounts or rebates to government authorities or private entities, often as a condition of product coverage and reimbursement under federal healthcare programs;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federal Physician Payment Sunshine Act, which requires applicable manufacturers of covered drugs, devices, biologics, and medical supplies for which payment is available under Medicare, Medicaid or the Children’s Health Insurance Program, among others, to annually track and report payments and other transfers of value provided to U.S.-licensed physicians, teaching hospitals, physician assistants, nurse practitioners, clinical nurse specialists, certified nurse anesthetists, anesthesiologist assistants and certified nurse-midwives, as well as certain ownership and investment interests held in the manufacturer by physicians and their immediate families;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2885"/>
                <wp:effectExtent l="0" t="0" r="0" b="0"/>
                <wp:wrapNone/>
                <wp:docPr id="70" name="Frame7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analogous state and foreign laws and regulations, such as state anti-kickback and false claims laws, that may apply to our business practices, including sales or marketing arrangements and claims involving healthcare items or services reimbursed by non-governmental third-party payors, including private insurers;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state laws that require pharmaceutical companies to comply with the pharmaceutical industry’s voluntary compliance guidelines and relevant compliance guidance promulgated by the federal government;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state laws that require drug manufacturers to report information related to payments and other transfers of value to physicians and other healthcare providers or marketing expenditures;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other state laws that prohibit various marketing-related activities, such as the provision of certain kinds of gifts or meals; require the reporting of certain pricing information, including information pertaining to and justifying price increases, or prohibit prescription drug price gouging; and certain state and local laws that require the registration of pharmaceutical sales representatives; and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state and foreign laws that govern the privacy and security of health information in some circumstances, many of which differ from each other in significant ways and often are not preempted by HIPAA, thus complicating compliance efforts.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 candidates from government-funded healthcare programs, such as Medicare and Medicaid, disgorgement, contractual damages, reputational harm, diminished profits and future earnings, and the curtailment or restructuring of our operations. If any physicians or other healthcare providers or entities with whom we expect to do business are found not to be in compliance with applicable laws, they may also be subject to criminal, civil or administrative sanctions, including exclusions from government-funded healthcare programs. Although effective compliance programs can mitigate the risk of investigation and prosecution for violations of these laws, these risks cannot be entirely eliminated. Any action for an alleged or suspected violation can cause us to incur significant legal expenses and divert management’s attention from the operation of the business, even if such action is successfully defended.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Providing benefits or advantages to induce or reward improper performance generally to induce or encourage the prescription, recommendation, endorsement, purchase, supply, order or use of medicinal products is prohibited in the EU and the UK. The provision of benefits or advantages to induce or reward improper performance is governed by the national anti-bribery laws of EU Member States, and in respect of the UK, the Bribery Act 2010. Infringement of these laws may result in substantial fines and imprisonment. EU Directive 2001/83/EC, which is the EU Directive governing medicinal products for human use, provides that, where medicinal products are being promoted to healthcare professionals, no gifts, pecuniary advantages or benefits in kind may be supplied, offered or promised to such individuals unless they are inexpensive and relevant to the practice of medicine or pharmacy. This provision was transposed into the Human Medicines Regulations 2012 and as such remains applicable in the UK.</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Payments made to physicians in certain EU Member States must be publicly disclosed. In addition, agreements with healthcare professionals must often be the subject of prior notification and approval by the healthcare professional’s employer, his or her competent professional organization and/or the regulatory authorities of individual EU Member States. These requirements are set out in national laws, industry codes or professional codes of conduct, applicable in the EU Member States and in the UK. Failure to comply with these requirements could result in reputational risk, public reprimands, administrative penalties, fines or imprisonment.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The FDA’s and other regulatory authorities’ policies may change, and additional government regulations may be enacted that could prevent, limit or delay regulatory approval of our drug candidates.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2885"/>
                <wp:effectExtent l="0" t="0" r="0" b="0"/>
                <wp:wrapNone/>
                <wp:docPr id="71" name="Frame7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Current and future legislation may increase the difficulty and cost for us, and any collaborators, to obtain marketing approval of and commercialize our drug candidates and affect the prices we, or they, may obtain.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and some foreign jurisdictions, there have been a number of legislative and regulatory changes and proposed changes regarding the healthcare system that could prevent or delay marketing approval of our drug candidates, restrict or regulate post-approval activities and affect our ability to profitably sell any drug candidates for which we obtain marketing approval. The biopharmaceutical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FDA-approved product.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Healthcare reform measures that may be adopted in the future may result in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date, there have been several recent U.S. congressional inquiries and proposed and enacted state and federal legislation and regulations designed to, among other things, bring more transparency to drug pricing, review the relationship between pricing and manufacturer patient support programs, reduce the costs of drugs under Medicare and reform government program reimbursement methodologies for drug products. For example, included in the Consolidated Appropriations Act of 2021 were several drug price reporting and transparency measures, such as a new requirement for certain Medicare plans to develop tools to display Medicare Part D prescription drug benefit information in real time and for group and health insurance issuers to report information on pharmacy benefit and drug costs to the Secretary of the Department of Health and Human Services (HHS) and the Secretaries of the Departments of Labor and the Treasury. On February 2, 2022, the Biden administration signaled its continued commitment to the Cancer Moonshot initiative, which was initially launched in 2016. In its announcement, the administration noted that its new goals under the initiative include addressing inequities in order to ensure broader access to cutting-edge cancer therapeutics and investing in a robust pipeline for new treatments. Additionally, on August 16, 2022, President Biden signed into law the Inflation Reduction Act of 2022 (IRA), which, among other provisions, included several measures intended to lower the cost of prescription drugs and related healthcare reforms. Specifically, the IRA authorizes and directs the HHS to set drug price caps for certain high-cost Medicare Part B and Part D qualified drugs, with the initial list of drugs to be selected by September 1, 2023, and the first year of maximum price applicability to begin in 2026. Recently, this aspect of the IRA has been challenged in court on the basis that it may violate the Fifth and First Amendments to the U.S. Constitution, and it is unclear how this litigation may affect the viability of the law moving forward. The IRA further authorizes the HHS to penalize pharmaceutical manufacturers that increase the price of certain Medicare Part B and Part D drugs faster than the rate of inflation. The IRA also creates significant changes to the Medicare Part D benefit design by capping Part D beneficiaries’ annual out-of-pocket spending at $2,000 beginning in 2025.</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14, 2022, President Biden issued an Executive Order on Lowering Prescription Drug Costs for Americans, which instructed the Secretary of HHS to consider whether to select for testing by the CMS Innovation Center new health care payment and delivery models that would lower drug costs and promote access to innovative drug therapies for beneficiaries enrolled in the Medicare and Medicaid programs. The Executive Order further directed the Secretary of HHS to submit, within 90 days after the date of the Executive Order, a report regarding any models that may lead to lower cost-sharing for commonly used drugs and support value-based payment that promotes high-quality care. Most recently, on February 14, 2023, the HHS issued a report in response to the October 14, 2022 Executive Order, which, among other things, selects three potential drug affordability and accessibility models to be tested by the CMS Innovation Center. Specifically, the report addresses: (1) a model that would allow Part D Sponsors to establish a “high-value drug list” setting the maximum co-payment amount for certain common generic drugs at $2; (2) a Medicaid-focused model that would establish a partnership between CMS, manufacturers, and state Medicaid agencies that would result in multi-state outcomes-based agreements or certain cell and gene therapy drugs; and (3) a model that would adjust Medicare Part B payment amounts for Accelerated Approval Program drugs to advance the developments of novel treatments.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sure what impact, if any, the foregoing changes will have on the profitability of any of our drug candidates, if approved for commercial use,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2885"/>
                <wp:effectExtent l="0" t="0" r="0" b="0"/>
                <wp:wrapNone/>
                <wp:docPr id="72" name="Frame7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the state level, individual states are increasingly aggressive in passing legislation and implementing regulations designed to control pharmaceutical and biological product pricing. These include legislation and regulations regarding price or patient reimbursement constraints, discounts, restrictions on certain product access and marketing cost disclosure and transparency measures, and, in some cases, legislative action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drug candidates, if any, may be. Increased scrutiny by the U.S. Congress of the FDA’s approval process may significantly delay or prevent marketing approval, as well as subject us to more stringent product labeling and post-marketing testing and other requirements.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Governments outside of the United States tend to impose strict price controls, which may adversely affect our revenues from the sales of drugs, if any.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some countries, particularly the countries of the EU and the UK,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or our collaborators, may be required to conduct a clinical trial that compares the cost-effectiveness of our drug to other available therapies. Furthermore, in some European countries, the authorities conduct an HTA to assess the cost-effectiveness of the product (in the UK that HTA assessment is conducted by the National Institute for Health and Care Excellence), which may significantly impact effective access to the market. If reimbursement of our drugs is unavailable or limited in scope or amount, or if pricing is set at unsatisfactory levels, our business could be materially harmed.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Employees, Managing our Growth and Other Legal Matters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we fail to attract and retain management and other key personnel, we may be unable to continue to successfully develop our current and any future drug candidates, commercialize our drug candidates or otherwise implement our business plan.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compete in the highly competitive biopharmaceuticals industry depends upon our ability to attract and retain highly qualified managerial, scientific, medical, sales and marketing and other personnel. We are highly dependent on our management and scientific personnel, including our President and Chief Executive Officer, Arthur T. Sands, M.D., Ph.D., and Chief Scientific Officer, Gwenn Hansen, Ph.D. The loss of the services of Dr. Sands, Dr. Hansen or other members of our senior leadership team could impede, delay or prevent the successful development of our product pipeline, completion of our current and planned clinical trials, commercialization of our products or in-licensing or acquisition of new assets, and could negatively impact our ability to successfully implement our business plan. If we lose the services of such individuals, we might not be able to find suitable replacements on a timely basis or at all, and our business could be harmed as a result. We do not maintain “key man” insurance policies on the lives of these individuals or the lives of any of our other employees.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and restricted stock units (RSUs) that vest over time. The value to employees of stock options and RSUs that vest over time will be significantly affected by movements in our stock price that are beyond our control and may at any time be insufficient to counteract offers from other companies.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we might not be able to attract or retain qualified management and other key personnel in the future due to the intense competition for qualified personnel among biotechnology, pharmaceutical and other businesses, particularly in the San Francisco Bay Area where we are headquartered. We could have difficulty attracting experienced personnel to our company and may be required to expend significant financial resources in our employee recruitment and retention efforts. Many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not able to attract and retain the necessary personnel to accomplish our business objectives, we may experience constraints that will harm our ability to implement our business strategy and achieve our business objectives.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22885"/>
                <wp:effectExtent l="0" t="0" r="0" b="0"/>
                <wp:wrapNone/>
                <wp:docPr id="73" name="Frame7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will need to grow our organization, and we may experience difficulties in managing this growth, which could disrupt our operations.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our development and commercialization plans and strategies develop, and as we continue our transition into operating as a public company, we expect to expand our employee base for managerial, operational, financial and other resources. In addition, we have limited experience in product development. We filed our first IND in December 2020 and currently have three drug candidates in ongoing Phase 1 trials. As our drug candidates enter and advance through preclinical studies and clinical trials, we will need to expand our development, regulatory and manufacturing capabilities or contract with other organizations to provide these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Our inability to successfully manage our growth and expand our operations could have a material and adverse effect on our business, financial condition, results of operations and prospects.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employees, independent contractors, vendors, principal investigators, CROs and consultants may engage in misconduct or other improper activities, including non-compliance with regulatory standards and requirements and insider trading laws.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the risk that our employees, independent contractors, vendors, principal investigators, CROs and consultants may engage in fraudulent conduct or other illegal activity. Misconduct by these parties could include: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intentional, reckless or negligent conduct or disclosure to us of unauthorized activities that violate the regulations of the FDA or similar foreign regulatory authorities;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healthcare fraud and abuse in violation of U.S. and foreign laws and regulations;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violations of U.S. federal securities laws relating to trading in our common stock; and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failures to report financial information or data accurately.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While we have adopted a code of conduct and implemented other internal controls applicable to all of our employees, it is not always possible to identify and deter misconduct by employees and other third parties, and the precautions we take to detect and prevent this activity may not be effective. Additionally, we are subject to the risk that a person could allege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possible exclusion from participation in Medicare, Medicaid and other federal healthcare programs and diminished profits and future earnings, any of which could adversely affect our ability to operate our business or cause reputational harm.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2885"/>
                <wp:effectExtent l="0" t="0" r="0" b="0"/>
                <wp:wrapNone/>
                <wp:docPr id="74" name="Frame7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depend on our information technology systems, and any failure of these systems, or those of our CROs, third-party vendors, collaborators or other contractors or consultants we may utilize, could harm our business. Security breaches, cyber-attacks, loss of data and other disruptions could compromise sensitive information related to our business or other personal information, prevent us from accessing critical information and expose us to liability, which could adversely affect our business, reputation, results of operations, financial condition and prospects.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collect and maintain information in digital form that is necessary to conduct our business, and we are increasingly dependent on information technology systems, infrastructure and data to operate our business. In the ordinary course of our business, we collect, store and transmit large amounts of confidential information, including but not limited to intellectual property, proprietary business information and personal information. It is critical that we do so in a secure manner to maintain the confidentiality, integrity and availability of such confidential information. We have established physical, electronic and organizational measures to safeguard and secure our systems which are designed to prevent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resulting in a number of third-party vendors that may or could have access to our confidential information.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Despite the implementation of security measures, our internal information technology systems and infrastructure, and those of our current and any future collaborators, contractors and consultants and other third parties on which we rely, are vulnerable to breach, breakdown or other damage or interruption from service interruptions, system malfunction, computer viruses, malware, natural disasters, terrorism, war, telecommunication and electrical failures, cyber-attacks or cyber-intrusions over the Internet (including harmful attachments to emails, ransomware, denial-of-service attacks, social engineering, and other means to affect service reliability and threaten the confidentiality, integrity, and availability of information), persons inside our organization, or persons with access to systems inside our organization. Any of the foregoing may compromise or lead to data leakage of our system infrastructure, or that of our third-party vendors and other contractors and consultants.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 addition, the prevalent use of mobile devices and remote work applications that access confidential information increases the risk of data security breaches, which could lead to the loss of confidential information or other intellectual property or unauthorized access to personal information. To the extent that any disruption or security breach were to result in a loss of, or damage to, our data or applications, or those of our third-party vendors and other contractors and consultants, or inappropriate disclosure of confidential, personal or proprietary information, we could incur liability and reputational damage and the further development and commercialization of our drug candidates could be delayed. The costs to us to mitigate network security problems, bugs, viruses, worms, malicious software programs and security vulnerabilities could be material, and although we have and continue to invest in and implement security measures designed to protect our data security and information technology systems, our efforts to address these problems may not be successful, and these problems could result in unexpected interruptions, delays, cessation of service and other harm to our business and our competitive position.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2885"/>
                <wp:effectExtent l="0" t="0" r="0" b="0"/>
                <wp:wrapNone/>
                <wp:docPr id="75" name="Frame7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third-party service providers regularly defend against and respond to data security incidents, and we cannot assure you that our data protection efforts and our investment in information technology will prevent significant breakdowns, data leakages, breaches in our systems, or those of our third-party vendors and other contractors and consultants, or other cyber incidents that could have a material adverse effect upon our reputation, business, operations, or financial condition. If such an event were to occur that causes interruptions in our operations, or those of our third-party vendors and other contractors and consultants, it could result in a material disruption or delay of our product development programs. For example, the loss of clinical trial data from completed, ongoing or planned clinical trials could result in delays in our regulatory approval efforts and significantly increase our costs to recover or reproduce the data.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If any such event, including a computer security breach, results in the unauthorized access, use or release of personal information, our reputation could be materially damaged. In addition, such a breach may require notification to governmental agencies, the media or individuals pursuant to various federal and state data privacy and security laws (and other similar non-U.S. laws), subject us to mandatory corrective action, and otherwise subject us to liability under laws and regulations that protect the privacy and security of personal information. For example, data breaches frequently result in regulatory actions and commercial and class action litigation based on a variety of laws and legal duties, such as the California Consumer Privacy Act (CCPA), which provides for a private right of action in the event of certain data security breaches. Such actions could result in significant legal and financial exposure and reputational damages that could have a material adverse effect on our business, financial condition, results of operations and prospects.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Currently, we carry business interruption coverage to mitigate certain potential losses, but this insurance is limited in amount and may not be sufficient in type or amount to cover us against claims related to a cybersecurity breach and related business and system disruptions. We cannot be certain that such potential losses will not exceed our policy limits, insurance will continue to be available to us on economically reasonable terms, or at all, or any insurer will not deny coverage as to any future claim. In addition, we may be subject to changes in our insurance policies, including premium increases or the imposition of large deductible or co-insurance requirements.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are or may become subject to a variety of stringent privacy and data security laws, regulations, policies and contractual obligations related to data privacy and security, and changes in such laws, regulations, policies and contractual obligations and our failure, or any failure by our third-party vendors, collaborators, contractors or consultants, to comply with them could harm our business and result in enforcement action by regulators and claims from affected individuals.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and process, and our third-party vendors, collaborators, contractors and consultants maintain and process on our behalf, a large quantity of sensitive information, including confidential business, personal and patient health information in connection with our preclinical studies and clinical trials and from our employees. We are subject to data privacy and protection laws and regulations that apply to the collection, transmission, storage and use of personal information, which among other things, impose certain requirements relating to the privacy, security and transmission of personal information. Failure by us or our third-party vendors, collaborators, contractors and consultants to comply with any of these laws and regulations could result in enforcement actions by data protection authorities against us, including fines or penalties, claims for damages by affected individuals, damage to our reputation and loss of goodwill, any of which could have a material adverse effect on our business, financial condition, results of operations or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2885"/>
                <wp:effectExtent l="0" t="0" r="0" b="0"/>
                <wp:wrapNone/>
                <wp:docPr id="76" name="Frame7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the legislative landscape is constantly evolving. In particular, laws and regulations governing the privacy of health information, such as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how protected health information may be used, shared or processed in compliance with applicable privacy standards and our contractual obligations can be complex and may be subject to changing interpretation. Further, if we fail to comply with applicable privacy laws, we could face civil and criminal penalties, or claims for breach of contract. The HHS has enforcement discretion for HIPAA, and any enforcement activity can result in financial liability and reputational harm, and responses to such enforcement activity can consume significant internal resources. In addition, Washington state recently passed an the My Health My Data Act, which is focused on the collection of consumer health data. The My Health My Data Act has a broader scope than HIPAA and includes a private right of action—depending on whether this law applies to us, there may be substantial regulatory action and litigation associated with this act once it becomes effective. Furthermore, state attorneys general are authorized to bring civil actions seeking either injunctions or damages in response to violations that threaten the privacy of state residents pursuant to local state laws.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Personal data privacy remains an evolving landscape at both the domestic and international level, with new regulations coming into effect. For example, the CCPA, which came into effect on January 1, 2020, and was recently amended and expanded by the California Privacy Rights Act (CPRA) as of January 1, 2023, provides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including by California residents’ employers. Additionally, the CCPA requires companies that process personal information of California residents to make disclosures to consumers about their data collection, use and sharing practices, allow consumers to opt out of certain data sharing with third parties, complete certain audits and assessments when processing higher risk data and provide a private right of action for data breaches, as described above. Although the CCPA includes limited exceptions—including exceptions for personal health information collected by covered entities or business associates subject to HIPAA among others, the CCPA may regulate or impact our processing of personal information depending on the context. Failure to comply with the CCPA may result in significant civil penalties, injunctive relief, or statutory or actual damages as determined by the California Privacy Protection Agency and California Attorney General through its investigative authority. Notably, comparable consumer privacy laws are set to take effect in 2023 in other states including the Virginia Consumer Data Protection Act (effective January 1, 2023), the Colorado Privacy Act and the Connecticut Data Privacy Act (both effective July 1, 2023), and the Utah Consumer Privacy Act (effective December 31, 2023). Several other states have followed suit and passed similar legislation. Compliance with this new privacy legislation adds complexity and may require investment in additional resources for compliance programs, thus potentially result in additional costs and expense of resources to maintain 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885"/>
                <wp:effectExtent l="0" t="0" r="0" b="0"/>
                <wp:wrapNone/>
                <wp:docPr id="77" name="Frame7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pPr>
      <w:r>
        <w:rPr>
          <w:rFonts w:ascii="Times New Roman;sans-serif" w:hAnsi="Times New Roman;sans-serif"/>
          <w:b w:val="false"/>
          <w:color w:val="000000"/>
          <w:sz w:val="20"/>
        </w:rPr>
        <w:t xml:space="preserve">In addition, the EU General Data Protection Regulation (EU GDPR) has been in effect since May 2018 in the EEA. The EU GDPR governs the collection, use, disclosure, transfer or other processing of personal data, replacing data protection laws issued by each EU member state based on the Directive 95/46/EC. The EU GDPR imposes additional compliance burdens, including by mandating burdensome documentation requirements and granting certain privacy rights to individuals to control how companies collect, use, disclose, retain and otherwise process information about them as well as changes to informed consent practices, the obligation to appoint data protection officers in certain circumstances, the obligation to notify relevant data supervisory authorities of personal data breaches without undue delay (and no later than 72 hours) after becoming aware of the personal data breach, and the requirement for more detailed notices for clinical trial subjects and investigators. In addition, the EU GDPR increases the scrutiny of transfers of personal data from clinical trial sites and other third parties (e.g. CROs) located in the EEA to the United States and other jurisdictions that the European Commission does not recognize as having “adequate” data protection laws. In particular, on July 16, 2020, the Court of Justice of the EU (Court of Justice) in </w:t>
      </w:r>
      <w:r>
        <w:rPr>
          <w:rFonts w:ascii="Times New Roman;sans-serif" w:hAnsi="Times New Roman;sans-serif"/>
          <w:b w:val="false"/>
          <w:i/>
          <w:color w:val="000000"/>
          <w:sz w:val="20"/>
        </w:rPr>
        <w:t>Schrems II</w:t>
      </w:r>
      <w:r>
        <w:rPr>
          <w:color w:val="000000"/>
        </w:rPr>
        <w:t xml:space="preserve"> </w:t>
      </w:r>
      <w:r>
        <w:rPr>
          <w:rFonts w:ascii="Times New Roman;sans-serif" w:hAnsi="Times New Roman;sans-serif"/>
          <w:b w:val="false"/>
          <w:color w:val="000000"/>
          <w:sz w:val="20"/>
        </w:rPr>
        <w:t xml:space="preserve">invalidated the European Union-United States (EU-U.S.) Privacy Shield as a data transfer mechanism on the grounds that the EU-U.S. Privacy Shield failed to offer adequate protections to EU personal data transferred to the United States. While the Court of Justice upheld the use of other data transfer mechanisms, such as the Standard Contractual Clauses, the decision has led to some uncertainty regarding the use of such mechanisms for data transfers to the United States, and the Court of Justice made clear that reliance on Standard Contractual Clauses alone may not necessarily be sufficient in all circumstances. Use of the data transfer mechanisms must now be assessed on a case-by-case basis taking into account the legal regime applicable in the destination country, in particular applicable surveillance laws and rights of individuals. The European Data Protection Board issued additional guidance regarding international transfers which may require us to implement supplementary measures to further enhance the security of data transferred out of the EEA, which could increase our compliance costs, expose us to further regulatory scrutiny and liability, and adversely affect our business. </w:t>
      </w:r>
    </w:p>
    <w:p>
      <w:pPr>
        <w:pStyle w:val="TextBody"/>
        <w:bidi w:val="0"/>
        <w:spacing w:lineRule="auto" w:line="276" w:before="120" w:after="283"/>
        <w:ind w:left="0" w:right="0" w:firstLine="720"/>
        <w:jc w:val="left"/>
        <w:rPr/>
      </w:pPr>
      <w:r>
        <w:rPr>
          <w:rFonts w:ascii="Times New Roman;sans-serif" w:hAnsi="Times New Roman;sans-serif"/>
          <w:b w:val="false"/>
          <w:color w:val="000000"/>
          <w:sz w:val="20"/>
        </w:rPr>
        <w:t xml:space="preserve">In October 2022, President Biden signed an Executive Order to facilitate a new Trans-Atlantic Data Privacy Framework (TADP Framework) which will act as a successor to the invalidated Privacy Shield. Moreover, in December 2022, the European Commission released a draft adequacy decision for the United States, reflecting its belief that the Executive Order and TADP Framework addresses the transfer issues raised in </w:t>
      </w:r>
      <w:r>
        <w:rPr>
          <w:rFonts w:ascii="Times New Roman;sans-serif" w:hAnsi="Times New Roman;sans-serif"/>
          <w:b w:val="false"/>
          <w:i/>
          <w:color w:val="000000"/>
          <w:sz w:val="20"/>
        </w:rPr>
        <w:t>Schrems II</w:t>
      </w:r>
      <w:r>
        <w:rPr>
          <w:rFonts w:ascii="Times New Roman;sans-serif" w:hAnsi="Times New Roman;sans-serif"/>
          <w:b w:val="false"/>
          <w:color w:val="000000"/>
          <w:sz w:val="20"/>
        </w:rPr>
        <w:t>. If the draft adequacy decision is approved and implemented, the agreement will facilitate the transatlantic flow of personal data and provide additional safeguards (in addition to Standard Contractual Clauses and Binding Corporate Rules) for companies transferring personal data from the EU to the United States. However, before parties rely on the new TADP Framework, there are still legislative and regulatory steps that must be taken both in the United States and in the EU. In the meantime, the European Commission published new versions of the Standard Contractual Clauses in June 2021 which place onerous obligations on the parties and the deadline for the implementation of these new Standard Contractual Clauses was December 27, 2022. The EU GDPR imposes substantial fines for breaches and violations (up to the greater of €20 million or 4% of annual global turnover of the noncompliant company). In addition, the EU GDPR allows data subjects and consumer associations to lodge complaints with supervisory authorities, seek judicial remedies and obtain compensation for damages resulting from violations of the EU GDPR.</w:t>
      </w:r>
    </w:p>
    <w:p>
      <w:pPr>
        <w:pStyle w:val="TextBody"/>
        <w:bidi w:val="0"/>
        <w:spacing w:lineRule="auto" w:line="276" w:before="120" w:after="283"/>
        <w:ind w:left="0" w:right="0" w:firstLine="720"/>
        <w:jc w:val="left"/>
        <w:rPr/>
      </w:pPr>
      <w:r>
        <w:rPr>
          <w:rFonts w:ascii="Times New Roman;sans-serif" w:hAnsi="Times New Roman;sans-serif"/>
          <w:b w:val="false"/>
          <w:color w:val="000000"/>
          <w:sz w:val="20"/>
        </w:rPr>
        <w:t xml:space="preserve">Further, following the end of the Brexit Transition Period (on December 31, 2020) the EU GDPR has been implemented in the UK (as the UK GDPR)—non-compliance with which may lead to similar compliance and operational costs as the EU GDPR with potential fines of up to the greater of £17 million or 4% of annual global turnover. The UK GDPR sits alongside the UK Data Protection Act 2018 which implements certain derogations in the EU GDPR into English law. Under the UK GDPR, companies not established in the UK but who process personal data in relation to the offering of goods or services to individuals in the UK, or to the monitoring of their behavior will be subject to the UK GDPR—the requirements of which are largely aligned with those under the EU GDPR.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 and remains under review by the European Commission during this period. Further, on November 17, 2022, the UK Information Commissioner’s Office (ICO) published its proposed draft International Transfer Risk Assessment (TRA) and tool which is the UK equivalent of the EDPB Recommendations and provides for general advice on how to satisfy the </w:t>
      </w:r>
      <w:r>
        <w:rPr>
          <w:rFonts w:ascii="Times New Roman;sans-serif" w:hAnsi="Times New Roman;sans-serif"/>
          <w:b w:val="false"/>
          <w:i/>
          <w:color w:val="000000"/>
          <w:sz w:val="20"/>
        </w:rPr>
        <w:t>Schrems II</w:t>
      </w:r>
      <w:r>
        <w:rPr>
          <w:color w:val="000000"/>
        </w:rPr>
        <w:t xml:space="preserve"> </w:t>
      </w:r>
      <w:r>
        <w:rPr>
          <w:rFonts w:ascii="Times New Roman;sans-serif" w:hAnsi="Times New Roman;sans-serif"/>
          <w:b w:val="false"/>
          <w:color w:val="000000"/>
          <w:sz w:val="20"/>
        </w:rPr>
        <w:t>requirement to carry out a legal assessment for transfers of personal data subject to the UK GDPR. The ICO has clarified that organizations may either follow the ICO’s TRA or EDPB approach when assessing international data transfers. The UK’s ICO has also recently published: (i) its International Data Transfer Agreement to replace the old Standard Contractual Clauses for transfers to outside the UK; and (ii) a “UK addendum” to the new EU Standard Contractual Clauses which amends the relevant provisions of such clauses to work in a UK context. In June 2023, the United States and the UK reached a commitment to establish the UK Extension to the TADP Framework, that will create a “data bridge” between the two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2885"/>
                <wp:effectExtent l="0" t="0" r="0" b="0"/>
                <wp:wrapNone/>
                <wp:docPr id="78" name="Frame7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company, we are in the process of implementing a GDPR compliance program. This is necessary to ensure we can initiate GDPR-compliant clinical trials in the EU. Failure to do so would mean we either cannot initiate GDPR-compliant clinical trials in the EU or we may face regulatory investigations, significant fines and penalties, reputational damage or be required to change our business practices, all of which could adversely affect our business, financial condition and results of operations.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Some countries also are considering or have passed legislation requiring local storage and processing of data, or similar requirements, which could increase the cost and complexity for conducting preclinical testing and clinical trials or delivering our future products, if any. Additionally, other countries (e.g., Australia and Japan) have adopted certain legal requirements for cross-border transfers of personal information. These obligations may be interpreted and applied in a manner that is inconsistent from one jurisdiction to another and may conflict with other requirements or our practices.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 is possible that these laws may be interpreted and applied in a manner that is inconsistent with our practices and our efforts to comply with the evolving data protection rules may be unsuccessful.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Compliance with these and any other applicable privacy and data security laws and regulations is a rigorous and time-intensive process, and we may be required to put in place additional mechanisms for ensuring compliance with the new data protection rules. In addition to government regulation, privacy advocates and industry groups have and may in the future propose self-regulatory standards from time to time. These and other industry standards may legally or contractually apply to us, or we may elect to comply with such standards. It is possible that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and adverse impact on our business, operating results, reputation, and financial condition. Even if we are not determined to have violated these laws, government investigations into these issues typically require the expenditure of significant resources and generate negative publicity, which could harm our business, financial condition, results of operations or prospects.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such liability, litigation, investigations and proceedings may or may not be covered by our liability insurance and may subject us to significant penalties and negative publicity, require us to change our business practices, increase our costs, severely disrupt our business, and may result in significant reputational harm and have a material and adverse impact on our business, financial condition, results of operations or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U.S. federal income tax reform and changes in other tax laws could adversely affect us.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2017, U.S. federal tax legislation commonly referred to as the TCJA was signed into law, significantly reforming the Internal Revenue Code of 1986, as amended (Code). The TCJA, among other things, changed the U.S. federal tax treatment of research and experimental (R&amp;E) expenses. For tax years beginning on or after January 1, 2022, taxpayers are required to capitalize and amortize, rather than deduct, R&amp;E expenses. R&amp;E expenses are amortizable over five years for research performed in the United States and 15 years for research performed outside the United States. We are closely monitoring these provisions and are in the process of analyzing the potential impact to our income taxes and financial position in future years.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law governing net operating loss carryovers and carrybacks was modified by both the TCJA and by U.S. federal tax legislation named the CARES Act, which was signed into law in March 2020. Net operating losses arising in tax years beginning on or after January 1, 2021, can be carried forward indefinitely, generally cannot be carried back, and can be used to offset no more than 80 percent of taxable income.</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IRA was signed into U.S. law on August 16, 2022. The IRA provides for, among other things, a new U.S. federal one percent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For purposes of calculating the base excise tax, repurchasing corporations are permitted to net the fair market value of certain new stock issuances against the fair market value of stock repurchases during the same taxable year. Certain repurchases are not counted in the base of the excise tax.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new legislation or regulations that could affect our tax burden could be enacted by any governmental authority. We cannot predict the timing or extent of such tax-related developments that could negatively impact our financial results. We use our best judgment in attempting to quantify and reserve for these tax obligations. However, a challenge by a taxing authority, our ability to utilize tax benefits such as carryforwards or tax credits, or a deviation from other tax-related assumptions could have a material adverse effect on our business, results of operations, or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22885"/>
                <wp:effectExtent l="0" t="0" r="0" b="0"/>
                <wp:wrapNone/>
                <wp:docPr id="79" name="Frame7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ability to utilize our net operating loss carryforwards may be subject to limitations.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substantial losses during our history, do not expect to become profitable in the near future and may never achieve profitability. As of November 30, 2022, we had federal and state net operating loss (NOL) carryforwards of approximately $276.3 million and $299.6 million, respectively. To the extent we continue to generate taxable losses, unused losses will carry forward to offset future taxable income, if any, subject to the restrictions and exceptions described below. Federal NOLs generated in tax years beginning on or before December 31, 2017, may be carried forward 20 tax years and expire on various dates beginning in 2029. Under the TCJA, as modified by the CARES Act, NOLs arising in tax years beginning on or before December 31, 2017, may be carried back two tax years, NOLs arising in tax years beginning after December 31, 2017, and before January 1, 2021 may be carried back five tax years and NOLs arising in tax years beginning after December 31, 2020, may not be carried back. In 2020, we filed a refund claim of $15.7 million to carryback our NOLs generated in the fiscal year ended November 30, 2018, and we filed a refund claim to carryback our NOLs generated in the fiscal year ended November 30, 2019, to recover an additional $3.9 million of income tax. NOLs arising in tax years beginning after December 31, 2017, and before January 1, 2021, may be carried forward indefinitely but are limited to 80% of our taxable income in tax years beginning after December 31, 2020. State NOLs can be carried forward 20 years and begin expiring in 2029.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Sections 382 and 383 of the Code,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may be limited. We have identified two ownership changes since our inception that have triggered a limitation on pre-change NOLs under Section 382. A majority of our pre-change NOLs remain available within the carryforward period provided by the Code, subject to availability of taxable income. We may have experienced additional ownership changes that have not yet been identified that could result in the expiration of our NOL and credit carryforwards before utilization and we may experience subsequent shifts in our stock ownership, some of which are outside our control. As a result, if we earn net taxable income, our ability to use our pre-change NOLs to offset U.S. federal taxable income may be subject to limitations that potentially could result in increased future tax liability to us. In addition, at the state level, there may be periods during which the use of NOLs is suspended or otherwise limited, which could accelerate or permanently increase state taxes owed.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Future acquisitions, joint ventures, spin outs or strategic alliances or transactions could disrupt our business and harm our financial condition and results of operations.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be certain that, following any such acquisition, we will achieve the expected synergies to justify the transaction. The risks we face in connection with acquisitions include: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diversion of management time and focus from operating our business to addressing acquisition integration challenges;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coordination of research and development efforts;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retention of key employees from the acquired company;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changes in relationships with strategic partners as a result of product acquisitions or strategic positioning resulting from the acquisition;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cultural challenges associated with integrating employees from the acquired company into our organization;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need to implement or improve controls, procedures and policies at a business that prior to the acquisition may have lacked sufficiently effective controls, procedures and policies;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liability for activities of the acquired company before the acquisition, including intellectual property infringement claims, violation of laws, commercial disputes, tax liabilities and other known liabilities;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unanticipated write-offs or charges; and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litigation or other claims in connection with the acquired company, including claims from terminated employees, customers, former stockholders or other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22885"/>
                <wp:effectExtent l="0" t="0" r="0" b="0"/>
                <wp:wrapNone/>
                <wp:docPr id="80" name="Frame8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failure to address these risks or other problems encountered in connection with our past or future acquisitions or strategic alliances could cause us to fail to realize the anticipated benefits of these transactions, or cause us to incur unanticipated liabilities and harm the business generally. There also is a risk that future acquisitions will result in our incurring debt, contingent liabilities, amortization expenses or incremental operating expenses, any of which could harm our financial condition or results of operations. Additionally, we may not realize the expected value of out-licensing, joint ventures, spin outs or other strategic transactions.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are subject to anti-corruption laws, as well as export control laws, customs laws, sanctions laws and other laws governing our operations. If we fail to comply with these laws, we could be subject to civil or criminal penalties, or other remedial measures and legal expenses, any of which could adversely affect our business, results of operations and financial condition.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are subject to anti-corruption laws, including the Foreign Corrupt Practices Act (FCPA), the UK Bribery Act 2010 (Bribery Act) and other anticorruption laws that apply in countries where we do business and may do business in the future. The FCPA, the Bribery Act and other anti-corruption or similar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FCPA or Bribery Act violations, and we may participate in collaborations and relationships with third parties whose actions could potentially subject us to liability under the FCPA, the Bribery Act or local anti-corruption laws. In addition, we cannot predict the nature, scope or effect of future regulatory requirements to which our international operations might be subject or the manner in which existing laws might be administered or interpreted.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are subject to other laws and regulations governing our international operations, including regulations administered by the governments of the United States, UK and authorities in the EU, including applicable export control regulations, economic sanctions on countries and persons, customs requirements and currency exchange regulations, which we collectively refer to as Trade Control Laws.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no assurance that we will be completely effective in ensuring our compliance with all applicable anti-corruption laws, including the FCPA, the Bribery Act, or other legal requirements including Trade Control Laws. If we are not in compliance with the FCPA, the Bribery Act, and other anti-corruption laws or Trade Control Laws, we may be subject to criminal and civil penalties, legal expenses, and disgorgement and other sanctions and remedial measures, which could have an adverse impact on our business, financial condition, results of operations and liquidity. The SEC also may suspend or bar issuers from trading securities on U.S. exchanges for violations of the FCPA’s accounting provisions. Likewise, any investigation of any potential violations of the FCPA, the Bribery Act, other anti-corruption laws or Trade Control Laws by U.S., UK or other authorities also could have an adverse impact on our reputation, our business, results of operations and financial condition.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we fail to comply with environmental, health and safety laws and regulations, we could become subject to fines or penalties or incur costs that could significantly harm our business.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produce hazardous waste products. Although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workers’ compensation insurance to cover costs and expenses we may incur due to injuries to our employees resulting from the use of hazardous materials, but this insurance may not provide adequate coverage against potential liabilities. We do not maintain insurance for environmental liability or toxic tort claims that may be asserted against us. In addition, we may incur substantial costs in order to comply with current or future environmental, health and safety laws and regulations. Current or future environmental laws and regulations may impair our research, development or production efforts, which could adversely affect our business, financial condition, results of operations or prospects. In addition, failure to comply with these laws and regulations may result in substantial fines, penalties or other sanctions.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22885"/>
                <wp:effectExtent l="0" t="0" r="0" b="0"/>
                <wp:wrapNone/>
                <wp:docPr id="81" name="Frame8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Unfavorable global economic conditions could adversely affect our business, financial condition, stock price and results of operations.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results of operations could be adversely affected by general conditions in the global economy and in the global financial markets. For example, the global financial crisis of 2007-2008 caused extreme volatility and disruptions in the capital and credit markets. Similarly, the volatility associated with the COVID-19 pandemic caused significant instability and disruptions in the capital and credit markets and, in recent months, the global economy has been impacted by increasing interest rates, inflation, the federal debt ceiling and budget, as well as the possibility of a recession or further economic downturn. Moreover, there has been recent turmoil in the global banking system. For example, on March 10, 2023, SVB, which was one of our banking partners, was closed by the California Department of Financial Protection and Innovation, which appointed the FDIC as receiver, and on March 27, 2023, First-Citizens Bank &amp; Trust Company assumed all of SVB’s customer deposits and certain other liabilities and acquired substantially all of SVB's loans and certain other assets from the FDIC. While we only had a minimal amount of our cash directly at SVB and, since that date, the FDIC has stated that all depositors of SVB will be made whole, and First-Citizens Bank &amp; Trust Company has assumed our deposits from SVB, there is no guarantee that the federal government would guarantee all depositors as they did with SVB depositors in the event of further bank closures and continued instability in the global banking system may adversely impact our business and financial condition. Our ongoing cash management strategy is to maintain diversity in our deposit accounts across financial institutions, but deposits in these institutions may exceed the amount of insurance provided on such deposits and there can be no assurance that this strategy will be successful. If other banks and financial institutions enter receivership or become insolvent in the future in response to financial conditions affecting the banking system and financial markets, then our ability to access our cash, cash equivalents and marketable securities may be threatened, which could have a material adverse effect on our business and financial condition. Furthermore, the capital and credit markets may be adversely affected by the ongoing war in Ukraine, and the possibility of a wider European or global conflict, global sanctions imposed in response thereto or an energy crisis. A severe or prolonged economic downturn, such as the global financial crisis, could result in a variety of risks to our business, including a decrease in the demand for our drug candidates and in our ability to raise additional capital when needed on acceptable terms, if at all. A weak or declining economy also could strain our suppliers, possibly resulting in supply disruption, or cause our customers to delay making payments for our services.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current operations are in the San Francisco Bay Area, and we or the third parties upon whom we depend may be adversely affected by earthquakes or other natural disasters as to which our business continuity and disaster recovery plans may not be adequate to protect us.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operations are located in our facilities in San Francisco, California. Any unplanned event, such as earthquake, flood, fire, explosion, extreme weather condition, medical epidemic, power shortage, telecommunication failure or other natural or man-made accident or incident that result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drug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22885"/>
                <wp:effectExtent l="0" t="0" r="0" b="0"/>
                <wp:wrapNone/>
                <wp:docPr id="82" name="Frame8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Common Stock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quarterly operating results may fluctuate significantly or may fall below the expectations of investors or securities analysts, each of which may cause our stock price to fluctuate or decline.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operating results to be subject to quarterly fluctuations. Our net loss and other operating results will be affected by numerous factors, including: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variations in the level of expense related to the ongoing development of our drug candidates, DELigase platform, or future development programs;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results of preclinical studies and clinical trials, or the addition or termination of clinical trials or funding support by us or by existing or future collaborators or licensing partners;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our execution of any additional collaboration, licensing or similar arrangements, and the timing of payments we may make or receive under existing or future arrangements or the termination or modification of any such existing or future arrangements;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any intellectual property infringement lawsuit or opposition, interference or cancellation proceeding in which we may become involved;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additions and departures of key personnel;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strategic decisions by us or our competitors, such as acquisitions, divestitures, spin-offs, joint ventures, strategic investments or changes in business strategy;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if any of our drug candidates receives regulatory approval, the terms of such approval and market acceptance and demand for such drug candidates;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regulatory developments affecting our drug candidates or those of our competitors; and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changes in general market and economic conditions, including increasing interest rates, inflation, the federal debt ceiling and budget, instability in the global banking system and the possibility of a recession or further economic downturn.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stock price may be volatile and you could lose all or part of your investment.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trading price of our common stock may be highly volatile and subject to wide fluctuations in response to various factors, some of which we cannot control. As a result of this volatility, investors may not be able to sell their common stock at or above the purchase price. The market price for our common stock may be influenced by many factors, including the other risks described in this section and the following: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results of preclinical studies and clinical trials of our drug candidates, or those of our competitors or our existing or future collaborators;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regulatory or legal developments in the United States and other countries, especially changes in laws or regulations applicable to our drug candidates;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success of competitive products or technologies;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introductions and announcements of new products by us, our collaboration partners, or our competitors, and the timing of these introductions or announcements;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actions taken by regulatory agencies with respect to our drug candidates, clinical trials, manufacturing process or sales and marketing terms;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actual or anticipated variations in our financial results or in those of companies that are perceived to be similar to us;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success of our efforts to acquire or in-license additional technologies, products or drug candidates;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developments concerning our current or future collaborations, including but not limited to those with our sources of manufacturing supply and our commercialization partners;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market conditions in the pharmaceutical and biotechnology sectors;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22885"/>
                <wp:effectExtent l="0" t="0" r="0" b="0"/>
                <wp:wrapNone/>
                <wp:docPr id="83" name="Frame8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announcements by us or our competitors of significant acquisitions, strategic collaborations, joint ventures or capital commitments;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developments or disputes concerning patents or other proprietary rights, including patents, litigation matters and our ability to obtain patent protection for our drug candidates and products;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our ability or inability to raise additional capital and the terms on which any additional capital is raised;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recruitment or departure of key personnel;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changes in the structure of healthcare payment systems;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actual or anticipated changes in earnings estimates or changes in stock market analyst recommendations regarding our common stock, other comparable companies or our industry generally;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our failure or the failure of our competitors to meet analysts’ projections or guidance that we or our competitors may provide to the market;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fluctuations in the valuation of companies perceived by investors to be comparable to us;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announcement and expectation of additional financing efforts;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speculation in the press or investment community;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trading volume of our common stock;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sales of our common stock by us or our stockholders;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the concentrated ownership of our common stock;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changes in accounting principles;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terrorist acts, acts of war or periods of widespread civil unrest, including the increasingly volatile global economic conditions resulting from the ongoing war in Ukraine;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effects of public health crises, pandemics and epidemics;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natural disasters and other calamities; and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general economic, industry and market conditions, including increasing interest rates, inflation, the federal debt ceiling and budget, instability in the global banking system and the possibility of a recession or further economic downturn.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 in general, and the markets for pharmaceutical, biopharmaceutical and biotechnology stocks in particular, have experienced extreme price and volume fluctuations that often have been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 sale of a substantial number of shares of our common stock may cause the price of our common stock to decline.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the perception that such sales may occur, could adversely affect the market price of our common stock.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22885"/>
                <wp:effectExtent l="0" t="0" r="0" b="0"/>
                <wp:wrapNone/>
                <wp:docPr id="84" name="Frame8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securities or industry analysts do not publish research or reports about our business, or if they issue an adverse or misleading opinion regarding our stock, our stock price and trading volume could decline.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trading market for our common stock is and will be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clinical trials and results of operations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The future sale and issuance of equity or of debt securities that are convertible into equity will dilute our share capital.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choose to raise additional capital in the future, depending on market conditions, strategic considerations and operational requirements. For example, in March 2021, we sold an additional 5,175,000 shares of our common stock in a follow-on public offering. In addition, we currently have on file with the SEC a shelf registration statement on Form S-3 which allows us to offer and sell up to $450.0 million of our registered common stock, preferred stock, debt securities, warrants, subscriptions rights and or units from time to time pursuant to one or more offerings at prices and terms to be determined at the time of sale. In August 2021, we entered into an Equity Distribution Agreement with Piper Sandler &amp; Co. (Piper Sandler) pursuant to which, from time to time, we may offer and sell through Piper Sandler up to $150.0 million of the common stock registered under the shelf registration statement pursuant to one or more “at the market” offerings. In June 2022, we issued and sold 2,000,000 shares of common stock under the Equity Distribution Agreement to Piper Sandler for net proceeds of approximately $19.3 million, after deducting offering commissions and expenses paid by us. As of May 31, 2023, we had $130.0 million of common stock remaining available for sale pursuant to the Equity Distribution Agreement. Sales of our common stock under the Equity Distribution Agreement with Piper Sandler could be subject to business, economic or competitive uncertainties and contingencies, many of which may be beyond our control, and which could cause actual results from the sale of our common stock to differ materially from expectations. In addition, in July 2022, we entered into separate Securities Purchase Agreements with certain purchasers to issue and sell pre-funded warrants to purchase an aggregate of 6,814,920 shares of our common stock in registered direct offerings for gross proceeds to us of $95.0 million before deducting offering expenses. Such pre-funded warrants are immediately exercisable, have an exercise price of $0.001 and may be exercised at any time after the date of issuance. To the extent additional capital is raised through the sale and issuance of shares or other securities convertible into shares, the ownership interest of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will not receive a significant amount, or potentially any, additional funds upon the exercise of our pre-funded warrants; however, any exercise would increase the number of shares eligible for future resale in the public market and result in substantial dilution to our stockholders.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May 31, 2023, we have issued pre-funded warrants to purchase a total of 6,814,920 shares of our common stock, of which 6,097,560 were outstanding as of June 30, 2023. Each pre-funded warrant is exercisable for $0.001 per share of common stock underlying such pre-funded warrant, which may be paid by way of a cashless exercise, meaning that the holder may not pay a cash purchase price upon exercise, but instead would receive upon such exercise the net number of shares of common stock determined according to the formula set forth in the pre-funded warrant. Accordingly, we will not receive a significant amount, or potentially any, additional funds upon the exercise of the pre-funded warrants. To the extent such pre-funded warrants are exercised, additional shares of common stock will be issued for nominal or no additional consideration, which will result in substantial dilution to the then existing holders of our common stock and will increase the number of shares eligible for resale in the public market. Sales of substantial numbers of such shares in the public market could adversely affect the market price of the common stock, causing our stock price to decline.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There is no public market for our pre-funded warrants.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is no public trading market for our pre-funded warrants issued in July 2022, and we do not expect a market to develop. In addition, we do not intend to apply to list the pre-funded warrants on any securities exchange or nationally recognized trading system, including the Nasdaq Global Market (Nasdaq). Without an active market, the liquidity of the pre-funded warrants will be limited, and the value of the pre-funded warrants may be adversely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22885"/>
                <wp:effectExtent l="0" t="0" r="0" b="0"/>
                <wp:wrapNone/>
                <wp:docPr id="85" name="Frame8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each holder of pre-funded warrants will not be entitled to exercise any portion of any pre-funded warrant, which, upon giving effect to such exercise, would cause (i) the aggregate number of shares of our common stock beneficially owned by the holder (together with its affiliates) to exceed 9.99% of the number of shares of our common stock outstanding immediately after giving effect to the exercise, or (ii) the combined voting power of our securities beneficially owned by the holder (together with its affiliates) to exceed 9.99% of the combined voting power of all of our securities then outstanding immediately after giving effect to the exercise. However, any holder may increase or decrease such percentage to any other percentage (not in excess of 19.99%) upon at least 61 days’ prior notice from the holder to us.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Anti-takeover provisions in our charter documents and under Delaware law could make an acquisition of us, which may be beneficial to our stockholders, more difficult and may prevent attempts by our stockholders to replace or remove our current management.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restated certificate of incorporation and our amended and restated bylaws contain provisions that could delay or prevent a change in control of our company. These provisions also could make it difficult for stockholders to elect directors who are not nominated by current members of our board of directors or to take other corporate actions, including effecting changes in our management. These provisions: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establish a classified board of directors so that not all members of our board are elected at one time;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permit only our board of directors to establish the number of directors and fill vacancies on our board;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provide that directors may be removed only “for cause” and only with the approval of two-thirds of our stockholders;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require super-majority voting to amend some provisions in our restated certificate of incorporation and amended and restated bylaws, unless such amendments are approved by two-thirds of our board of directors, in which case stockholders can approve by a simple majority;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authorize the issuance of “blank check” preferred stock that our board could use to implement a stockholder rights plan;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eliminate the ability of our stockholders to call special meetings of stockholders;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prohibit stockholder action by written consent, which requires all stockholder actions to be taken at a meeting of our stockholders;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prohibit cumulative voting; and </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 xml:space="preserve">establish advance notice requirements for nominations for election to our board or for proposing matters that can be acted upon by stockholders at annual stockholder meetings.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Section 203 of the Delaware General Corporation Law (DGCL) may discourage, delay or prevent a change in control of our company. Section 203 imposes certain restrictions on mergers, business combinations and other transactions between us and holders of 15% or more of our common stock.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restated certificate of incorporation and our amended and restated bylaws contain exclusive forum provisions for certain claims, which could limit our stockholders’ ability to obtain a favorable judicial forum for disputes with us or our directors, officers or employees.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22885"/>
                <wp:effectExtent l="0" t="0" r="0" b="0"/>
                <wp:wrapNone/>
                <wp:docPr id="86" name="Frame8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Section 22 of the Securities Act creates concurrent jurisdiction for federal and state courts over all claims brought to enforce any duty or liability created by the Securities Act or the rules and regulations thereunder and our amended and restated bylaws provide that the federal 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person or entity purchasing or otherwise acquiring or holding any interest in any of our securities shall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restated certificate of incorporation and/or amended and restated bylaws to be inapplicable or unenforceable in an action, we may incur additional costs associated with resolving such action in other jurisdictions, which could harm our business, operating results and financial condition.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will continue to incur increased costs as a result of operating as a public company, and our management will be required to devote substantial time to new compliance initiatives and corporate governance practices.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public company, we incur and, particularly now that we no longer are an emerging growth company, will further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Moreover, since we ceased to be an “emerging growth company” on November 30, 2021, we may no longer take advantage of certain exemptions from various reporting requirements that are applicable to public companies. This increase in reporting requirements will further increase our compliance burden.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and other personnel are required to devote a substantial amount of time to these compliance initiatives. Moreover, these rules and regulations have increased our legal and financial compliance costs and have made some activities more time-consuming and costly. We cannot predict or estimate the amount or timing of additional costs we may incur to respond to these requirements. The impact of these requirements also could make it more difficult for us to attract and retain qualified persons to serve on our board of directors, our board committees or as executive officers. Moreover, these rules and regulations often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we fail to maintain effective internal control over financial reporting, our ability to produce accurate and timely financial statements could be impaired, which could harm our operating results, investors’ views of us and, as a result, the value of our common stock.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rules and regulations of the SEC, we are required to furnish a report by our management on, among other things, our internal control over financial reporting. To achieve compliance with these rules and regulations, we engage in a process to document and evaluate our internal control over financial reporting, which is both costly and time consuming. Effective internal control over financial reporting is necessary for us to provide reliable financial reporting and, together with adequate disclosure controls and procedures, are designed to prevent material misstatements due to fraud or error. Any failure to design new or improved internal controls necessary to address risks of material misstatement in our interim or annual financial statements, or difficulties encountered in their implementation or operation, could cause us to fail to meet our reporting obligations. Ineffective internal control over financial reporting could also cause investors to lose confidence in our reported financial information, which could have a negative effect on the trading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22885"/>
                <wp:effectExtent l="0" t="0" r="0" b="0"/>
                <wp:wrapNone/>
                <wp:docPr id="87" name="Frame8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reporting on our assessment of the effectiveness of our internal control over financial reporting needs to include disclosure of any material weaknesses identified in our internal control over financial reporting. Moreover, in the event that we qualify as a large accelerated filer or accelerated filer under SEC rules in future years, our independent registered public accounting firm will be required to audit the effectiveness of our internal control over financial reporting pursuant to Section 404(b) of the Sarbanes-Oxley Act (Section 404(b)). Any mandatory or voluntary compliance with Section 404(b) will result in increased costs, expenses, and management resources. Undetected material weaknesses in our internal control over financial reporting could lead to financial statement restatements and require us to incur the expense of remediation. We are also required to disclose changes made in our internal control over financial reporting that have materially affected, or are reasonably likely to materially affect, internal control over financial reporting on a quarterly basis. To comply with the requirements of being a public company, we have undertaken, and may need to further undertake in the future, various actions, such as implementing new internal controls and procedures and hiring additional accounting staff.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Part II, Item 9A of our Annual Report on Form 10-K for the fiscal year ended November 30, 2022, we previously identified material weaknesses in our internal control over financial reporting related to controls over segregation of duties in our journal entry and account reconciliation processes, and certain information technology general controls.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did not result in any misstatement of our financial statements. During the year ended November 30, 2022, our management identified and implemented changes to our internal control over financial reporting to remediate the deficiencies that led to the material weakness, and, as a result of such changes, our management concluded that the material weaknesses had been remediated and that our internal control over financial reporting was effective as of November 30, 2022. However, we cannot assure you that the measures we have taken to date, and actions we may take in the future, will prevent or avoid potential future material weaknesses.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our current controls and any new controls that we develop may become inadequate because of changes in conditions in our business. Further, material weaknesses in our disclosure controls and procedures and internal control over financial reporting may be discovered in the future. Any failure to develop or maintain effective internal control over financial reporting or any difficulties encountered in their implementation or improvement could harm our operating results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a “smaller reporting company” and the reduced disclosure requirements applicable to smaller reporting companies may make our common stock less attractive to investors.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Beginning with our Quarterly Report on Form 10-Q for the fiscal period ended May 31, 2022, we requalified as a “smaller reporting company,” meaning that the market value of our stock held by non-affiliates is less than $560.0 million as of May 31, 2022, and our annual revenue is less than $100.0 million during the most recently completed fiscal year. We will continue to be a smaller reporting company if either (i) the market value of our stock held by non-affiliates is less than $250.0 million as of the prior May 31 or (ii) our annual revenue is less than $100.0 million during the most recently completed fiscal year and the market value of our stock held by non-affiliates is less than $700.0 million as of the prior May 31. As a smaller reporting company, we may take advantage of many of the same exemptions from disclosure requirements as an emerging growth company, including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Because we do not anticipate paying any cash dividends on our capital stock in the foreseeable future, capital appreciation, if any, will be your sole source of gain.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may be subject to securities litigation, which is expensive and could divert management attention.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may be volatile.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22885"/>
                <wp:effectExtent l="0" t="0" r="0" b="0"/>
                <wp:wrapNone/>
                <wp:docPr id="88" name="Frame8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Use of Proceeds </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July 23, 2020, our registration statement on Form S-1, as amended (File No. 333-239651), was declared effective by the SEC in connection with the IPO of our common stock.</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no material change in the planned use of proceeds from our IPO as described in the prospectus filed with the SEC pursuant to Rule 424(b)(4) under the Securities Act on July 24, 2020.</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Unregistered Sales of Equity Securities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Purchases of Equity Securities by Issuers and Affiliated Purchasers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22885"/>
                <wp:effectExtent l="0" t="0" r="0" b="0"/>
                <wp:wrapNone/>
                <wp:docPr id="89" name="Frame8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266"/>
        <w:gridCol w:w="235"/>
        <w:gridCol w:w="236"/>
        <w:gridCol w:w="109"/>
        <w:gridCol w:w="109"/>
        <w:gridCol w:w="109"/>
        <w:gridCol w:w="1822"/>
        <w:gridCol w:w="1822"/>
        <w:gridCol w:w="1838"/>
        <w:gridCol w:w="182"/>
        <w:gridCol w:w="182"/>
        <w:gridCol w:w="181"/>
        <w:gridCol w:w="186"/>
        <w:gridCol w:w="147"/>
        <w:gridCol w:w="147"/>
        <w:gridCol w:w="224"/>
        <w:gridCol w:w="224"/>
        <w:gridCol w:w="225"/>
        <w:gridCol w:w="221"/>
        <w:gridCol w:w="221"/>
        <w:gridCol w:w="222"/>
        <w:gridCol w:w="376"/>
        <w:gridCol w:w="376"/>
        <w:gridCol w:w="545"/>
      </w:tblGrid>
      <w:tr>
        <w:trPr/>
        <w:tc>
          <w:tcPr>
            <w:tcW w:w="2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129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Filed or Furnished Herewith</w:t>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129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nrix-20230531xex311.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nrix-20230531xex312.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nrix-20230531xex321.htm">
              <w:r>
                <w:rPr>
                  <w:rStyle w:val="InternetLink"/>
                  <w:rFonts w:ascii="Times New Roman;sans-serif" w:hAnsi="Times New Roman;sans-serif"/>
                  <w:b w:val="false"/>
                  <w:color w:val="0000FF"/>
                  <w:sz w:val="20"/>
                  <w:u w:val="single"/>
                </w:rPr>
                <w:t>Certification of Principal Executive Officer and Principal Financial and Accounting Officer Pursuant to 18 U.S.C. Section 1350, as Adopted Pursuant to Section 906 of the Sarbanes-Oxley Act of 2002</w:t>
              </w:r>
            </w:hyperlink>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included in exhibit 101)</w:t>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18"/>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certifications furnished in Exhibits 32.1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of the Exchange Act.</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22885"/>
                <wp:effectExtent l="0" t="0" r="0" b="0"/>
                <wp:wrapNone/>
                <wp:docPr id="90" name="Frame9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00a8088f342f4458b8fa7c96a91aab59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6985" w:type="dxa"/>
        <w:jc w:val="left"/>
        <w:tblInd w:w="0" w:type="dxa"/>
        <w:tblLayout w:type="fixed"/>
        <w:tblCellMar>
          <w:top w:w="28" w:type="dxa"/>
          <w:left w:w="28" w:type="dxa"/>
          <w:bottom w:w="28" w:type="dxa"/>
          <w:right w:w="28" w:type="dxa"/>
        </w:tblCellMar>
      </w:tblPr>
      <w:tblGrid>
        <w:gridCol w:w="618"/>
        <w:gridCol w:w="544"/>
        <w:gridCol w:w="547"/>
        <w:gridCol w:w="439"/>
        <w:gridCol w:w="439"/>
        <w:gridCol w:w="439"/>
        <w:gridCol w:w="1158"/>
        <w:gridCol w:w="1158"/>
        <w:gridCol w:w="1643"/>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NURIX THERAPEUTICS,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July 13, 2023</w:t>
            </w:r>
          </w:p>
        </w:tc>
        <w:tc>
          <w:tcPr>
            <w:tcW w:w="13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5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/s/ A</w:t>
            </w:r>
            <w:r>
              <w:rPr>
                <w:rFonts w:ascii="Times New Roman;sans-serif" w:hAnsi="Times New Roman;sans-serif"/>
                <w:b w:val="false"/>
                <w:color w:val="000000"/>
                <w:sz w:val="16"/>
              </w:rPr>
              <w:t>RTHUR</w:t>
            </w:r>
            <w:r>
              <w:rPr>
                <w:color w:val="000000"/>
              </w:rPr>
              <w:t xml:space="preserve"> </w:t>
            </w:r>
            <w:r>
              <w:rPr>
                <w:rFonts w:ascii="Times New Roman;sans-serif" w:hAnsi="Times New Roman;sans-serif"/>
                <w:b w:val="false"/>
                <w:color w:val="000000"/>
                <w:sz w:val="20"/>
              </w:rPr>
              <w:t>T. S</w:t>
            </w:r>
            <w:r>
              <w:rPr>
                <w:rFonts w:ascii="Times New Roman;sans-serif" w:hAnsi="Times New Roman;sans-serif"/>
                <w:b w:val="false"/>
                <w:color w:val="000000"/>
                <w:sz w:val="16"/>
              </w:rPr>
              <w:t>ANDS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Arthur T. Sands, M.D., Ph.D.</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July 13, 2023</w:t>
            </w:r>
          </w:p>
        </w:tc>
        <w:tc>
          <w:tcPr>
            <w:tcW w:w="13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5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/s/ H</w:t>
            </w:r>
            <w:r>
              <w:rPr>
                <w:rFonts w:ascii="Times New Roman;sans-serif" w:hAnsi="Times New Roman;sans-serif"/>
                <w:b w:val="false"/>
                <w:color w:val="000000"/>
                <w:sz w:val="16"/>
              </w:rPr>
              <w:t>ANS</w:t>
            </w:r>
            <w:r>
              <w:rPr>
                <w:color w:val="000000"/>
              </w:rPr>
              <w:t xml:space="preserve"> </w:t>
            </w:r>
            <w:r>
              <w:rPr>
                <w:rFonts w:ascii="Times New Roman;sans-serif" w:hAnsi="Times New Roman;sans-serif"/>
                <w:b w:val="false"/>
                <w:color w:val="000000"/>
                <w:sz w:val="16"/>
              </w:rPr>
              <w:t>VAN</w:t>
            </w:r>
            <w:r>
              <w:rPr>
                <w:color w:val="000000"/>
              </w:rPr>
              <w:t xml:space="preserve"> </w:t>
            </w:r>
            <w:r>
              <w:rPr>
                <w:rFonts w:ascii="Times New Roman;sans-serif" w:hAnsi="Times New Roman;sans-serif"/>
                <w:b w:val="false"/>
                <w:color w:val="000000"/>
                <w:sz w:val="20"/>
              </w:rPr>
              <w:t>H</w:t>
            </w:r>
            <w:r>
              <w:rPr>
                <w:rFonts w:ascii="Times New Roman;sans-serif" w:hAnsi="Times New Roman;sans-serif"/>
                <w:b w:val="false"/>
                <w:color w:val="000000"/>
                <w:sz w:val="16"/>
              </w:rPr>
              <w:t>OUTE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Hans van Houte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22885"/>
                <wp:effectExtent l="0" t="0" r="0" b="0"/>
                <wp:wrapNone/>
                <wp:docPr id="91" name="Frame9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Arthur T. Sands, certify that: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Nurix Therapeutics, Inc.;</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70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156"/>
        <w:gridCol w:w="1156"/>
        <w:gridCol w:w="16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 A</w:t>
            </w:r>
            <w:r>
              <w:rPr>
                <w:rFonts w:ascii="Times New Roman;sans-serif" w:hAnsi="Times New Roman;sans-serif"/>
                <w:b w:val="false"/>
                <w:color w:val="000000"/>
                <w:sz w:val="16"/>
              </w:rPr>
              <w:t>RTHUR</w:t>
            </w:r>
            <w:r>
              <w:rPr>
                <w:color w:val="000000"/>
              </w:rPr>
              <w:t xml:space="preserve"> </w:t>
            </w:r>
            <w:r>
              <w:rPr>
                <w:rFonts w:ascii="Times New Roman;sans-serif" w:hAnsi="Times New Roman;sans-serif"/>
                <w:b w:val="false"/>
                <w:color w:val="000000"/>
                <w:sz w:val="20"/>
              </w:rPr>
              <w:t>T. S</w:t>
            </w:r>
            <w:r>
              <w:rPr>
                <w:rFonts w:ascii="Times New Roman;sans-serif" w:hAnsi="Times New Roman;sans-serif"/>
                <w:b w:val="false"/>
                <w:color w:val="000000"/>
                <w:sz w:val="16"/>
              </w:rPr>
              <w:t>ANDS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Arthur T. Sands, M.D.,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July 13,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AND ACCOUNTING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Hans van Houte, certify that: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Nurix Therapeutics, Inc.;</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510"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099"/>
        <w:gridCol w:w="1099"/>
        <w:gridCol w:w="15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 H</w:t>
            </w:r>
            <w:r>
              <w:rPr>
                <w:rFonts w:ascii="Times New Roman;sans-serif" w:hAnsi="Times New Roman;sans-serif"/>
                <w:b w:val="false"/>
                <w:color w:val="000000"/>
                <w:sz w:val="16"/>
              </w:rPr>
              <w:t>ANS VAN</w:t>
            </w:r>
            <w:r>
              <w:rPr>
                <w:color w:val="000000"/>
              </w:rPr>
              <w:t xml:space="preserve"> </w:t>
            </w:r>
            <w:r>
              <w:rPr>
                <w:rFonts w:ascii="Times New Roman;sans-serif" w:hAnsi="Times New Roman;sans-serif"/>
                <w:b w:val="false"/>
                <w:color w:val="000000"/>
                <w:sz w:val="20"/>
              </w:rPr>
              <w:t>H</w:t>
            </w:r>
            <w:r>
              <w:rPr>
                <w:rFonts w:ascii="Times New Roman;sans-serif" w:hAnsi="Times New Roman;sans-serif"/>
                <w:b w:val="false"/>
                <w:color w:val="000000"/>
                <w:sz w:val="16"/>
              </w:rPr>
              <w:t>OUTE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Hans van Houte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July 13,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undersigned officers of Nurix Therapeutics, Inc. (the Company) certifies, pursuant to 18 U.S.C. § 1350, as adopted pursuant to § 906 of the Sarbanes-Oxley Act of 2002, that: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the Company for the quarter ended May 31, 2023 (the Quarterly Report), as filed with the Securities and Exchange Commission, fully complies with the requirements of Section 13(a) or 15(d) of the Securities Exchange Act of 1934, and</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this Quarterly Report fairly presents, in all material respects, the financial condition and results of operations of the Company.</w:t>
      </w:r>
    </w:p>
    <w:tbl>
      <w:tblPr>
        <w:tblW w:w="470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156"/>
        <w:gridCol w:w="1156"/>
        <w:gridCol w:w="16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 A</w:t>
            </w:r>
            <w:r>
              <w:rPr>
                <w:rFonts w:ascii="Times New Roman;sans-serif" w:hAnsi="Times New Roman;sans-serif"/>
                <w:b w:val="false"/>
                <w:color w:val="000000"/>
                <w:sz w:val="16"/>
              </w:rPr>
              <w:t>RTHUR</w:t>
            </w:r>
            <w:r>
              <w:rPr>
                <w:color w:val="000000"/>
              </w:rPr>
              <w:t xml:space="preserve"> </w:t>
            </w:r>
            <w:r>
              <w:rPr>
                <w:rFonts w:ascii="Times New Roman;sans-serif" w:hAnsi="Times New Roman;sans-serif"/>
                <w:b w:val="false"/>
                <w:color w:val="000000"/>
                <w:sz w:val="20"/>
              </w:rPr>
              <w:t>T. S</w:t>
            </w:r>
            <w:r>
              <w:rPr>
                <w:rFonts w:ascii="Times New Roman;sans-serif" w:hAnsi="Times New Roman;sans-serif"/>
                <w:b w:val="false"/>
                <w:color w:val="000000"/>
                <w:sz w:val="16"/>
              </w:rPr>
              <w:t>ANDS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Arthur T. Sands, M.D.,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 H</w:t>
            </w:r>
            <w:r>
              <w:rPr>
                <w:rFonts w:ascii="Times New Roman;sans-serif" w:hAnsi="Times New Roman;sans-serif"/>
                <w:b w:val="false"/>
                <w:color w:val="000000"/>
                <w:sz w:val="16"/>
              </w:rPr>
              <w:t>ANS VAN</w:t>
            </w:r>
            <w:r>
              <w:rPr>
                <w:color w:val="000000"/>
              </w:rPr>
              <w:t xml:space="preserve"> </w:t>
            </w:r>
            <w:r>
              <w:rPr>
                <w:rFonts w:ascii="Times New Roman;sans-serif" w:hAnsi="Times New Roman;sans-serif"/>
                <w:b w:val="false"/>
                <w:color w:val="000000"/>
                <w:sz w:val="20"/>
              </w:rPr>
              <w:t>H</w:t>
            </w:r>
            <w:r>
              <w:rPr>
                <w:rFonts w:ascii="Times New Roman;sans-serif" w:hAnsi="Times New Roman;sans-serif"/>
                <w:b w:val="false"/>
                <w:color w:val="000000"/>
                <w:sz w:val="16"/>
              </w:rPr>
              <w:t>OUTE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Hans van Houte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July 13,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before="240" w:after="283"/>
        <w:jc w:val="both"/>
        <w:rPr/>
      </w:pPr>
      <w:r>
        <w:rPr/>
      </w:r>
    </w:p>
    <w:p>
      <w:pPr>
        <w:pStyle w:val="TextBody"/>
        <w:bidi w:val="0"/>
        <w:spacing w:lineRule="auto" w:line="276"/>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to the Securities and Exchange Commission as an exhibit to the Form 10-Q and shall not be considered filed as part of the Form 10-Q.</w:t>
      </w:r>
    </w:p>
    <w:p>
      <w:pPr>
        <w:pStyle w:val="TextBody"/>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62566</Words>
  <Characters>351150</Characters>
  <CharactersWithSpaces>412477</CharactersWithSpaces>
  <Paragraphs>2470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