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881334.xml.htm"/>
      <w:bookmarkStart w:id="1" w:name="kswkform4_17788813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Baynes Roy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NURIX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SIERRA POINT PKWY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Nurix Therapeutics, Inc.</w:t>
              </w:r>
            </w:hyperlink>
            <w:r>
              <w:rPr/>
              <w:t xml:space="preserve"> [ </w:t>
            </w:r>
            <w:r>
              <w:rPr>
                <w:rFonts w:ascii="Times;serif" w:hAnsi="Times;serif"/>
                <w:color w:val="0000FF"/>
                <w:sz w:val="24"/>
                <w:shd w:fill="FFFFFF" w:val="clear"/>
              </w:rPr>
              <w:t>NRIX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15.86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31,250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 vests as to 100% of the award on the earlier of (a) the date of the next annual meeting of the Issuer's stockholders and (b) May 15, 2027, in each case, subject to the Reporting Person's provision of service to the Issuer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Burbach, as Attorney-in-Fact for Roy D. Baynes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0739" TargetMode="External"/><Relationship Id="rId5" Type="http://schemas.openxmlformats.org/officeDocument/2006/relationships/hyperlink" Target="http://www.sec.gov/cgi-bin/browse-edgar?action=getcompany&amp;CIK=00015495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3347</Characters>
  <CharactersWithSpaces>3910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